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109C4" w:rsidP="00EE1046">
      <w:pPr>
        <w:pStyle w:val="NormalWeb"/>
        <w:bidi w:val="0"/>
        <w:spacing w:before="0" w:beforeAutospacing="0" w:after="0" w:afterAutospacing="0"/>
        <w:jc w:val="center"/>
        <w:rPr>
          <w:rFonts w:ascii="Times New Roman" w:hAnsi="Times New Roman"/>
          <w:b/>
          <w:bCs/>
          <w:sz w:val="44"/>
          <w:szCs w:val="44"/>
        </w:rPr>
      </w:pPr>
    </w:p>
    <w:p w:rsidR="00E109C4" w:rsidP="00EE1046">
      <w:pPr>
        <w:pStyle w:val="NormalWeb"/>
        <w:bidi w:val="0"/>
        <w:spacing w:before="0" w:beforeAutospacing="0" w:after="0" w:afterAutospacing="0"/>
        <w:jc w:val="center"/>
        <w:rPr>
          <w:rFonts w:ascii="Times New Roman" w:hAnsi="Times New Roman"/>
          <w:b/>
          <w:bCs/>
          <w:sz w:val="44"/>
          <w:szCs w:val="44"/>
        </w:rPr>
      </w:pPr>
    </w:p>
    <w:p w:rsidR="00E109C4" w:rsidP="00EE1046">
      <w:pPr>
        <w:pStyle w:val="NormalWeb"/>
        <w:bidi w:val="0"/>
        <w:spacing w:before="0" w:beforeAutospacing="0" w:after="0" w:afterAutospacing="0"/>
        <w:jc w:val="center"/>
        <w:rPr>
          <w:rFonts w:ascii="Times New Roman" w:hAnsi="Times New Roman"/>
          <w:b/>
          <w:bCs/>
          <w:sz w:val="44"/>
          <w:szCs w:val="44"/>
        </w:rPr>
      </w:pPr>
    </w:p>
    <w:p w:rsidR="00E109C4" w:rsidP="00EE1046">
      <w:pPr>
        <w:pStyle w:val="NormalWeb"/>
        <w:bidi w:val="0"/>
        <w:spacing w:before="0" w:beforeAutospacing="0" w:after="0" w:afterAutospacing="0"/>
        <w:jc w:val="center"/>
        <w:rPr>
          <w:rFonts w:ascii="Times New Roman" w:hAnsi="Times New Roman"/>
          <w:b/>
          <w:bCs/>
          <w:sz w:val="44"/>
          <w:szCs w:val="44"/>
        </w:rPr>
      </w:pPr>
    </w:p>
    <w:p w:rsidR="00E109C4" w:rsidP="00EE1046">
      <w:pPr>
        <w:pStyle w:val="NormalWeb"/>
        <w:bidi w:val="0"/>
        <w:spacing w:before="0" w:beforeAutospacing="0" w:after="0" w:afterAutospacing="0"/>
        <w:jc w:val="center"/>
        <w:rPr>
          <w:rFonts w:ascii="Times New Roman" w:hAnsi="Times New Roman"/>
          <w:b/>
          <w:bCs/>
          <w:sz w:val="44"/>
          <w:szCs w:val="44"/>
        </w:rPr>
      </w:pPr>
    </w:p>
    <w:p w:rsidR="00E109C4" w:rsidP="00EE1046">
      <w:pPr>
        <w:pStyle w:val="NormalWeb"/>
        <w:bidi w:val="0"/>
        <w:spacing w:before="0" w:beforeAutospacing="0" w:after="0" w:afterAutospacing="0"/>
        <w:jc w:val="center"/>
        <w:rPr>
          <w:rFonts w:ascii="Times New Roman" w:hAnsi="Times New Roman"/>
          <w:b/>
          <w:bCs/>
          <w:sz w:val="44"/>
          <w:szCs w:val="44"/>
        </w:rPr>
      </w:pPr>
    </w:p>
    <w:p w:rsidR="00E109C4" w:rsidP="00EE1046">
      <w:pPr>
        <w:pStyle w:val="NormalWeb"/>
        <w:bidi w:val="0"/>
        <w:spacing w:before="0" w:beforeAutospacing="0" w:after="0" w:afterAutospacing="0"/>
        <w:jc w:val="center"/>
        <w:rPr>
          <w:rFonts w:ascii="Times New Roman" w:hAnsi="Times New Roman"/>
          <w:b/>
          <w:bCs/>
          <w:sz w:val="44"/>
          <w:szCs w:val="44"/>
        </w:rPr>
      </w:pPr>
    </w:p>
    <w:p w:rsidR="00E109C4" w:rsidP="00EE1046">
      <w:pPr>
        <w:pStyle w:val="NormalWeb"/>
        <w:bidi w:val="0"/>
        <w:spacing w:before="0" w:beforeAutospacing="0" w:after="0" w:afterAutospacing="0"/>
        <w:jc w:val="center"/>
        <w:rPr>
          <w:rFonts w:ascii="Times New Roman" w:hAnsi="Times New Roman"/>
          <w:b/>
          <w:bCs/>
          <w:sz w:val="44"/>
          <w:szCs w:val="44"/>
        </w:rPr>
      </w:pPr>
    </w:p>
    <w:p w:rsidR="00E109C4" w:rsidP="00EE1046">
      <w:pPr>
        <w:pStyle w:val="NormalWeb"/>
        <w:bidi w:val="0"/>
        <w:spacing w:before="0" w:beforeAutospacing="0" w:after="0" w:afterAutospacing="0"/>
        <w:jc w:val="center"/>
        <w:rPr>
          <w:rFonts w:ascii="Times New Roman" w:hAnsi="Times New Roman"/>
          <w:b/>
          <w:bCs/>
          <w:sz w:val="44"/>
          <w:szCs w:val="44"/>
        </w:rPr>
      </w:pPr>
    </w:p>
    <w:p w:rsidR="00E109C4" w:rsidP="00EE1046">
      <w:pPr>
        <w:pStyle w:val="NormalWeb"/>
        <w:bidi w:val="0"/>
        <w:spacing w:before="0" w:beforeAutospacing="0" w:after="0" w:afterAutospacing="0"/>
        <w:jc w:val="center"/>
        <w:rPr>
          <w:rFonts w:ascii="Times New Roman" w:hAnsi="Times New Roman"/>
          <w:b/>
          <w:bCs/>
          <w:sz w:val="44"/>
          <w:szCs w:val="44"/>
        </w:rPr>
      </w:pPr>
    </w:p>
    <w:p w:rsidR="00E109C4" w:rsidRPr="00270BB5" w:rsidP="00EE1046">
      <w:pPr>
        <w:pStyle w:val="NormalWeb"/>
        <w:bidi w:val="0"/>
        <w:spacing w:before="0" w:beforeAutospacing="0" w:after="0" w:afterAutospacing="0"/>
        <w:jc w:val="center"/>
        <w:rPr>
          <w:rFonts w:ascii="Times New Roman" w:hAnsi="Times New Roman"/>
        </w:rPr>
      </w:pPr>
      <w:r w:rsidRPr="00270BB5">
        <w:rPr>
          <w:rFonts w:ascii="Times New Roman" w:hAnsi="Times New Roman"/>
          <w:b/>
          <w:bCs/>
          <w:sz w:val="44"/>
          <w:szCs w:val="44"/>
        </w:rPr>
        <w:t>Príloha č. 1</w:t>
      </w:r>
    </w:p>
    <w:p w:rsidR="00E109C4" w:rsidRPr="00270BB5" w:rsidP="00EE1046">
      <w:pPr>
        <w:pStyle w:val="NormalWeb"/>
        <w:bidi w:val="0"/>
        <w:spacing w:before="0" w:beforeAutospacing="0" w:after="0" w:afterAutospacing="0"/>
        <w:jc w:val="center"/>
        <w:rPr>
          <w:rFonts w:ascii="Times New Roman" w:hAnsi="Times New Roman"/>
        </w:rPr>
      </w:pPr>
      <w:r w:rsidRPr="00270BB5">
        <w:rPr>
          <w:rFonts w:ascii="Times New Roman" w:hAnsi="Times New Roman"/>
          <w:b/>
          <w:bCs/>
          <w:sz w:val="44"/>
          <w:szCs w:val="44"/>
        </w:rPr>
        <w:t> </w:t>
      </w:r>
    </w:p>
    <w:p w:rsidR="00E109C4" w:rsidRPr="00270BB5" w:rsidP="00EE1046">
      <w:pPr>
        <w:pStyle w:val="NormalWeb"/>
        <w:bidi w:val="0"/>
        <w:spacing w:before="0" w:beforeAutospacing="0" w:after="0" w:afterAutospacing="0"/>
        <w:jc w:val="center"/>
        <w:rPr>
          <w:rFonts w:ascii="Times New Roman" w:hAnsi="Times New Roman"/>
        </w:rPr>
      </w:pPr>
      <w:r w:rsidRPr="00270BB5">
        <w:rPr>
          <w:rFonts w:ascii="Times New Roman" w:hAnsi="Times New Roman"/>
          <w:b/>
          <w:bCs/>
          <w:sz w:val="44"/>
          <w:szCs w:val="44"/>
        </w:rPr>
        <w:t xml:space="preserve">Rozpočtovanie príjmov a výdavkov </w:t>
      </w:r>
    </w:p>
    <w:p w:rsidR="00D53C11" w:rsidRPr="00270BB5" w:rsidP="00203431">
      <w:pPr>
        <w:pStyle w:val="NormalWeb"/>
        <w:bidi w:val="0"/>
        <w:spacing w:before="0" w:beforeAutospacing="0" w:after="0" w:afterAutospacing="0"/>
        <w:jc w:val="center"/>
        <w:rPr>
          <w:rFonts w:ascii="Times New Roman" w:hAnsi="Times New Roman"/>
          <w:b/>
          <w:bCs/>
          <w:color w:val="FF0000"/>
          <w:sz w:val="28"/>
          <w:szCs w:val="28"/>
        </w:rPr>
      </w:pPr>
      <w:r w:rsidRPr="00270BB5" w:rsidR="00E109C4">
        <w:rPr>
          <w:rFonts w:ascii="Times New Roman" w:hAnsi="Times New Roman"/>
          <w:b/>
          <w:bCs/>
          <w:sz w:val="44"/>
          <w:szCs w:val="44"/>
        </w:rPr>
        <w:t xml:space="preserve">ostatných subjektov verejnej správy v metodike ESA </w:t>
      </w:r>
      <w:r w:rsidR="00203431">
        <w:rPr>
          <w:rFonts w:ascii="Times New Roman" w:hAnsi="Times New Roman"/>
          <w:b/>
          <w:bCs/>
          <w:sz w:val="44"/>
          <w:szCs w:val="44"/>
        </w:rPr>
        <w:t>2010</w:t>
      </w:r>
      <w:r w:rsidR="003679CA">
        <w:rPr>
          <w:rFonts w:ascii="Times New Roman" w:hAnsi="Times New Roman"/>
          <w:b/>
          <w:bCs/>
          <w:sz w:val="44"/>
          <w:szCs w:val="44"/>
        </w:rPr>
        <w:t xml:space="preserve"> </w:t>
      </w: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P="00EE1046">
      <w:pPr>
        <w:pStyle w:val="NormalWeb"/>
        <w:bidi w:val="0"/>
        <w:spacing w:before="0" w:beforeAutospacing="0" w:after="0" w:afterAutospacing="0"/>
        <w:rPr>
          <w:rFonts w:ascii="Times New Roman" w:hAnsi="Times New Roman"/>
          <w:b/>
          <w:bCs/>
          <w:color w:val="FF0000"/>
          <w:sz w:val="28"/>
          <w:szCs w:val="28"/>
        </w:rPr>
      </w:pPr>
    </w:p>
    <w:p w:rsidR="00E64066"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9550B9" w:rsidRPr="00270BB5" w:rsidP="00EE1046">
      <w:pPr>
        <w:pStyle w:val="NormalWeb"/>
        <w:bidi w:val="0"/>
        <w:spacing w:before="0" w:beforeAutospacing="0" w:after="0" w:afterAutospacing="0"/>
        <w:rPr>
          <w:rFonts w:ascii="Times New Roman" w:hAnsi="Times New Roman"/>
          <w:b/>
          <w:bCs/>
          <w:color w:val="FF0000"/>
          <w:sz w:val="28"/>
          <w:szCs w:val="28"/>
        </w:rPr>
      </w:pPr>
    </w:p>
    <w:p w:rsidR="009550B9"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9550B9" w:rsidP="00EE1046">
      <w:pPr>
        <w:pStyle w:val="NormalWeb"/>
        <w:bidi w:val="0"/>
        <w:spacing w:before="0" w:beforeAutospacing="0" w:after="0" w:afterAutospacing="0"/>
        <w:rPr>
          <w:rFonts w:ascii="Times New Roman" w:hAnsi="Times New Roman"/>
          <w:b/>
          <w:bCs/>
          <w:color w:val="FF0000"/>
          <w:sz w:val="28"/>
          <w:szCs w:val="28"/>
        </w:rPr>
      </w:pPr>
    </w:p>
    <w:p w:rsidR="00203431"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P="00EE1046">
      <w:pPr>
        <w:pStyle w:val="NormalWeb"/>
        <w:bidi w:val="0"/>
        <w:spacing w:before="0" w:beforeAutospacing="0" w:after="0" w:afterAutospacing="0"/>
        <w:rPr>
          <w:rFonts w:ascii="Times New Roman" w:hAnsi="Times New Roman"/>
          <w:b/>
          <w:bCs/>
          <w:color w:val="FF0000"/>
          <w:sz w:val="28"/>
          <w:szCs w:val="28"/>
        </w:rPr>
      </w:pPr>
    </w:p>
    <w:p w:rsidR="00E64066" w:rsidP="00EE1046">
      <w:pPr>
        <w:pStyle w:val="NormalWeb"/>
        <w:bidi w:val="0"/>
        <w:spacing w:before="0" w:beforeAutospacing="0" w:after="0" w:afterAutospacing="0"/>
        <w:rPr>
          <w:rFonts w:ascii="Times New Roman" w:hAnsi="Times New Roman"/>
          <w:b/>
          <w:bCs/>
          <w:color w:val="FF0000"/>
          <w:sz w:val="28"/>
          <w:szCs w:val="28"/>
        </w:rPr>
      </w:pPr>
    </w:p>
    <w:p w:rsidR="00E64066" w:rsidRPr="00270BB5" w:rsidP="00EE1046">
      <w:pPr>
        <w:pStyle w:val="NormalWeb"/>
        <w:bidi w:val="0"/>
        <w:spacing w:before="0" w:beforeAutospacing="0" w:after="0" w:afterAutospacing="0"/>
        <w:rPr>
          <w:rFonts w:ascii="Times New Roman" w:hAnsi="Times New Roman"/>
          <w:b/>
          <w:bCs/>
          <w:color w:val="FF0000"/>
          <w:sz w:val="28"/>
          <w:szCs w:val="28"/>
        </w:rPr>
      </w:pPr>
    </w:p>
    <w:p w:rsidR="00D53C11" w:rsidRPr="00270BB5" w:rsidP="00EE1046">
      <w:pPr>
        <w:pStyle w:val="NormalWeb"/>
        <w:bidi w:val="0"/>
        <w:spacing w:before="0" w:beforeAutospacing="0" w:after="0" w:afterAutospacing="0"/>
        <w:rPr>
          <w:rFonts w:ascii="Times New Roman" w:hAnsi="Times New Roman"/>
          <w:b/>
          <w:bCs/>
          <w:color w:val="FF0000"/>
          <w:sz w:val="28"/>
          <w:szCs w:val="28"/>
        </w:rPr>
      </w:pPr>
    </w:p>
    <w:p w:rsidR="005E1458" w:rsidP="005E1458">
      <w:pPr>
        <w:pStyle w:val="Zkladntext"/>
        <w:bidi w:val="0"/>
        <w:jc w:val="both"/>
        <w:rPr>
          <w:rFonts w:ascii="Times New Roman" w:hAnsi="Times New Roman"/>
          <w:b/>
          <w:sz w:val="28"/>
          <w:szCs w:val="28"/>
        </w:rPr>
      </w:pPr>
    </w:p>
    <w:p w:rsidR="005E1458" w:rsidRPr="00F27ABF" w:rsidP="005E1458">
      <w:pPr>
        <w:pStyle w:val="Zkladntext"/>
        <w:bidi w:val="0"/>
        <w:jc w:val="both"/>
        <w:rPr>
          <w:rFonts w:ascii="Times New Roman" w:hAnsi="Times New Roman"/>
          <w:b/>
          <w:sz w:val="28"/>
          <w:szCs w:val="28"/>
        </w:rPr>
      </w:pPr>
      <w:r w:rsidRPr="00F27ABF">
        <w:rPr>
          <w:rFonts w:ascii="Times New Roman" w:hAnsi="Times New Roman"/>
          <w:b/>
          <w:sz w:val="28"/>
          <w:szCs w:val="28"/>
        </w:rPr>
        <w:t xml:space="preserve">Rozpočtovanie príjmov a výdavkov ostatných subjektov verejnej správy v metodike ESA </w:t>
      </w:r>
      <w:r w:rsidR="00203431">
        <w:rPr>
          <w:rFonts w:ascii="Times New Roman" w:hAnsi="Times New Roman"/>
          <w:b/>
          <w:sz w:val="28"/>
          <w:szCs w:val="28"/>
        </w:rPr>
        <w:t>2010</w:t>
      </w:r>
    </w:p>
    <w:p w:rsidR="005E1458" w:rsidP="005E1458">
      <w:pPr>
        <w:bidi w:val="0"/>
        <w:jc w:val="both"/>
        <w:rPr>
          <w:rFonts w:ascii="Times New Roman" w:hAnsi="Times New Roman"/>
          <w:b/>
        </w:rPr>
      </w:pPr>
    </w:p>
    <w:p w:rsidR="005E21C8" w:rsidRPr="000659E5" w:rsidP="005E21C8">
      <w:pPr>
        <w:bidi w:val="0"/>
        <w:jc w:val="both"/>
        <w:rPr>
          <w:rFonts w:ascii="Times New Roman" w:hAnsi="Times New Roman"/>
        </w:rPr>
      </w:pPr>
      <w:r w:rsidRPr="000659E5">
        <w:rPr>
          <w:rFonts w:ascii="Times New Roman" w:hAnsi="Times New Roman"/>
          <w:b/>
        </w:rPr>
        <w:t>1. Obce, dopravné podniky a vyššie územné celky</w:t>
      </w:r>
    </w:p>
    <w:p w:rsidR="005E21C8" w:rsidRPr="000659E5" w:rsidP="005E21C8">
      <w:pPr>
        <w:bidi w:val="0"/>
        <w:jc w:val="both"/>
        <w:rPr>
          <w:rFonts w:ascii="Times New Roman" w:hAnsi="Times New Roman"/>
          <w:sz w:val="16"/>
          <w:szCs w:val="16"/>
        </w:rPr>
      </w:pPr>
    </w:p>
    <w:p w:rsidR="005E21C8" w:rsidRPr="000659E5" w:rsidP="005E21C8">
      <w:pPr>
        <w:bidi w:val="0"/>
        <w:ind w:firstLine="708"/>
        <w:jc w:val="both"/>
        <w:rPr>
          <w:rFonts w:ascii="Times New Roman" w:hAnsi="Times New Roman"/>
        </w:rPr>
      </w:pPr>
      <w:r w:rsidRPr="000659E5">
        <w:rPr>
          <w:rFonts w:ascii="Times New Roman" w:hAnsi="Times New Roman"/>
        </w:rPr>
        <w:t>Rozpočet verejnej správy (ďalej len „RVS“)  na roky 201</w:t>
      </w:r>
      <w:r>
        <w:rPr>
          <w:rFonts w:ascii="Times New Roman" w:hAnsi="Times New Roman"/>
        </w:rPr>
        <w:t>6</w:t>
      </w:r>
      <w:r w:rsidRPr="000659E5">
        <w:rPr>
          <w:rFonts w:ascii="Times New Roman" w:hAnsi="Times New Roman"/>
        </w:rPr>
        <w:t xml:space="preserve"> až 201</w:t>
      </w:r>
      <w:r>
        <w:rPr>
          <w:rFonts w:ascii="Times New Roman" w:hAnsi="Times New Roman"/>
        </w:rPr>
        <w:t>8</w:t>
      </w:r>
      <w:r w:rsidRPr="000659E5">
        <w:rPr>
          <w:rFonts w:ascii="Times New Roman" w:hAnsi="Times New Roman"/>
        </w:rPr>
        <w:t xml:space="preserve"> za rozpočty miest, obcí a vyšších územných celkov (ďalej len „VÚC“) vychádza z platného legislatívneho rámca a z návrhov zákonov </w:t>
      </w:r>
      <w:r>
        <w:rPr>
          <w:rFonts w:ascii="Times New Roman" w:hAnsi="Times New Roman"/>
        </w:rPr>
        <w:t>prerokovávaných</w:t>
      </w:r>
      <w:r w:rsidRPr="000659E5">
        <w:rPr>
          <w:rFonts w:ascii="Times New Roman" w:hAnsi="Times New Roman"/>
        </w:rPr>
        <w:t xml:space="preserve"> NR </w:t>
      </w:r>
      <w:r>
        <w:rPr>
          <w:rFonts w:ascii="Times New Roman" w:hAnsi="Times New Roman"/>
        </w:rPr>
        <w:t xml:space="preserve">SR </w:t>
      </w:r>
      <w:r w:rsidRPr="000659E5">
        <w:rPr>
          <w:rFonts w:ascii="Times New Roman" w:hAnsi="Times New Roman"/>
        </w:rPr>
        <w:t xml:space="preserve">vzťahujúcich sa k daňovým príjmom obcí </w:t>
      </w:r>
      <w:r w:rsidRPr="0081304D">
        <w:rPr>
          <w:rFonts w:ascii="Times New Roman" w:hAnsi="Times New Roman"/>
        </w:rPr>
        <w:t xml:space="preserve">a VÚC. V zmysle jednotnej metodiky platnej pre Európsku úniu ESA 2010 </w:t>
      </w:r>
      <w:r>
        <w:rPr>
          <w:rFonts w:ascii="Times New Roman" w:hAnsi="Times New Roman"/>
        </w:rPr>
        <w:t>sú</w:t>
      </w:r>
      <w:r w:rsidRPr="0081304D">
        <w:rPr>
          <w:rFonts w:ascii="Times New Roman" w:hAnsi="Times New Roman"/>
        </w:rPr>
        <w:t xml:space="preserve"> </w:t>
      </w:r>
      <w:r>
        <w:rPr>
          <w:rFonts w:ascii="Times New Roman" w:hAnsi="Times New Roman"/>
        </w:rPr>
        <w:t>za</w:t>
      </w:r>
      <w:r w:rsidRPr="001C5102">
        <w:rPr>
          <w:rFonts w:ascii="Times New Roman" w:hAnsi="Times New Roman"/>
        </w:rPr>
        <w:t xml:space="preserve">radené </w:t>
      </w:r>
      <w:r w:rsidR="00684526">
        <w:rPr>
          <w:rFonts w:ascii="Times New Roman" w:hAnsi="Times New Roman"/>
        </w:rPr>
        <w:t xml:space="preserve">        </w:t>
      </w:r>
      <w:r>
        <w:rPr>
          <w:rFonts w:ascii="Times New Roman" w:hAnsi="Times New Roman"/>
        </w:rPr>
        <w:t>3</w:t>
      </w:r>
      <w:r w:rsidRPr="0081304D">
        <w:rPr>
          <w:rFonts w:ascii="Times New Roman" w:hAnsi="Times New Roman"/>
        </w:rPr>
        <w:t xml:space="preserve"> dopravné podniky v zakladateľskej pôsobnosti obcí do sektora verejnej správy, ktorých rozpočty sú súč</w:t>
      </w:r>
      <w:r w:rsidR="00684526">
        <w:rPr>
          <w:rFonts w:ascii="Times New Roman" w:hAnsi="Times New Roman"/>
        </w:rPr>
        <w:t xml:space="preserve">asťou rozpočtu verejnej správy. </w:t>
      </w:r>
      <w:r>
        <w:rPr>
          <w:rFonts w:ascii="Times New Roman" w:hAnsi="Times New Roman"/>
        </w:rPr>
        <w:t>Návrh</w:t>
      </w:r>
      <w:r w:rsidRPr="0081304D">
        <w:rPr>
          <w:rFonts w:ascii="Times New Roman" w:hAnsi="Times New Roman"/>
        </w:rPr>
        <w:t xml:space="preserve"> vyjadruje predikciu Ministerstva</w:t>
      </w:r>
      <w:r w:rsidRPr="000659E5">
        <w:rPr>
          <w:rFonts w:ascii="Times New Roman" w:hAnsi="Times New Roman"/>
        </w:rPr>
        <w:t xml:space="preserve"> financií SR o vývoji rozpočtového hospodárenia obcí, VÚC a dopravných podnikov v nasledujúcich troch rokoch. </w:t>
      </w:r>
    </w:p>
    <w:p w:rsidR="005E21C8" w:rsidRPr="001D7634" w:rsidP="005E21C8">
      <w:pPr>
        <w:bidi w:val="0"/>
        <w:ind w:firstLine="360"/>
        <w:jc w:val="both"/>
        <w:rPr>
          <w:rStyle w:val="Textzstupnhosymbolu"/>
          <w:sz w:val="16"/>
          <w:szCs w:val="16"/>
          <w:highlight w:val="yellow"/>
        </w:rPr>
      </w:pPr>
    </w:p>
    <w:p w:rsidR="005E21C8" w:rsidP="005E21C8">
      <w:pPr>
        <w:bidi w:val="0"/>
        <w:jc w:val="both"/>
        <w:rPr>
          <w:rFonts w:ascii="Times New Roman" w:hAnsi="Times New Roman"/>
        </w:rPr>
      </w:pPr>
      <w:r w:rsidRPr="00B81C6F">
        <w:rPr>
          <w:rFonts w:ascii="Times New Roman" w:hAnsi="Times New Roman"/>
        </w:rPr>
        <w:t xml:space="preserve">   </w:t>
      </w:r>
      <w:r>
        <w:rPr>
          <w:rFonts w:ascii="Times New Roman" w:hAnsi="Times New Roman"/>
        </w:rPr>
        <w:t xml:space="preserve">        </w:t>
      </w:r>
      <w:r w:rsidRPr="007253E5">
        <w:rPr>
          <w:rFonts w:ascii="Times New Roman" w:hAnsi="Times New Roman"/>
        </w:rPr>
        <w:t>V oblasti príjmov sa  </w:t>
      </w:r>
      <w:r w:rsidRPr="00332093">
        <w:rPr>
          <w:rFonts w:ascii="Times New Roman" w:hAnsi="Times New Roman"/>
        </w:rPr>
        <w:t xml:space="preserve">vychádza zo septembrovej prognózy daňových príjmov verejnej správy na roky 2016 až 2018. Nadväzne na rokovania so Združením miest a obcí Slovenska sa upravuje percentuálny podiel na výnose dane z príjmov fyzických osôb (ďalej len „DPFO“) pre obce </w:t>
      </w:r>
      <w:r>
        <w:rPr>
          <w:rFonts w:ascii="Times New Roman" w:hAnsi="Times New Roman"/>
        </w:rPr>
        <w:t xml:space="preserve">zo 68,5 % </w:t>
      </w:r>
      <w:r w:rsidRPr="00332093">
        <w:rPr>
          <w:rFonts w:ascii="Times New Roman" w:hAnsi="Times New Roman"/>
        </w:rPr>
        <w:t xml:space="preserve">na 70 %, </w:t>
      </w:r>
      <w:r>
        <w:rPr>
          <w:rFonts w:ascii="Times New Roman" w:hAnsi="Times New Roman"/>
        </w:rPr>
        <w:t>s pozitívnym dopadom v</w:t>
      </w:r>
      <w:r w:rsidRPr="00332093">
        <w:rPr>
          <w:rFonts w:ascii="Times New Roman" w:hAnsi="Times New Roman"/>
        </w:rPr>
        <w:t xml:space="preserve"> sume 33 621</w:t>
      </w:r>
      <w:r>
        <w:rPr>
          <w:rFonts w:ascii="Times New Roman" w:hAnsi="Times New Roman"/>
        </w:rPr>
        <w:t xml:space="preserve"> tis. eur v roku 2016. </w:t>
      </w:r>
      <w:r w:rsidRPr="00332093">
        <w:rPr>
          <w:rFonts w:ascii="Times New Roman" w:hAnsi="Times New Roman"/>
        </w:rPr>
        <w:t xml:space="preserve">Vo vzťahu k  VÚC sa upravuje percentuálny podiel na výnose DPFO </w:t>
      </w:r>
      <w:r>
        <w:rPr>
          <w:rFonts w:ascii="Times New Roman" w:hAnsi="Times New Roman"/>
        </w:rPr>
        <w:t xml:space="preserve">z 29,2 % </w:t>
      </w:r>
      <w:r w:rsidRPr="00332093">
        <w:rPr>
          <w:rFonts w:ascii="Times New Roman" w:hAnsi="Times New Roman"/>
        </w:rPr>
        <w:t xml:space="preserve">na 30 % </w:t>
      </w:r>
      <w:r>
        <w:rPr>
          <w:rFonts w:ascii="Times New Roman" w:hAnsi="Times New Roman"/>
        </w:rPr>
        <w:t>s pozitívnym dopadom v</w:t>
      </w:r>
      <w:r w:rsidRPr="00332093">
        <w:rPr>
          <w:rFonts w:ascii="Times New Roman" w:hAnsi="Times New Roman"/>
        </w:rPr>
        <w:t xml:space="preserve"> sume 17 931 tis. eur v roku 2016. </w:t>
      </w:r>
      <w:r>
        <w:rPr>
          <w:rFonts w:ascii="Times New Roman" w:hAnsi="Times New Roman"/>
        </w:rPr>
        <w:t>T</w:t>
      </w:r>
      <w:r w:rsidRPr="00332093">
        <w:rPr>
          <w:rFonts w:ascii="Times New Roman" w:hAnsi="Times New Roman"/>
        </w:rPr>
        <w:t xml:space="preserve">áto úprava </w:t>
      </w:r>
      <w:r>
        <w:rPr>
          <w:rFonts w:ascii="Times New Roman" w:hAnsi="Times New Roman"/>
        </w:rPr>
        <w:t xml:space="preserve">je </w:t>
      </w:r>
      <w:r w:rsidRPr="00332093">
        <w:rPr>
          <w:rFonts w:ascii="Times New Roman" w:hAnsi="Times New Roman"/>
        </w:rPr>
        <w:t xml:space="preserve">premietnutá do návrhu RVS  </w:t>
      </w:r>
      <w:r>
        <w:rPr>
          <w:rFonts w:ascii="Times New Roman" w:hAnsi="Times New Roman"/>
        </w:rPr>
        <w:t xml:space="preserve">za obce a </w:t>
      </w:r>
      <w:r w:rsidRPr="00332093">
        <w:rPr>
          <w:rFonts w:ascii="Times New Roman" w:hAnsi="Times New Roman"/>
        </w:rPr>
        <w:t>VÚC</w:t>
      </w:r>
      <w:r w:rsidRPr="007253E5">
        <w:rPr>
          <w:rFonts w:ascii="Times New Roman" w:hAnsi="Times New Roman"/>
        </w:rPr>
        <w:t>.</w:t>
      </w:r>
    </w:p>
    <w:p w:rsidR="005E21C8" w:rsidRPr="007253E5" w:rsidP="005E21C8">
      <w:pPr>
        <w:bidi w:val="0"/>
        <w:jc w:val="both"/>
        <w:rPr>
          <w:rFonts w:ascii="Times New Roman" w:hAnsi="Times New Roman"/>
        </w:rPr>
      </w:pPr>
    </w:p>
    <w:p w:rsidR="005E21C8" w:rsidRPr="000659E5" w:rsidP="005E21C8">
      <w:pPr>
        <w:bidi w:val="0"/>
        <w:ind w:firstLine="709"/>
        <w:jc w:val="both"/>
        <w:rPr>
          <w:rFonts w:ascii="Times New Roman" w:hAnsi="Times New Roman"/>
        </w:rPr>
      </w:pPr>
      <w:r w:rsidRPr="000659E5">
        <w:rPr>
          <w:rFonts w:ascii="Times New Roman" w:hAnsi="Times New Roman"/>
        </w:rPr>
        <w:t>V oblasti výdavkov sa vychádza z východísk  rozpočtu verejnej správy na roky 201</w:t>
      </w:r>
      <w:r>
        <w:rPr>
          <w:rFonts w:ascii="Times New Roman" w:hAnsi="Times New Roman"/>
        </w:rPr>
        <w:t>6</w:t>
      </w:r>
      <w:r w:rsidRPr="000659E5">
        <w:rPr>
          <w:rFonts w:ascii="Times New Roman" w:hAnsi="Times New Roman"/>
        </w:rPr>
        <w:t xml:space="preserve"> až 201</w:t>
      </w:r>
      <w:r>
        <w:rPr>
          <w:rFonts w:ascii="Times New Roman" w:hAnsi="Times New Roman"/>
        </w:rPr>
        <w:t>8 s prihliadnutím na vývoj skutočnosti v predchádzajúcom období</w:t>
      </w:r>
      <w:r w:rsidRPr="000659E5">
        <w:rPr>
          <w:rFonts w:ascii="Times New Roman" w:hAnsi="Times New Roman"/>
        </w:rPr>
        <w:t>.</w:t>
      </w:r>
    </w:p>
    <w:p w:rsidR="005E21C8" w:rsidRPr="000659E5" w:rsidP="005E21C8">
      <w:pPr>
        <w:bidi w:val="0"/>
        <w:ind w:left="180"/>
        <w:jc w:val="both"/>
        <w:rPr>
          <w:rFonts w:ascii="Times New Roman" w:hAnsi="Times New Roman"/>
          <w:color w:val="FF0000"/>
          <w:sz w:val="16"/>
          <w:szCs w:val="16"/>
        </w:rPr>
      </w:pPr>
      <w:r w:rsidRPr="000659E5">
        <w:rPr>
          <w:rFonts w:ascii="Times New Roman" w:hAnsi="Times New Roman"/>
          <w:color w:val="FF0000"/>
        </w:rPr>
        <w:t xml:space="preserve">    </w:t>
      </w:r>
    </w:p>
    <w:p w:rsidR="005E21C8" w:rsidRPr="000659E5" w:rsidP="005E21C8">
      <w:pPr>
        <w:bidi w:val="0"/>
        <w:ind w:firstLine="708"/>
        <w:jc w:val="both"/>
        <w:rPr>
          <w:rFonts w:ascii="Times New Roman" w:hAnsi="Times New Roman"/>
        </w:rPr>
      </w:pPr>
      <w:r w:rsidRPr="000659E5">
        <w:rPr>
          <w:rFonts w:ascii="Times New Roman" w:hAnsi="Times New Roman"/>
        </w:rPr>
        <w:t>Finančné vzťahy štátu k rozpočtom obcí a VÚC sa budú realizovať predovšetkým prostredníctvom podielu na dani z príjmov fyzických osôb a prostredníctvom dotácií z príslušných kapitol štátneho rozpočtu, ak</w:t>
      </w:r>
      <w:r w:rsidR="0060040C">
        <w:rPr>
          <w:rFonts w:ascii="Times New Roman" w:hAnsi="Times New Roman"/>
        </w:rPr>
        <w:t>o napr. financovanie kompetencií</w:t>
      </w:r>
      <w:r w:rsidRPr="000659E5">
        <w:rPr>
          <w:rFonts w:ascii="Times New Roman" w:hAnsi="Times New Roman"/>
        </w:rPr>
        <w:t xml:space="preserve"> preneseného výkonu štátnej správy a ďalšie úlohy spojené najmä s realizáciou projektov v rámci štrukturálnych fondov EÚ, napr. v súvislosti s podporou regionálneho rozvoja, vzdelávan</w:t>
      </w:r>
      <w:r>
        <w:rPr>
          <w:rFonts w:ascii="Times New Roman" w:hAnsi="Times New Roman"/>
        </w:rPr>
        <w:t xml:space="preserve">ia, </w:t>
      </w:r>
      <w:r w:rsidRPr="00D93A82">
        <w:rPr>
          <w:rFonts w:ascii="Times New Roman" w:hAnsi="Times New Roman"/>
        </w:rPr>
        <w:t>európskej územnej spolupráce</w:t>
      </w:r>
      <w:r w:rsidRPr="000659E5">
        <w:rPr>
          <w:rFonts w:ascii="Times New Roman" w:hAnsi="Times New Roman"/>
        </w:rPr>
        <w:t xml:space="preserve"> a pod. Niektoré špecifické potreby obcí budú financované formou dotácií zo štátneho rozpočtu rozpočtovaných v kapitole Všeobecná pokladničná správa. </w:t>
      </w:r>
    </w:p>
    <w:p w:rsidR="005E21C8" w:rsidRPr="000659E5" w:rsidP="005E21C8">
      <w:pPr>
        <w:bidi w:val="0"/>
        <w:ind w:firstLine="709"/>
        <w:jc w:val="both"/>
        <w:rPr>
          <w:rFonts w:ascii="Times New Roman" w:hAnsi="Times New Roman"/>
          <w:sz w:val="16"/>
          <w:szCs w:val="16"/>
        </w:rPr>
      </w:pPr>
    </w:p>
    <w:p w:rsidR="005E21C8" w:rsidRPr="008A2E72" w:rsidP="005E21C8">
      <w:pPr>
        <w:bidi w:val="0"/>
        <w:ind w:firstLine="709"/>
        <w:jc w:val="both"/>
        <w:rPr>
          <w:rFonts w:ascii="Times New Roman" w:hAnsi="Times New Roman"/>
        </w:rPr>
      </w:pPr>
      <w:r w:rsidRPr="008A2E72">
        <w:rPr>
          <w:rFonts w:ascii="Times New Roman" w:hAnsi="Times New Roman"/>
        </w:rPr>
        <w:t>V nadväznosti na vyššie uvedené v hospodárení obcí sa v roku 2016 predpokladá  prebytok v metodike ESA 2010 vo výške  109 882 tis. eur, v hospodárení VÚC prebytok v metodike ESA 2010 vo výške 103 463 tis. eur a v hospodárení dopravných podnikov prebytok vo výške 4 901 tis. eur.</w:t>
      </w:r>
    </w:p>
    <w:p w:rsidR="005E21C8" w:rsidRPr="008A2E72" w:rsidP="005E21C8">
      <w:pPr>
        <w:pStyle w:val="BodyText"/>
        <w:bidi w:val="0"/>
        <w:ind w:hanging="142"/>
        <w:rPr>
          <w:rFonts w:ascii="Times New Roman" w:hAnsi="Times New Roman"/>
        </w:rPr>
      </w:pPr>
    </w:p>
    <w:p w:rsidR="005E21C8" w:rsidRPr="008A2E72" w:rsidP="005E21C8">
      <w:pPr>
        <w:bidi w:val="0"/>
        <w:jc w:val="both"/>
        <w:rPr>
          <w:rFonts w:ascii="Times New Roman" w:hAnsi="Times New Roman"/>
          <w:b/>
        </w:rPr>
      </w:pPr>
      <w:r w:rsidRPr="008A2E72">
        <w:rPr>
          <w:rFonts w:ascii="Times New Roman" w:hAnsi="Times New Roman"/>
          <w:b/>
        </w:rPr>
        <w:t xml:space="preserve"> 1.1. Obce</w:t>
      </w:r>
    </w:p>
    <w:p w:rsidR="005E21C8" w:rsidRPr="00684526" w:rsidP="005E21C8">
      <w:pPr>
        <w:keepNext/>
        <w:bidi w:val="0"/>
        <w:ind w:firstLine="709"/>
        <w:jc w:val="both"/>
        <w:rPr>
          <w:rFonts w:ascii="Times New Roman" w:hAnsi="Times New Roman"/>
          <w:sz w:val="16"/>
          <w:szCs w:val="16"/>
          <w:highlight w:val="yellow"/>
        </w:rPr>
      </w:pPr>
    </w:p>
    <w:p w:rsidR="005E21C8" w:rsidRPr="008A2E72" w:rsidP="005E21C8">
      <w:pPr>
        <w:keepNext/>
        <w:bidi w:val="0"/>
        <w:ind w:firstLine="709"/>
        <w:jc w:val="both"/>
        <w:rPr>
          <w:rFonts w:ascii="Times New Roman" w:hAnsi="Times New Roman"/>
        </w:rPr>
      </w:pPr>
      <w:r w:rsidRPr="008A2E72">
        <w:rPr>
          <w:rFonts w:ascii="Times New Roman" w:hAnsi="Times New Roman"/>
        </w:rPr>
        <w:t xml:space="preserve">Predpokladá sa, že obce v rozpočte roku 2016 dosiahnu celkové príjmy vo výške </w:t>
        <w:br/>
        <w:t xml:space="preserve">4 059 704 tis. eur a celkové výdavky v sume 3 801 822 tis. eur. Po odpočítaní príjmových a výdavkových finančných operácií sa predpokladajú príjmy v sume 3 719 704 tis. eur a výdavky 3 609 822 tis. eur. Následne prebytok v metodike ESA 2010 je vyčíslený vo výške 109 882 tis. eur. </w:t>
      </w:r>
    </w:p>
    <w:p w:rsidR="005E21C8" w:rsidRPr="00C13024" w:rsidP="005E21C8">
      <w:pPr>
        <w:bidi w:val="0"/>
        <w:jc w:val="both"/>
        <w:rPr>
          <w:rFonts w:ascii="Times New Roman" w:hAnsi="Times New Roman"/>
          <w:sz w:val="16"/>
          <w:szCs w:val="16"/>
          <w:highlight w:val="yellow"/>
        </w:rPr>
      </w:pPr>
    </w:p>
    <w:p w:rsidR="005E21C8" w:rsidRPr="0063749E" w:rsidP="005E21C8">
      <w:pPr>
        <w:bidi w:val="0"/>
        <w:ind w:firstLine="708"/>
        <w:jc w:val="both"/>
        <w:rPr>
          <w:rFonts w:ascii="Times New Roman" w:hAnsi="Times New Roman"/>
        </w:rPr>
      </w:pPr>
      <w:r w:rsidRPr="0063749E">
        <w:rPr>
          <w:rFonts w:ascii="Times New Roman" w:hAnsi="Times New Roman"/>
        </w:rPr>
        <w:t>Daňové príjmy sa očakávajú v roku 2016 v sume 2 090 082 tis. eur, ktoré obce získajú z výnosu dane z príjmov fyzických osôb (podiel 70 % z celkového výnosu DPFO), z výnosu dane z nehnuteľností, z výnosu daní za špecifické služby (ostatné miestne dane a poplatok za komunálne odpady), z výnosu dane z úhrad za dobývací priestor, zo sankcií uložených v daňovom konaní a iných daní. Z výnosov týchto daní bude zabezpečované financovanie samosprávnych pôsobností obcí.</w:t>
      </w:r>
    </w:p>
    <w:p w:rsidR="005E21C8" w:rsidRPr="0063749E" w:rsidP="005E21C8">
      <w:pPr>
        <w:bidi w:val="0"/>
        <w:ind w:firstLine="708"/>
        <w:jc w:val="both"/>
        <w:rPr>
          <w:rFonts w:ascii="Times New Roman" w:hAnsi="Times New Roman"/>
          <w:sz w:val="16"/>
          <w:szCs w:val="16"/>
        </w:rPr>
      </w:pPr>
      <w:r w:rsidRPr="0063749E">
        <w:rPr>
          <w:rFonts w:ascii="Times New Roman" w:hAnsi="Times New Roman"/>
        </w:rPr>
        <w:t xml:space="preserve"> </w:t>
      </w:r>
    </w:p>
    <w:p w:rsidR="005E21C8" w:rsidRPr="0063749E" w:rsidP="005E21C8">
      <w:pPr>
        <w:bidi w:val="0"/>
        <w:ind w:firstLine="708"/>
        <w:jc w:val="both"/>
        <w:rPr>
          <w:rFonts w:ascii="Times New Roman" w:hAnsi="Times New Roman"/>
        </w:rPr>
      </w:pPr>
      <w:r w:rsidRPr="0063749E">
        <w:rPr>
          <w:rFonts w:ascii="Times New Roman" w:hAnsi="Times New Roman"/>
        </w:rPr>
        <w:t>Predpoklad vývoja jednotlivých druhov daňových príjmov v rokoch 2016 až 2018 do rozpočtov obcí v porovnaní s rozpočtom verejnej správy a očakávanou skutočnosťou na rok 2015 a skutočnosťou za roky 2013 a 2014 je nasledovný:</w:t>
      </w:r>
    </w:p>
    <w:p w:rsidR="005E21C8" w:rsidRPr="0063749E" w:rsidP="005E21C8">
      <w:pPr>
        <w:bidi w:val="0"/>
        <w:jc w:val="both"/>
        <w:rPr>
          <w:rFonts w:ascii="Times New Roman" w:hAnsi="Times New Roman"/>
          <w:sz w:val="16"/>
          <w:szCs w:val="16"/>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16"/>
        <w:gridCol w:w="829"/>
        <w:gridCol w:w="932"/>
        <w:gridCol w:w="827"/>
        <w:gridCol w:w="827"/>
        <w:gridCol w:w="827"/>
        <w:gridCol w:w="827"/>
        <w:gridCol w:w="82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1800"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E21C8" w:rsidRPr="0063749E" w:rsidP="00A02DCA">
            <w:pPr>
              <w:bidi w:val="0"/>
              <w:rPr>
                <w:rFonts w:ascii="Times New Roman" w:hAnsi="Times New Roman"/>
                <w:b/>
                <w:bCs/>
                <w:color w:val="000000"/>
                <w:sz w:val="16"/>
                <w:szCs w:val="16"/>
              </w:rPr>
            </w:pPr>
            <w:r w:rsidRPr="0063749E">
              <w:rPr>
                <w:rFonts w:ascii="Times New Roman" w:hAnsi="Times New Roman"/>
                <w:b/>
                <w:bCs/>
                <w:color w:val="000000"/>
                <w:sz w:val="16"/>
                <w:szCs w:val="16"/>
              </w:rPr>
              <w:t>v tis. eur</w:t>
            </w:r>
          </w:p>
        </w:tc>
        <w:tc>
          <w:tcPr>
            <w:tcW w:w="450"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E21C8" w:rsidRPr="0063749E" w:rsidP="00A02DCA">
            <w:pPr>
              <w:bidi w:val="0"/>
              <w:jc w:val="center"/>
              <w:rPr>
                <w:rFonts w:ascii="Times New Roman" w:hAnsi="Times New Roman"/>
                <w:b/>
                <w:bCs/>
                <w:color w:val="000000"/>
                <w:sz w:val="16"/>
                <w:szCs w:val="16"/>
              </w:rPr>
            </w:pPr>
            <w:r w:rsidRPr="0063749E">
              <w:rPr>
                <w:rFonts w:ascii="Times New Roman" w:hAnsi="Times New Roman"/>
                <w:b/>
                <w:bCs/>
                <w:color w:val="000000"/>
                <w:sz w:val="16"/>
                <w:szCs w:val="16"/>
              </w:rPr>
              <w:t>2013 S</w:t>
            </w:r>
          </w:p>
        </w:tc>
        <w:tc>
          <w:tcPr>
            <w:tcW w:w="506"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E21C8" w:rsidRPr="0063749E" w:rsidP="00A02DCA">
            <w:pPr>
              <w:bidi w:val="0"/>
              <w:jc w:val="center"/>
              <w:rPr>
                <w:rFonts w:ascii="Times New Roman" w:hAnsi="Times New Roman"/>
                <w:b/>
                <w:bCs/>
                <w:color w:val="000000"/>
                <w:sz w:val="16"/>
                <w:szCs w:val="16"/>
              </w:rPr>
            </w:pPr>
            <w:r w:rsidRPr="0063749E">
              <w:rPr>
                <w:rFonts w:ascii="Times New Roman" w:hAnsi="Times New Roman"/>
                <w:b/>
                <w:bCs/>
                <w:color w:val="000000"/>
                <w:sz w:val="16"/>
                <w:szCs w:val="16"/>
              </w:rPr>
              <w:t>2014 S</w:t>
            </w:r>
          </w:p>
        </w:tc>
        <w:tc>
          <w:tcPr>
            <w:tcW w:w="449"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E21C8" w:rsidRPr="0063749E" w:rsidP="00A02DCA">
            <w:pPr>
              <w:bidi w:val="0"/>
              <w:jc w:val="center"/>
              <w:rPr>
                <w:rFonts w:ascii="Times New Roman" w:hAnsi="Times New Roman"/>
                <w:b/>
                <w:bCs/>
                <w:color w:val="000000"/>
                <w:sz w:val="16"/>
                <w:szCs w:val="16"/>
              </w:rPr>
            </w:pPr>
            <w:r w:rsidRPr="0063749E">
              <w:rPr>
                <w:rFonts w:ascii="Times New Roman" w:hAnsi="Times New Roman"/>
                <w:b/>
                <w:bCs/>
                <w:color w:val="000000"/>
                <w:sz w:val="16"/>
                <w:szCs w:val="16"/>
              </w:rPr>
              <w:t>2015 R</w:t>
            </w:r>
          </w:p>
        </w:tc>
        <w:tc>
          <w:tcPr>
            <w:tcW w:w="449"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E21C8" w:rsidRPr="0063749E" w:rsidP="00A02DCA">
            <w:pPr>
              <w:bidi w:val="0"/>
              <w:jc w:val="center"/>
              <w:rPr>
                <w:rFonts w:ascii="Times New Roman" w:hAnsi="Times New Roman"/>
                <w:b/>
                <w:bCs/>
                <w:color w:val="000000"/>
                <w:sz w:val="16"/>
                <w:szCs w:val="16"/>
              </w:rPr>
            </w:pPr>
            <w:r w:rsidRPr="0063749E">
              <w:rPr>
                <w:rFonts w:ascii="Times New Roman" w:hAnsi="Times New Roman"/>
                <w:b/>
                <w:bCs/>
                <w:color w:val="000000"/>
                <w:sz w:val="16"/>
                <w:szCs w:val="16"/>
              </w:rPr>
              <w:t>2015 OS</w:t>
            </w:r>
          </w:p>
        </w:tc>
        <w:tc>
          <w:tcPr>
            <w:tcW w:w="449"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E21C8" w:rsidRPr="0063749E" w:rsidP="00A02DCA">
            <w:pPr>
              <w:bidi w:val="0"/>
              <w:jc w:val="center"/>
              <w:rPr>
                <w:rFonts w:ascii="Times New Roman" w:hAnsi="Times New Roman"/>
                <w:b/>
                <w:bCs/>
                <w:color w:val="000000"/>
                <w:sz w:val="16"/>
                <w:szCs w:val="16"/>
              </w:rPr>
            </w:pPr>
            <w:r w:rsidRPr="0063749E">
              <w:rPr>
                <w:rFonts w:ascii="Times New Roman" w:hAnsi="Times New Roman"/>
                <w:b/>
                <w:bCs/>
                <w:color w:val="000000"/>
                <w:sz w:val="16"/>
                <w:szCs w:val="16"/>
              </w:rPr>
              <w:t>2016 N</w:t>
            </w:r>
          </w:p>
        </w:tc>
        <w:tc>
          <w:tcPr>
            <w:tcW w:w="449"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E21C8" w:rsidRPr="0063749E" w:rsidP="00A02DCA">
            <w:pPr>
              <w:bidi w:val="0"/>
              <w:jc w:val="center"/>
              <w:rPr>
                <w:rFonts w:ascii="Times New Roman" w:hAnsi="Times New Roman"/>
                <w:b/>
                <w:bCs/>
                <w:color w:val="000000"/>
                <w:sz w:val="16"/>
                <w:szCs w:val="16"/>
              </w:rPr>
            </w:pPr>
            <w:r w:rsidRPr="0063749E">
              <w:rPr>
                <w:rFonts w:ascii="Times New Roman" w:hAnsi="Times New Roman"/>
                <w:b/>
                <w:bCs/>
                <w:color w:val="000000"/>
                <w:sz w:val="16"/>
                <w:szCs w:val="16"/>
              </w:rPr>
              <w:t>2017 N</w:t>
            </w:r>
          </w:p>
        </w:tc>
        <w:tc>
          <w:tcPr>
            <w:tcW w:w="449"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E21C8" w:rsidRPr="00600280" w:rsidP="00A02DCA">
            <w:pPr>
              <w:bidi w:val="0"/>
              <w:jc w:val="center"/>
              <w:rPr>
                <w:rFonts w:ascii="Times New Roman" w:hAnsi="Times New Roman"/>
                <w:b/>
                <w:bCs/>
                <w:color w:val="000000"/>
                <w:sz w:val="16"/>
                <w:szCs w:val="16"/>
              </w:rPr>
            </w:pPr>
            <w:r w:rsidRPr="0063749E">
              <w:rPr>
                <w:rFonts w:ascii="Times New Roman" w:hAnsi="Times New Roman"/>
                <w:b/>
                <w:bCs/>
                <w:color w:val="000000"/>
                <w:sz w:val="16"/>
                <w:szCs w:val="16"/>
              </w:rPr>
              <w:t>2018 N</w:t>
            </w:r>
          </w:p>
        </w:tc>
      </w:tr>
      <w:tr>
        <w:tblPrEx>
          <w:tblW w:w="5000" w:type="pct"/>
          <w:tblCellMar>
            <w:left w:w="70" w:type="dxa"/>
            <w:right w:w="70" w:type="dxa"/>
          </w:tblCellMar>
          <w:tblLook w:val="04A0"/>
        </w:tblPrEx>
        <w:trPr>
          <w:trHeight w:val="345"/>
        </w:trPr>
        <w:tc>
          <w:tcPr>
            <w:tcW w:w="1800"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E21C8" w:rsidRPr="00600280" w:rsidP="00A02DCA">
            <w:pPr>
              <w:bidi w:val="0"/>
              <w:rPr>
                <w:rFonts w:ascii="Times New Roman" w:hAnsi="Times New Roman"/>
                <w:b/>
                <w:bCs/>
                <w:color w:val="000000"/>
                <w:sz w:val="16"/>
                <w:szCs w:val="16"/>
              </w:rPr>
            </w:pPr>
            <w:r w:rsidRPr="00600280">
              <w:rPr>
                <w:rFonts w:ascii="Times New Roman" w:hAnsi="Times New Roman"/>
                <w:b/>
                <w:bCs/>
                <w:color w:val="000000"/>
                <w:sz w:val="16"/>
                <w:szCs w:val="16"/>
              </w:rPr>
              <w:t>Daňové príjmy spolu</w:t>
            </w:r>
          </w:p>
        </w:tc>
        <w:tc>
          <w:tcPr>
            <w:tcW w:w="450"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E21C8" w:rsidRPr="00600280" w:rsidP="00A02DCA">
            <w:pPr>
              <w:bidi w:val="0"/>
              <w:jc w:val="right"/>
              <w:rPr>
                <w:rFonts w:ascii="Times New Roman" w:hAnsi="Times New Roman"/>
                <w:b/>
                <w:bCs/>
                <w:color w:val="000000"/>
                <w:sz w:val="16"/>
                <w:szCs w:val="16"/>
              </w:rPr>
            </w:pPr>
            <w:r w:rsidRPr="00600280">
              <w:rPr>
                <w:rFonts w:ascii="Times New Roman" w:hAnsi="Times New Roman"/>
                <w:b/>
                <w:bCs/>
                <w:color w:val="000000"/>
                <w:sz w:val="16"/>
                <w:szCs w:val="16"/>
              </w:rPr>
              <w:t>1 721 501</w:t>
            </w:r>
          </w:p>
        </w:tc>
        <w:tc>
          <w:tcPr>
            <w:tcW w:w="506"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E21C8" w:rsidRPr="00600280" w:rsidP="00A02DCA">
            <w:pPr>
              <w:bidi w:val="0"/>
              <w:jc w:val="right"/>
              <w:rPr>
                <w:rFonts w:ascii="Times New Roman" w:hAnsi="Times New Roman"/>
                <w:b/>
                <w:bCs/>
                <w:color w:val="000000"/>
                <w:sz w:val="16"/>
                <w:szCs w:val="16"/>
              </w:rPr>
            </w:pPr>
            <w:r w:rsidRPr="00600280">
              <w:rPr>
                <w:rFonts w:ascii="Times New Roman" w:hAnsi="Times New Roman"/>
                <w:b/>
                <w:bCs/>
                <w:color w:val="000000"/>
                <w:sz w:val="16"/>
                <w:szCs w:val="16"/>
              </w:rPr>
              <w:t>1 797 688</w:t>
            </w:r>
          </w:p>
        </w:tc>
        <w:tc>
          <w:tcPr>
            <w:tcW w:w="44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E21C8" w:rsidRPr="00600280" w:rsidP="00A02DCA">
            <w:pPr>
              <w:bidi w:val="0"/>
              <w:jc w:val="right"/>
              <w:rPr>
                <w:rFonts w:ascii="Times New Roman" w:hAnsi="Times New Roman"/>
                <w:b/>
                <w:bCs/>
                <w:color w:val="000000"/>
                <w:sz w:val="16"/>
                <w:szCs w:val="16"/>
              </w:rPr>
            </w:pPr>
            <w:r w:rsidRPr="00600280">
              <w:rPr>
                <w:rFonts w:ascii="Times New Roman" w:hAnsi="Times New Roman"/>
                <w:b/>
                <w:bCs/>
                <w:color w:val="000000"/>
                <w:sz w:val="16"/>
                <w:szCs w:val="16"/>
              </w:rPr>
              <w:t>1 954 122</w:t>
            </w:r>
          </w:p>
        </w:tc>
        <w:tc>
          <w:tcPr>
            <w:tcW w:w="44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E21C8" w:rsidP="00A02DCA">
            <w:pPr>
              <w:bidi w:val="0"/>
              <w:jc w:val="right"/>
              <w:rPr>
                <w:rFonts w:ascii="Times New Roman" w:hAnsi="Times New Roman"/>
                <w:b/>
                <w:bCs/>
                <w:color w:val="000000"/>
                <w:sz w:val="16"/>
                <w:szCs w:val="16"/>
              </w:rPr>
            </w:pPr>
            <w:r>
              <w:rPr>
                <w:rFonts w:ascii="Times New Roman" w:hAnsi="Times New Roman"/>
                <w:b/>
                <w:bCs/>
                <w:color w:val="000000"/>
                <w:sz w:val="16"/>
                <w:szCs w:val="16"/>
              </w:rPr>
              <w:t>1 960 884</w:t>
            </w:r>
          </w:p>
        </w:tc>
        <w:tc>
          <w:tcPr>
            <w:tcW w:w="44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E21C8" w:rsidP="00A02DCA">
            <w:pPr>
              <w:bidi w:val="0"/>
              <w:jc w:val="right"/>
              <w:rPr>
                <w:rFonts w:ascii="Times New Roman" w:hAnsi="Times New Roman"/>
                <w:b/>
                <w:bCs/>
                <w:color w:val="000000"/>
                <w:sz w:val="16"/>
                <w:szCs w:val="16"/>
              </w:rPr>
            </w:pPr>
            <w:r>
              <w:rPr>
                <w:rFonts w:ascii="Times New Roman" w:hAnsi="Times New Roman"/>
                <w:b/>
                <w:bCs/>
                <w:color w:val="000000"/>
                <w:sz w:val="16"/>
                <w:szCs w:val="16"/>
              </w:rPr>
              <w:t>2 090 082</w:t>
            </w:r>
          </w:p>
        </w:tc>
        <w:tc>
          <w:tcPr>
            <w:tcW w:w="44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E21C8" w:rsidP="00A02DCA">
            <w:pPr>
              <w:bidi w:val="0"/>
              <w:jc w:val="right"/>
              <w:rPr>
                <w:rFonts w:ascii="Times New Roman" w:hAnsi="Times New Roman"/>
                <w:b/>
                <w:bCs/>
                <w:color w:val="000000"/>
                <w:sz w:val="16"/>
                <w:szCs w:val="16"/>
              </w:rPr>
            </w:pPr>
            <w:r>
              <w:rPr>
                <w:rFonts w:ascii="Times New Roman" w:hAnsi="Times New Roman"/>
                <w:b/>
                <w:bCs/>
                <w:color w:val="000000"/>
                <w:sz w:val="16"/>
                <w:szCs w:val="16"/>
              </w:rPr>
              <w:t>2 231 420</w:t>
            </w:r>
          </w:p>
        </w:tc>
        <w:tc>
          <w:tcPr>
            <w:tcW w:w="449"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E21C8" w:rsidP="00A02DCA">
            <w:pPr>
              <w:bidi w:val="0"/>
              <w:jc w:val="right"/>
              <w:rPr>
                <w:rFonts w:ascii="Times New Roman" w:hAnsi="Times New Roman"/>
                <w:b/>
                <w:bCs/>
                <w:color w:val="000000"/>
                <w:sz w:val="16"/>
                <w:szCs w:val="16"/>
              </w:rPr>
            </w:pPr>
            <w:r>
              <w:rPr>
                <w:rFonts w:ascii="Times New Roman" w:hAnsi="Times New Roman"/>
                <w:b/>
                <w:bCs/>
                <w:color w:val="000000"/>
                <w:sz w:val="16"/>
                <w:szCs w:val="16"/>
              </w:rPr>
              <w:t>2 368 607</w:t>
            </w:r>
          </w:p>
        </w:tc>
      </w:tr>
      <w:tr>
        <w:tblPrEx>
          <w:tblW w:w="5000" w:type="pct"/>
          <w:tblCellMar>
            <w:left w:w="70" w:type="dxa"/>
            <w:right w:w="70" w:type="dxa"/>
          </w:tblCellMar>
          <w:tblLook w:val="04A0"/>
        </w:tblPrEx>
        <w:trPr>
          <w:trHeight w:val="345"/>
        </w:trPr>
        <w:tc>
          <w:tcPr>
            <w:tcW w:w="1800"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rPr>
                <w:rFonts w:ascii="Times New Roman" w:hAnsi="Times New Roman"/>
                <w:color w:val="000000"/>
                <w:sz w:val="16"/>
                <w:szCs w:val="16"/>
              </w:rPr>
            </w:pPr>
            <w:r w:rsidRPr="00600280">
              <w:rPr>
                <w:rFonts w:ascii="Times New Roman" w:hAnsi="Times New Roman"/>
                <w:color w:val="000000"/>
                <w:sz w:val="16"/>
                <w:szCs w:val="16"/>
              </w:rPr>
              <w:t>z toho: prevod DPFO vrátane sankcií</w:t>
            </w:r>
          </w:p>
        </w:tc>
        <w:tc>
          <w:tcPr>
            <w:tcW w:w="450"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jc w:val="right"/>
              <w:rPr>
                <w:rFonts w:ascii="Times New Roman" w:hAnsi="Times New Roman"/>
                <w:color w:val="000000"/>
                <w:sz w:val="16"/>
                <w:szCs w:val="16"/>
              </w:rPr>
            </w:pPr>
            <w:r w:rsidRPr="00600280">
              <w:rPr>
                <w:rFonts w:ascii="Times New Roman" w:hAnsi="Times New Roman"/>
                <w:color w:val="000000"/>
                <w:sz w:val="16"/>
                <w:szCs w:val="16"/>
              </w:rPr>
              <w:t>1 226 525</w:t>
            </w:r>
          </w:p>
        </w:tc>
        <w:tc>
          <w:tcPr>
            <w:tcW w:w="506"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jc w:val="right"/>
              <w:rPr>
                <w:rFonts w:ascii="Times New Roman" w:hAnsi="Times New Roman"/>
                <w:color w:val="000000"/>
                <w:sz w:val="16"/>
                <w:szCs w:val="16"/>
              </w:rPr>
            </w:pPr>
            <w:r w:rsidRPr="00600280">
              <w:rPr>
                <w:rFonts w:ascii="Times New Roman" w:hAnsi="Times New Roman"/>
                <w:color w:val="000000"/>
                <w:sz w:val="16"/>
                <w:szCs w:val="16"/>
              </w:rPr>
              <w:t>1 300 567</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jc w:val="right"/>
              <w:rPr>
                <w:rFonts w:ascii="Times New Roman" w:hAnsi="Times New Roman"/>
                <w:color w:val="000000"/>
                <w:sz w:val="16"/>
                <w:szCs w:val="16"/>
              </w:rPr>
            </w:pPr>
            <w:r w:rsidRPr="00600280">
              <w:rPr>
                <w:rFonts w:ascii="Times New Roman" w:hAnsi="Times New Roman"/>
                <w:color w:val="000000"/>
                <w:sz w:val="16"/>
                <w:szCs w:val="16"/>
              </w:rPr>
              <w:t>1 442 032</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1 459 709</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1 573 799</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1 694 086</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1 807 470</w:t>
            </w:r>
          </w:p>
        </w:tc>
      </w:tr>
      <w:tr>
        <w:tblPrEx>
          <w:tblW w:w="5000" w:type="pct"/>
          <w:tblCellMar>
            <w:left w:w="70" w:type="dxa"/>
            <w:right w:w="70" w:type="dxa"/>
          </w:tblCellMar>
          <w:tblLook w:val="04A0"/>
        </w:tblPrEx>
        <w:trPr>
          <w:trHeight w:val="345"/>
        </w:trPr>
        <w:tc>
          <w:tcPr>
            <w:tcW w:w="1800"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rPr>
                <w:rFonts w:ascii="Times New Roman" w:hAnsi="Times New Roman"/>
                <w:color w:val="000000"/>
                <w:sz w:val="16"/>
                <w:szCs w:val="16"/>
              </w:rPr>
            </w:pPr>
            <w:r w:rsidRPr="00600280">
              <w:rPr>
                <w:rFonts w:ascii="Times New Roman" w:hAnsi="Times New Roman"/>
                <w:color w:val="000000"/>
                <w:sz w:val="16"/>
                <w:szCs w:val="16"/>
              </w:rPr>
              <w:t xml:space="preserve">            daň z nehnuteľností</w:t>
            </w:r>
          </w:p>
        </w:tc>
        <w:tc>
          <w:tcPr>
            <w:tcW w:w="450"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jc w:val="right"/>
              <w:rPr>
                <w:rFonts w:ascii="Times New Roman" w:hAnsi="Times New Roman"/>
                <w:color w:val="000000"/>
                <w:sz w:val="16"/>
                <w:szCs w:val="16"/>
              </w:rPr>
            </w:pPr>
            <w:r w:rsidRPr="00600280">
              <w:rPr>
                <w:rFonts w:ascii="Times New Roman" w:hAnsi="Times New Roman"/>
                <w:color w:val="000000"/>
                <w:sz w:val="16"/>
                <w:szCs w:val="16"/>
              </w:rPr>
              <w:t>316 790</w:t>
            </w:r>
          </w:p>
        </w:tc>
        <w:tc>
          <w:tcPr>
            <w:tcW w:w="506"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jc w:val="right"/>
              <w:rPr>
                <w:rFonts w:ascii="Times New Roman" w:hAnsi="Times New Roman"/>
                <w:color w:val="000000"/>
                <w:sz w:val="16"/>
                <w:szCs w:val="16"/>
              </w:rPr>
            </w:pPr>
            <w:r w:rsidRPr="00600280">
              <w:rPr>
                <w:rFonts w:ascii="Times New Roman" w:hAnsi="Times New Roman"/>
                <w:color w:val="000000"/>
                <w:sz w:val="16"/>
                <w:szCs w:val="16"/>
              </w:rPr>
              <w:t>320 453</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jc w:val="right"/>
              <w:rPr>
                <w:rFonts w:ascii="Times New Roman" w:hAnsi="Times New Roman"/>
                <w:color w:val="000000"/>
                <w:sz w:val="16"/>
                <w:szCs w:val="16"/>
              </w:rPr>
            </w:pPr>
            <w:r w:rsidRPr="00600280">
              <w:rPr>
                <w:rFonts w:ascii="Times New Roman" w:hAnsi="Times New Roman"/>
                <w:color w:val="000000"/>
                <w:sz w:val="16"/>
                <w:szCs w:val="16"/>
              </w:rPr>
              <w:t>326 952</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318 276</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325 945</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336 463</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348 867</w:t>
            </w:r>
          </w:p>
        </w:tc>
      </w:tr>
      <w:tr>
        <w:tblPrEx>
          <w:tblW w:w="5000" w:type="pct"/>
          <w:tblCellMar>
            <w:left w:w="70" w:type="dxa"/>
            <w:right w:w="70" w:type="dxa"/>
          </w:tblCellMar>
          <w:tblLook w:val="04A0"/>
        </w:tblPrEx>
        <w:trPr>
          <w:trHeight w:val="345"/>
        </w:trPr>
        <w:tc>
          <w:tcPr>
            <w:tcW w:w="1800"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rPr>
                <w:rFonts w:ascii="Times New Roman" w:hAnsi="Times New Roman"/>
                <w:color w:val="000000"/>
                <w:sz w:val="16"/>
                <w:szCs w:val="16"/>
              </w:rPr>
            </w:pPr>
            <w:r w:rsidRPr="00600280">
              <w:rPr>
                <w:rFonts w:ascii="Times New Roman" w:hAnsi="Times New Roman"/>
                <w:color w:val="000000"/>
                <w:sz w:val="16"/>
                <w:szCs w:val="16"/>
              </w:rPr>
              <w:t xml:space="preserve">            daň za špecifické služby</w:t>
            </w:r>
          </w:p>
        </w:tc>
        <w:tc>
          <w:tcPr>
            <w:tcW w:w="450"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jc w:val="right"/>
              <w:rPr>
                <w:rFonts w:ascii="Times New Roman" w:hAnsi="Times New Roman"/>
                <w:color w:val="000000"/>
                <w:sz w:val="16"/>
                <w:szCs w:val="16"/>
              </w:rPr>
            </w:pPr>
            <w:r w:rsidRPr="00600280">
              <w:rPr>
                <w:rFonts w:ascii="Times New Roman" w:hAnsi="Times New Roman"/>
                <w:color w:val="000000"/>
                <w:sz w:val="16"/>
                <w:szCs w:val="16"/>
              </w:rPr>
              <w:t>177 737</w:t>
            </w:r>
          </w:p>
        </w:tc>
        <w:tc>
          <w:tcPr>
            <w:tcW w:w="506"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jc w:val="right"/>
              <w:rPr>
                <w:rFonts w:ascii="Times New Roman" w:hAnsi="Times New Roman"/>
                <w:color w:val="000000"/>
                <w:sz w:val="16"/>
                <w:szCs w:val="16"/>
              </w:rPr>
            </w:pPr>
            <w:r w:rsidRPr="00600280">
              <w:rPr>
                <w:rFonts w:ascii="Times New Roman" w:hAnsi="Times New Roman"/>
                <w:color w:val="000000"/>
                <w:sz w:val="16"/>
                <w:szCs w:val="16"/>
              </w:rPr>
              <w:t>176 202</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jc w:val="right"/>
              <w:rPr>
                <w:rFonts w:ascii="Times New Roman" w:hAnsi="Times New Roman"/>
                <w:color w:val="000000"/>
                <w:sz w:val="16"/>
                <w:szCs w:val="16"/>
              </w:rPr>
            </w:pPr>
            <w:r w:rsidRPr="00600280">
              <w:rPr>
                <w:rFonts w:ascii="Times New Roman" w:hAnsi="Times New Roman"/>
                <w:color w:val="000000"/>
                <w:sz w:val="16"/>
                <w:szCs w:val="16"/>
              </w:rPr>
              <w:t>184 673</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182 429</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189 853</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200 360</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211 731</w:t>
            </w:r>
          </w:p>
        </w:tc>
      </w:tr>
      <w:tr>
        <w:tblPrEx>
          <w:tblW w:w="5000" w:type="pct"/>
          <w:tblCellMar>
            <w:left w:w="70" w:type="dxa"/>
            <w:right w:w="70" w:type="dxa"/>
          </w:tblCellMar>
          <w:tblLook w:val="04A0"/>
        </w:tblPrEx>
        <w:trPr>
          <w:trHeight w:val="345"/>
        </w:trPr>
        <w:tc>
          <w:tcPr>
            <w:tcW w:w="1800"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rPr>
                <w:rFonts w:ascii="Times New Roman" w:hAnsi="Times New Roman"/>
                <w:color w:val="000000"/>
                <w:sz w:val="16"/>
                <w:szCs w:val="16"/>
              </w:rPr>
            </w:pPr>
            <w:r w:rsidRPr="00600280">
              <w:rPr>
                <w:rFonts w:ascii="Times New Roman" w:hAnsi="Times New Roman"/>
                <w:color w:val="000000"/>
                <w:sz w:val="16"/>
                <w:szCs w:val="16"/>
              </w:rPr>
              <w:t xml:space="preserve">            daň za dobývací priestor</w:t>
            </w:r>
          </w:p>
        </w:tc>
        <w:tc>
          <w:tcPr>
            <w:tcW w:w="450"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jc w:val="right"/>
              <w:rPr>
                <w:rFonts w:ascii="Times New Roman" w:hAnsi="Times New Roman"/>
                <w:color w:val="000000"/>
                <w:sz w:val="16"/>
                <w:szCs w:val="16"/>
              </w:rPr>
            </w:pPr>
            <w:r w:rsidRPr="00600280">
              <w:rPr>
                <w:rFonts w:ascii="Times New Roman" w:hAnsi="Times New Roman"/>
                <w:color w:val="000000"/>
                <w:sz w:val="16"/>
                <w:szCs w:val="16"/>
              </w:rPr>
              <w:t>449</w:t>
            </w:r>
          </w:p>
        </w:tc>
        <w:tc>
          <w:tcPr>
            <w:tcW w:w="506"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jc w:val="right"/>
              <w:rPr>
                <w:rFonts w:ascii="Times New Roman" w:hAnsi="Times New Roman"/>
                <w:color w:val="000000"/>
                <w:sz w:val="16"/>
                <w:szCs w:val="16"/>
              </w:rPr>
            </w:pPr>
            <w:r w:rsidRPr="00600280">
              <w:rPr>
                <w:rFonts w:ascii="Times New Roman" w:hAnsi="Times New Roman"/>
                <w:color w:val="000000"/>
                <w:sz w:val="16"/>
                <w:szCs w:val="16"/>
              </w:rPr>
              <w:t>466</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jc w:val="right"/>
              <w:rPr>
                <w:rFonts w:ascii="Times New Roman" w:hAnsi="Times New Roman"/>
                <w:color w:val="000000"/>
                <w:sz w:val="16"/>
                <w:szCs w:val="16"/>
              </w:rPr>
            </w:pPr>
            <w:r w:rsidRPr="00600280">
              <w:rPr>
                <w:rFonts w:ascii="Times New Roman" w:hAnsi="Times New Roman"/>
                <w:color w:val="000000"/>
                <w:sz w:val="16"/>
                <w:szCs w:val="16"/>
              </w:rPr>
              <w:t>465</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466</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485</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511</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539</w:t>
            </w:r>
          </w:p>
        </w:tc>
      </w:tr>
      <w:tr>
        <w:tblPrEx>
          <w:tblW w:w="5000" w:type="pct"/>
          <w:tblCellMar>
            <w:left w:w="70" w:type="dxa"/>
            <w:right w:w="70" w:type="dxa"/>
          </w:tblCellMar>
          <w:tblLook w:val="04A0"/>
        </w:tblPrEx>
        <w:trPr>
          <w:trHeight w:val="345"/>
        </w:trPr>
        <w:tc>
          <w:tcPr>
            <w:tcW w:w="1800"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rPr>
                <w:rFonts w:ascii="Times New Roman" w:hAnsi="Times New Roman"/>
                <w:color w:val="000000"/>
                <w:sz w:val="16"/>
                <w:szCs w:val="16"/>
              </w:rPr>
            </w:pPr>
            <w:r w:rsidRPr="00600280">
              <w:rPr>
                <w:rFonts w:ascii="Times New Roman" w:hAnsi="Times New Roman"/>
                <w:color w:val="000000"/>
                <w:sz w:val="16"/>
                <w:szCs w:val="16"/>
              </w:rPr>
              <w:t xml:space="preserve">            Iné dane</w:t>
            </w:r>
          </w:p>
        </w:tc>
        <w:tc>
          <w:tcPr>
            <w:tcW w:w="450"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jc w:val="right"/>
              <w:rPr>
                <w:rFonts w:ascii="Times New Roman" w:hAnsi="Times New Roman"/>
                <w:color w:val="000000"/>
                <w:sz w:val="16"/>
                <w:szCs w:val="16"/>
              </w:rPr>
            </w:pPr>
            <w:r w:rsidRPr="00600280">
              <w:rPr>
                <w:rFonts w:ascii="Times New Roman" w:hAnsi="Times New Roman"/>
                <w:color w:val="000000"/>
                <w:sz w:val="16"/>
                <w:szCs w:val="16"/>
              </w:rPr>
              <w:t> </w:t>
            </w:r>
            <w:r>
              <w:rPr>
                <w:rFonts w:ascii="Times New Roman" w:hAnsi="Times New Roman"/>
                <w:color w:val="000000"/>
                <w:sz w:val="16"/>
                <w:szCs w:val="16"/>
              </w:rPr>
              <w:t>0</w:t>
            </w:r>
          </w:p>
        </w:tc>
        <w:tc>
          <w:tcPr>
            <w:tcW w:w="506"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jc w:val="right"/>
              <w:rPr>
                <w:rFonts w:ascii="Times New Roman" w:hAnsi="Times New Roman"/>
                <w:color w:val="000000"/>
                <w:sz w:val="16"/>
                <w:szCs w:val="16"/>
              </w:rPr>
            </w:pPr>
            <w:r w:rsidRPr="00600280">
              <w:rPr>
                <w:rFonts w:ascii="Times New Roman" w:hAnsi="Times New Roman"/>
                <w:color w:val="000000"/>
                <w:sz w:val="16"/>
                <w:szCs w:val="16"/>
              </w:rPr>
              <w:t> </w:t>
            </w:r>
            <w:r>
              <w:rPr>
                <w:rFonts w:ascii="Times New Roman" w:hAnsi="Times New Roman"/>
                <w:color w:val="000000"/>
                <w:sz w:val="16"/>
                <w:szCs w:val="16"/>
              </w:rPr>
              <w:t>0</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600280" w:rsidP="00A02DCA">
            <w:pPr>
              <w:bidi w:val="0"/>
              <w:jc w:val="right"/>
              <w:rPr>
                <w:rFonts w:ascii="Times New Roman" w:hAnsi="Times New Roman"/>
                <w:color w:val="000000"/>
                <w:sz w:val="16"/>
                <w:szCs w:val="16"/>
              </w:rPr>
            </w:pPr>
            <w:r w:rsidRPr="00600280">
              <w:rPr>
                <w:rFonts w:ascii="Times New Roman" w:hAnsi="Times New Roman"/>
                <w:color w:val="000000"/>
                <w:sz w:val="16"/>
                <w:szCs w:val="16"/>
              </w:rPr>
              <w:t> </w:t>
            </w:r>
            <w:r>
              <w:rPr>
                <w:rFonts w:ascii="Times New Roman" w:hAnsi="Times New Roman"/>
                <w:color w:val="000000"/>
                <w:sz w:val="16"/>
                <w:szCs w:val="16"/>
              </w:rPr>
              <w:t>0</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4</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0</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0</w:t>
            </w:r>
          </w:p>
        </w:tc>
        <w:tc>
          <w:tcPr>
            <w:tcW w:w="44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jc w:val="right"/>
              <w:rPr>
                <w:rFonts w:ascii="Times New Roman" w:hAnsi="Times New Roman"/>
                <w:color w:val="000000"/>
                <w:sz w:val="16"/>
                <w:szCs w:val="16"/>
              </w:rPr>
            </w:pPr>
            <w:r>
              <w:rPr>
                <w:rFonts w:ascii="Times New Roman" w:hAnsi="Times New Roman"/>
                <w:color w:val="000000"/>
                <w:sz w:val="16"/>
                <w:szCs w:val="16"/>
              </w:rPr>
              <w:t>0</w:t>
            </w:r>
          </w:p>
        </w:tc>
      </w:tr>
    </w:tbl>
    <w:p w:rsidR="005E21C8" w:rsidP="005E21C8">
      <w:pPr>
        <w:bidi w:val="0"/>
        <w:ind w:firstLine="708"/>
        <w:jc w:val="both"/>
        <w:rPr>
          <w:rFonts w:ascii="Times New Roman" w:hAnsi="Times New Roman"/>
          <w:sz w:val="16"/>
          <w:szCs w:val="16"/>
          <w:highlight w:val="yellow"/>
        </w:rPr>
      </w:pPr>
    </w:p>
    <w:p w:rsidR="005E21C8" w:rsidRPr="00135F7D" w:rsidP="005E21C8">
      <w:pPr>
        <w:bidi w:val="0"/>
        <w:ind w:firstLine="708"/>
        <w:jc w:val="both"/>
        <w:rPr>
          <w:rFonts w:ascii="Times New Roman" w:hAnsi="Times New Roman"/>
          <w:sz w:val="16"/>
          <w:szCs w:val="16"/>
          <w:highlight w:val="yellow"/>
        </w:rPr>
      </w:pPr>
    </w:p>
    <w:p w:rsidR="005E21C8" w:rsidRPr="004827B8" w:rsidP="005E21C8">
      <w:pPr>
        <w:bidi w:val="0"/>
        <w:ind w:firstLine="708"/>
        <w:jc w:val="both"/>
        <w:rPr>
          <w:rFonts w:ascii="Times New Roman" w:hAnsi="Times New Roman"/>
          <w:szCs w:val="22"/>
        </w:rPr>
      </w:pPr>
      <w:r w:rsidRPr="004827B8">
        <w:rPr>
          <w:rFonts w:ascii="Times New Roman" w:hAnsi="Times New Roman"/>
          <w:szCs w:val="22"/>
        </w:rPr>
        <w:t xml:space="preserve">V rámci nedaňových  príjmov sa uvažuje, že obce dosiahnu v roku 2016 sumu </w:t>
        <w:br/>
        <w:t xml:space="preserve">610 000 tis. eur. Ide najmä o príjmy z podnikania a z vlastníctva majetku v sume </w:t>
        <w:br/>
        <w:t xml:space="preserve">160 000 tis. eur, a to z nájomného z prenajatých pozemkov, budov, strojov </w:t>
      </w:r>
      <w:r>
        <w:rPr>
          <w:rFonts w:ascii="Times New Roman" w:hAnsi="Times New Roman"/>
          <w:szCs w:val="22"/>
        </w:rPr>
        <w:t>a zariadení. Ďalej príjmy v sume</w:t>
      </w:r>
      <w:r w:rsidRPr="004827B8">
        <w:rPr>
          <w:rFonts w:ascii="Times New Roman" w:hAnsi="Times New Roman"/>
          <w:szCs w:val="22"/>
        </w:rPr>
        <w:t xml:space="preserve"> 255 000 tis. eur z administratívnych a iných poplatkov a platieb (správne poplatky, za ubytovacie a stravovacie služby, zo vstupného, za relácie v miestnom rozhlase a pod.) a z iných nedaňových príjmov a úrokov z vkladov v sume 115 000 tis. eur. Predpokladá sa, že kapitálové príjmy dosiahnu výšku 80 000 tis. eur, a to najmä z predaja budov, bytov a z predaja pozemkov. V prognózovanej sume nedaňových príjmov sa zohľadňuje aj dosiahnutá skutočnosť v predchádzajúcom období. </w:t>
      </w:r>
    </w:p>
    <w:p w:rsidR="005E21C8" w:rsidRPr="00135F7D" w:rsidP="005E21C8">
      <w:pPr>
        <w:bidi w:val="0"/>
        <w:ind w:firstLine="708"/>
        <w:jc w:val="both"/>
        <w:rPr>
          <w:rFonts w:ascii="Times New Roman" w:hAnsi="Times New Roman"/>
          <w:sz w:val="16"/>
          <w:szCs w:val="16"/>
          <w:highlight w:val="yellow"/>
        </w:rPr>
      </w:pPr>
    </w:p>
    <w:p w:rsidR="005E21C8" w:rsidRPr="004827B8" w:rsidP="005E21C8">
      <w:pPr>
        <w:bidi w:val="0"/>
        <w:ind w:firstLine="709"/>
        <w:jc w:val="both"/>
        <w:rPr>
          <w:rFonts w:ascii="Times New Roman" w:hAnsi="Times New Roman"/>
          <w:szCs w:val="22"/>
        </w:rPr>
      </w:pPr>
      <w:r w:rsidRPr="004827B8">
        <w:rPr>
          <w:rFonts w:ascii="Times New Roman" w:hAnsi="Times New Roman"/>
          <w:szCs w:val="22"/>
        </w:rPr>
        <w:t xml:space="preserve">Transfery zo štátneho rozpočtu, zo štátnych fondov, z rozpočtov iných obcí na činnosť spoločných úradov obcí a z rozpočtov VÚC na riešenie spoločných úloh sa v roku 2016  očakávajú v objeme 1 019 622 tis. eur, z toho bežné transfery 936 688 tis. eur a  kapitálové  transfery 82 934 tis. eur. </w:t>
      </w:r>
    </w:p>
    <w:p w:rsidR="005E21C8" w:rsidRPr="00135F7D" w:rsidP="005E21C8">
      <w:pPr>
        <w:bidi w:val="0"/>
        <w:ind w:firstLine="708"/>
        <w:jc w:val="both"/>
        <w:rPr>
          <w:rFonts w:ascii="Times New Roman" w:hAnsi="Times New Roman"/>
          <w:color w:val="FF0000"/>
          <w:sz w:val="16"/>
          <w:szCs w:val="16"/>
          <w:highlight w:val="yellow"/>
        </w:rPr>
      </w:pPr>
    </w:p>
    <w:p w:rsidR="005E21C8" w:rsidRPr="00D93A82" w:rsidP="005E21C8">
      <w:pPr>
        <w:bidi w:val="0"/>
        <w:ind w:firstLine="708"/>
        <w:jc w:val="both"/>
        <w:rPr>
          <w:rFonts w:ascii="Times New Roman" w:hAnsi="Times New Roman"/>
          <w:szCs w:val="22"/>
        </w:rPr>
      </w:pPr>
      <w:r w:rsidRPr="00D93A82">
        <w:rPr>
          <w:rFonts w:ascii="Times New Roman" w:hAnsi="Times New Roman"/>
          <w:szCs w:val="22"/>
        </w:rPr>
        <w:t xml:space="preserve">Transfery zo štátneho rozpočtu do rozpočtov obcí sa v roku 2016 očakávajú v celkovej sume </w:t>
      </w:r>
      <w:r>
        <w:rPr>
          <w:rFonts w:ascii="Times New Roman" w:hAnsi="Times New Roman"/>
          <w:szCs w:val="22"/>
        </w:rPr>
        <w:t>964 719</w:t>
      </w:r>
      <w:r w:rsidRPr="00D93A82">
        <w:rPr>
          <w:rFonts w:ascii="Times New Roman" w:hAnsi="Times New Roman"/>
          <w:szCs w:val="22"/>
        </w:rPr>
        <w:t xml:space="preserve"> tis. eur z týchto kapitol:</w:t>
      </w:r>
    </w:p>
    <w:p w:rsidR="005E21C8" w:rsidRPr="00D93A82" w:rsidP="005E21C8">
      <w:pPr>
        <w:bidi w:val="0"/>
        <w:ind w:left="720" w:hanging="180"/>
        <w:jc w:val="both"/>
        <w:rPr>
          <w:rFonts w:ascii="Times New Roman" w:hAnsi="Times New Roman"/>
          <w:color w:val="FF0000"/>
          <w:sz w:val="16"/>
          <w:szCs w:val="16"/>
        </w:rPr>
      </w:pPr>
    </w:p>
    <w:p w:rsidR="005E21C8" w:rsidRPr="00133831" w:rsidP="005E21C8">
      <w:pPr>
        <w:bidi w:val="0"/>
        <w:ind w:left="709" w:hanging="142"/>
        <w:jc w:val="both"/>
        <w:rPr>
          <w:rFonts w:ascii="Times New Roman" w:hAnsi="Times New Roman"/>
          <w:szCs w:val="22"/>
        </w:rPr>
      </w:pPr>
      <w:r w:rsidRPr="00133831">
        <w:rPr>
          <w:rFonts w:ascii="Times New Roman" w:hAnsi="Times New Roman"/>
          <w:szCs w:val="22"/>
        </w:rPr>
        <w:t xml:space="preserve">- </w:t>
      </w:r>
      <w:r w:rsidRPr="00133831">
        <w:rPr>
          <w:rFonts w:ascii="Times New Roman" w:hAnsi="Times New Roman"/>
          <w:szCs w:val="22"/>
          <w:u w:val="single"/>
        </w:rPr>
        <w:t>Ministerstva školstva, vedy, výskumu a športu SR</w:t>
      </w:r>
      <w:r w:rsidRPr="00133831">
        <w:rPr>
          <w:rFonts w:ascii="Times New Roman" w:hAnsi="Times New Roman"/>
          <w:szCs w:val="22"/>
        </w:rPr>
        <w:t xml:space="preserve"> – v celkovej sume 3 594 tis. eur najmä na financovanie projektov zo štrukturálnych fondov vrátane spolufinancovania z Operačného programu Vzdelávanie a Operačného programu Ľudské zdroje </w:t>
      </w:r>
      <w:r w:rsidR="00684526">
        <w:rPr>
          <w:rFonts w:ascii="Times New Roman" w:hAnsi="Times New Roman"/>
          <w:szCs w:val="22"/>
        </w:rPr>
        <w:t xml:space="preserve">              </w:t>
      </w:r>
      <w:r w:rsidRPr="00133831">
        <w:rPr>
          <w:rFonts w:ascii="Times New Roman" w:hAnsi="Times New Roman"/>
          <w:szCs w:val="22"/>
        </w:rPr>
        <w:t xml:space="preserve">a debarierizáciu škôl. </w:t>
      </w:r>
    </w:p>
    <w:p w:rsidR="005E21C8" w:rsidRPr="00D93A82" w:rsidP="005E21C8">
      <w:pPr>
        <w:bidi w:val="0"/>
        <w:jc w:val="both"/>
        <w:rPr>
          <w:rFonts w:ascii="Times New Roman" w:hAnsi="Times New Roman"/>
          <w:sz w:val="12"/>
          <w:szCs w:val="10"/>
        </w:rPr>
      </w:pPr>
    </w:p>
    <w:p w:rsidR="005E21C8" w:rsidRPr="00D93A82" w:rsidP="005E21C8">
      <w:pPr>
        <w:bidi w:val="0"/>
        <w:jc w:val="both"/>
        <w:rPr>
          <w:rFonts w:ascii="Times New Roman" w:hAnsi="Times New Roman"/>
          <w:sz w:val="16"/>
          <w:szCs w:val="16"/>
        </w:rPr>
      </w:pPr>
    </w:p>
    <w:p w:rsidR="005E21C8" w:rsidP="005E21C8">
      <w:pPr>
        <w:numPr>
          <w:numId w:val="2"/>
        </w:numPr>
        <w:tabs>
          <w:tab w:val="num" w:pos="709"/>
          <w:tab w:val="clear" w:pos="900"/>
        </w:tabs>
        <w:bidi w:val="0"/>
        <w:ind w:left="709" w:hanging="169"/>
        <w:jc w:val="both"/>
        <w:rPr>
          <w:rFonts w:ascii="Times New Roman" w:hAnsi="Times New Roman"/>
        </w:rPr>
      </w:pPr>
      <w:r w:rsidRPr="00FC02C2">
        <w:rPr>
          <w:rFonts w:ascii="Times New Roman" w:hAnsi="Times New Roman"/>
          <w:szCs w:val="22"/>
          <w:u w:val="single"/>
        </w:rPr>
        <w:t>Ministerstva vnútra SR</w:t>
      </w:r>
      <w:r w:rsidRPr="00FC02C2">
        <w:rPr>
          <w:rFonts w:ascii="Times New Roman" w:hAnsi="Times New Roman"/>
          <w:szCs w:val="22"/>
        </w:rPr>
        <w:t xml:space="preserve"> – v sume 732 076 tis. eur. Na prenesený výkon štátnej správy sú určené finančné prostriedky v celkovej sume 731 721 tis. eur, z toho na činnosť matričných úradov v sume 6 063 tis. eur</w:t>
      </w:r>
      <w:r>
        <w:rPr>
          <w:rFonts w:ascii="Times New Roman" w:hAnsi="Times New Roman"/>
          <w:szCs w:val="22"/>
        </w:rPr>
        <w:t xml:space="preserve">, </w:t>
      </w:r>
      <w:r w:rsidRPr="00FC02C2">
        <w:rPr>
          <w:rFonts w:ascii="Times New Roman" w:hAnsi="Times New Roman"/>
          <w:szCs w:val="22"/>
        </w:rPr>
        <w:t>na hlásenie pobytu občanov a register obyvateľov  SR v sume 1 798 tis. eur, na voľby</w:t>
      </w:r>
      <w:r>
        <w:rPr>
          <w:rFonts w:ascii="Times New Roman" w:hAnsi="Times New Roman"/>
          <w:szCs w:val="22"/>
        </w:rPr>
        <w:t xml:space="preserve"> </w:t>
      </w:r>
      <w:r w:rsidRPr="00FC02C2">
        <w:rPr>
          <w:rFonts w:ascii="Times New Roman" w:hAnsi="Times New Roman"/>
          <w:szCs w:val="22"/>
        </w:rPr>
        <w:t xml:space="preserve">v sume 5 701 tis. eur, na financovanie regionálneho školstva v sume 717 569 tis. eur, na činnosti na úseku ochrany prírody, ovzdušia, vôd a protipovodňovej ochrany v sume 507 tis. eur a na register adries podľa zákona č. 125/2015 Z. z. </w:t>
      </w:r>
      <w:r>
        <w:rPr>
          <w:rFonts w:ascii="Times New Roman" w:hAnsi="Times New Roman"/>
          <w:szCs w:val="22"/>
        </w:rPr>
        <w:t xml:space="preserve">v sume </w:t>
      </w:r>
      <w:r w:rsidRPr="00FC02C2">
        <w:rPr>
          <w:rFonts w:ascii="Times New Roman" w:hAnsi="Times New Roman"/>
          <w:szCs w:val="22"/>
        </w:rPr>
        <w:t>83 tis. eur. Z ostatných finančných</w:t>
      </w:r>
      <w:r>
        <w:rPr>
          <w:rFonts w:ascii="Times New Roman" w:hAnsi="Times New Roman"/>
        </w:rPr>
        <w:t xml:space="preserve"> prostriedkov poskytnutých obciam (355 tis. eur) bude financovaná ochrana a udržiavanie vojnových hrobov. </w:t>
      </w:r>
    </w:p>
    <w:p w:rsidR="005E21C8" w:rsidRPr="00D93A82" w:rsidP="005E21C8">
      <w:pPr>
        <w:bidi w:val="0"/>
        <w:jc w:val="both"/>
        <w:rPr>
          <w:rFonts w:ascii="Times New Roman" w:hAnsi="Times New Roman"/>
          <w:color w:val="FF0000"/>
          <w:sz w:val="12"/>
          <w:szCs w:val="10"/>
        </w:rPr>
      </w:pPr>
    </w:p>
    <w:p w:rsidR="005E21C8" w:rsidRPr="00D93A82" w:rsidP="005E21C8">
      <w:pPr>
        <w:bidi w:val="0"/>
        <w:jc w:val="both"/>
        <w:rPr>
          <w:rFonts w:ascii="Times New Roman" w:hAnsi="Times New Roman"/>
          <w:sz w:val="16"/>
          <w:szCs w:val="16"/>
        </w:rPr>
      </w:pPr>
    </w:p>
    <w:p w:rsidR="005E21C8" w:rsidRPr="00D93A82" w:rsidP="005E21C8">
      <w:pPr>
        <w:numPr>
          <w:numId w:val="3"/>
        </w:numPr>
        <w:tabs>
          <w:tab w:val="num" w:pos="720"/>
          <w:tab w:val="num" w:pos="786"/>
          <w:tab w:val="clear" w:pos="900"/>
        </w:tabs>
        <w:bidi w:val="0"/>
        <w:ind w:left="720" w:hanging="180"/>
        <w:jc w:val="both"/>
        <w:rPr>
          <w:rFonts w:ascii="Times New Roman" w:hAnsi="Times New Roman"/>
          <w:szCs w:val="22"/>
          <w:u w:val="single"/>
        </w:rPr>
      </w:pPr>
      <w:r w:rsidRPr="00D93A82">
        <w:rPr>
          <w:rFonts w:ascii="Times New Roman" w:hAnsi="Times New Roman"/>
          <w:szCs w:val="22"/>
          <w:u w:val="single"/>
        </w:rPr>
        <w:t>Ministerstva dopravy, výstavby a regionálneho rozvoja SR</w:t>
      </w:r>
      <w:r w:rsidRPr="00D93A82">
        <w:rPr>
          <w:rFonts w:ascii="Times New Roman" w:hAnsi="Times New Roman"/>
          <w:szCs w:val="22"/>
        </w:rPr>
        <w:t xml:space="preserve"> – suma 20 214 tis. eur. Na financovanie preneseného výkonu štátnej správy je určená suma 6 504 tis. eur, z toho v oblasti pozemných komunikácií – špeciálnych stavebných úradov v sume 286 tis. eur a na úseku stavebného poriadku a bývania v sume 6 218 tis. eur. Ostatné prostriedky v sume 13 710 tis. eur sú určené na kapitálové transfery v sume </w:t>
        <w:br/>
        <w:t xml:space="preserve">13 100 tis. eur na </w:t>
      </w:r>
      <w:r>
        <w:rPr>
          <w:rFonts w:ascii="Times New Roman" w:hAnsi="Times New Roman"/>
          <w:szCs w:val="22"/>
        </w:rPr>
        <w:t>dotácie na rozvoj bývania</w:t>
      </w:r>
      <w:r w:rsidRPr="00D93A82">
        <w:rPr>
          <w:rFonts w:ascii="Times New Roman" w:hAnsi="Times New Roman"/>
          <w:szCs w:val="22"/>
        </w:rPr>
        <w:t xml:space="preserve"> a v sume 610 tis. eur na podporu územného rozvoja miest a obcí. </w:t>
      </w:r>
    </w:p>
    <w:p w:rsidR="005E21C8" w:rsidRPr="00D93A82" w:rsidP="005E21C8">
      <w:pPr>
        <w:bidi w:val="0"/>
        <w:ind w:left="720"/>
        <w:jc w:val="both"/>
        <w:rPr>
          <w:rFonts w:ascii="Times New Roman" w:hAnsi="Times New Roman"/>
          <w:sz w:val="16"/>
          <w:szCs w:val="16"/>
          <w:u w:val="single"/>
        </w:rPr>
      </w:pPr>
    </w:p>
    <w:p w:rsidR="005E21C8" w:rsidRPr="00D93A82" w:rsidP="005E21C8">
      <w:pPr>
        <w:numPr>
          <w:numId w:val="3"/>
        </w:numPr>
        <w:tabs>
          <w:tab w:val="num" w:pos="709"/>
          <w:tab w:val="num" w:pos="786"/>
          <w:tab w:val="clear" w:pos="900"/>
        </w:tabs>
        <w:bidi w:val="0"/>
        <w:ind w:left="709" w:hanging="169"/>
        <w:jc w:val="both"/>
        <w:rPr>
          <w:rFonts w:ascii="Times New Roman" w:hAnsi="Times New Roman"/>
        </w:rPr>
      </w:pPr>
      <w:r w:rsidRPr="00D93A82">
        <w:rPr>
          <w:rFonts w:ascii="Times New Roman" w:hAnsi="Times New Roman"/>
          <w:u w:val="single"/>
        </w:rPr>
        <w:t>Ministerstva hospodárstva SR</w:t>
      </w:r>
      <w:r w:rsidRPr="00D93A82">
        <w:rPr>
          <w:rFonts w:ascii="Times New Roman" w:hAnsi="Times New Roman"/>
        </w:rPr>
        <w:t xml:space="preserve"> – do rozpočtov obcí budú smerovať finančné prostriedky v sume 3 746 tis. eur. Ide </w:t>
      </w:r>
      <w:r>
        <w:rPr>
          <w:rFonts w:ascii="Times New Roman" w:hAnsi="Times New Roman"/>
        </w:rPr>
        <w:t xml:space="preserve">najmä </w:t>
      </w:r>
      <w:r w:rsidRPr="00D93A82">
        <w:rPr>
          <w:rFonts w:ascii="Times New Roman" w:hAnsi="Times New Roman"/>
        </w:rPr>
        <w:t>o finančné prostriedky na verejné osvetlenie pre mestá a obce a poskytovanie poradenstva v oblasti energetiky.</w:t>
      </w:r>
    </w:p>
    <w:p w:rsidR="005E21C8" w:rsidRPr="00D93A82" w:rsidP="005E21C8">
      <w:pPr>
        <w:pStyle w:val="ListParagraph"/>
        <w:bidi w:val="0"/>
        <w:rPr>
          <w:rFonts w:ascii="Times New Roman" w:hAnsi="Times New Roman"/>
          <w:sz w:val="16"/>
          <w:szCs w:val="16"/>
        </w:rPr>
      </w:pPr>
    </w:p>
    <w:p w:rsidR="005E21C8" w:rsidRPr="00D93A82" w:rsidP="005E21C8">
      <w:pPr>
        <w:numPr>
          <w:numId w:val="3"/>
        </w:numPr>
        <w:tabs>
          <w:tab w:val="num" w:pos="709"/>
          <w:tab w:val="num" w:pos="786"/>
          <w:tab w:val="clear" w:pos="900"/>
        </w:tabs>
        <w:bidi w:val="0"/>
        <w:ind w:left="709" w:hanging="169"/>
        <w:jc w:val="both"/>
        <w:rPr>
          <w:rFonts w:ascii="Times New Roman" w:hAnsi="Times New Roman"/>
        </w:rPr>
      </w:pPr>
      <w:r w:rsidRPr="0072127B">
        <w:rPr>
          <w:rFonts w:ascii="Times New Roman" w:hAnsi="Times New Roman"/>
          <w:u w:val="single"/>
        </w:rPr>
        <w:t xml:space="preserve">Ministerstva práce, sociálnych vecí a rodiny SR </w:t>
      </w:r>
      <w:r w:rsidRPr="0072127B">
        <w:rPr>
          <w:rFonts w:ascii="Times New Roman" w:hAnsi="Times New Roman"/>
        </w:rPr>
        <w:t>– v sume 55 509 tis. eur, ktoré budú poskytované obciam najmä na výkon osobitného príjemcu, výdavky na stravu a na školské potreby pre deti v hmotnej núdzi a na financovanie zariadení sociálnych</w:t>
      </w:r>
      <w:r w:rsidRPr="00D93A82">
        <w:rPr>
          <w:rFonts w:ascii="Times New Roman" w:hAnsi="Times New Roman"/>
        </w:rPr>
        <w:t xml:space="preserve"> služieb.</w:t>
      </w:r>
    </w:p>
    <w:p w:rsidR="005E21C8" w:rsidRPr="00D93A82" w:rsidP="005E21C8">
      <w:pPr>
        <w:bidi w:val="0"/>
        <w:jc w:val="both"/>
        <w:rPr>
          <w:rFonts w:ascii="Times New Roman" w:hAnsi="Times New Roman"/>
          <w:sz w:val="16"/>
          <w:szCs w:val="16"/>
        </w:rPr>
      </w:pPr>
    </w:p>
    <w:p w:rsidR="005E21C8" w:rsidRPr="00D93A82" w:rsidP="005E21C8">
      <w:pPr>
        <w:numPr>
          <w:numId w:val="3"/>
        </w:numPr>
        <w:tabs>
          <w:tab w:val="num" w:pos="720"/>
          <w:tab w:val="num" w:pos="786"/>
          <w:tab w:val="clear" w:pos="900"/>
        </w:tabs>
        <w:bidi w:val="0"/>
        <w:ind w:left="720" w:hanging="180"/>
        <w:jc w:val="both"/>
        <w:rPr>
          <w:rFonts w:ascii="Times New Roman" w:hAnsi="Times New Roman"/>
        </w:rPr>
      </w:pPr>
      <w:r w:rsidRPr="00D93A82">
        <w:rPr>
          <w:rFonts w:ascii="Times New Roman" w:hAnsi="Times New Roman"/>
          <w:u w:val="single"/>
        </w:rPr>
        <w:t>Ministerstva pôdohospodárstva a rozvoja vidieka SR</w:t>
      </w:r>
      <w:r w:rsidRPr="00D93A82">
        <w:rPr>
          <w:rFonts w:ascii="Times New Roman" w:hAnsi="Times New Roman"/>
        </w:rPr>
        <w:t xml:space="preserve"> – v sume </w:t>
      </w:r>
      <w:r>
        <w:rPr>
          <w:rFonts w:ascii="Times New Roman" w:hAnsi="Times New Roman"/>
        </w:rPr>
        <w:t>144 830</w:t>
      </w:r>
      <w:r w:rsidRPr="00D93A82">
        <w:rPr>
          <w:rFonts w:ascii="Times New Roman" w:hAnsi="Times New Roman"/>
        </w:rPr>
        <w:t xml:space="preserve"> tis. eur</w:t>
      </w:r>
      <w:r>
        <w:rPr>
          <w:rFonts w:ascii="Times New Roman" w:hAnsi="Times New Roman"/>
        </w:rPr>
        <w:t>, a to</w:t>
      </w:r>
      <w:r w:rsidRPr="00D93A82">
        <w:rPr>
          <w:rFonts w:ascii="Times New Roman" w:hAnsi="Times New Roman"/>
        </w:rPr>
        <w:t xml:space="preserve"> na spolufinancovanie spoločných projektov SR a EÚ v oblasti podpory regionálneho rozvoja miest a obcí a na financovanie programov európskej územnej spolupráce.</w:t>
      </w:r>
    </w:p>
    <w:p w:rsidR="005E21C8" w:rsidRPr="00D93A82" w:rsidP="005E21C8">
      <w:pPr>
        <w:pStyle w:val="ListParagraph"/>
        <w:bidi w:val="0"/>
        <w:rPr>
          <w:rFonts w:ascii="Times New Roman" w:hAnsi="Times New Roman"/>
          <w:sz w:val="16"/>
          <w:szCs w:val="16"/>
        </w:rPr>
      </w:pPr>
    </w:p>
    <w:p w:rsidR="005E21C8" w:rsidRPr="00D93A82" w:rsidP="005E21C8">
      <w:pPr>
        <w:numPr>
          <w:numId w:val="3"/>
        </w:numPr>
        <w:tabs>
          <w:tab w:val="num" w:pos="720"/>
          <w:tab w:val="num" w:pos="786"/>
          <w:tab w:val="clear" w:pos="900"/>
        </w:tabs>
        <w:bidi w:val="0"/>
        <w:ind w:left="720" w:hanging="180"/>
        <w:jc w:val="both"/>
        <w:rPr>
          <w:rFonts w:ascii="Times New Roman" w:hAnsi="Times New Roman"/>
          <w:szCs w:val="22"/>
        </w:rPr>
      </w:pPr>
      <w:r w:rsidRPr="00D93A82">
        <w:rPr>
          <w:rFonts w:ascii="Times New Roman" w:hAnsi="Times New Roman"/>
          <w:szCs w:val="22"/>
          <w:u w:val="single"/>
        </w:rPr>
        <w:t>Úradu vlády SR</w:t>
      </w:r>
      <w:r w:rsidRPr="00D93A82">
        <w:rPr>
          <w:rFonts w:ascii="Times New Roman" w:hAnsi="Times New Roman"/>
          <w:szCs w:val="22"/>
        </w:rPr>
        <w:t xml:space="preserve"> – v sume 50 tis. eur ako kapitálový transfer na podporu obcí.</w:t>
      </w:r>
    </w:p>
    <w:p w:rsidR="005E21C8" w:rsidRPr="00D93A82" w:rsidP="005E21C8">
      <w:pPr>
        <w:pStyle w:val="ListParagraph"/>
        <w:bidi w:val="0"/>
        <w:rPr>
          <w:rFonts w:ascii="Times New Roman" w:hAnsi="Times New Roman"/>
          <w:sz w:val="16"/>
          <w:szCs w:val="16"/>
        </w:rPr>
      </w:pPr>
    </w:p>
    <w:p w:rsidR="005E21C8" w:rsidRPr="00D93A82" w:rsidP="005E21C8">
      <w:pPr>
        <w:numPr>
          <w:numId w:val="3"/>
        </w:numPr>
        <w:tabs>
          <w:tab w:val="num" w:pos="720"/>
          <w:tab w:val="num" w:pos="786"/>
          <w:tab w:val="clear" w:pos="900"/>
        </w:tabs>
        <w:bidi w:val="0"/>
        <w:ind w:left="720" w:hanging="180"/>
        <w:jc w:val="both"/>
        <w:rPr>
          <w:rFonts w:ascii="Times New Roman" w:hAnsi="Times New Roman"/>
          <w:szCs w:val="22"/>
        </w:rPr>
      </w:pPr>
      <w:r w:rsidRPr="00D93A82">
        <w:rPr>
          <w:rFonts w:ascii="Times New Roman" w:hAnsi="Times New Roman"/>
          <w:szCs w:val="22"/>
          <w:u w:val="single"/>
        </w:rPr>
        <w:t>Všeobecnej pokladničnej správy</w:t>
      </w:r>
      <w:r w:rsidRPr="00D93A82">
        <w:rPr>
          <w:rFonts w:ascii="Times New Roman" w:hAnsi="Times New Roman"/>
          <w:szCs w:val="22"/>
        </w:rPr>
        <w:t xml:space="preserve"> – finančné prostriedky v sume 4 700 tis. eur sú určené na financovanie individuálnych potrieb obcí a na záchranu a obnovu kultúrnych pamiatok.</w:t>
      </w:r>
    </w:p>
    <w:p w:rsidR="005E21C8" w:rsidRPr="00135F7D" w:rsidP="005E21C8">
      <w:pPr>
        <w:pStyle w:val="ListParagraph"/>
        <w:bidi w:val="0"/>
        <w:rPr>
          <w:rFonts w:ascii="Times New Roman" w:hAnsi="Times New Roman"/>
          <w:sz w:val="16"/>
          <w:szCs w:val="16"/>
          <w:highlight w:val="yellow"/>
        </w:rPr>
      </w:pPr>
    </w:p>
    <w:p w:rsidR="005E21C8" w:rsidRPr="00E71838" w:rsidP="005E21C8">
      <w:pPr>
        <w:bidi w:val="0"/>
        <w:ind w:firstLine="708"/>
        <w:jc w:val="both"/>
        <w:rPr>
          <w:rFonts w:ascii="Times New Roman" w:hAnsi="Times New Roman"/>
          <w:szCs w:val="22"/>
        </w:rPr>
      </w:pPr>
      <w:r w:rsidRPr="00E71838">
        <w:rPr>
          <w:rFonts w:ascii="Times New Roman" w:hAnsi="Times New Roman"/>
          <w:szCs w:val="22"/>
        </w:rPr>
        <w:t xml:space="preserve">Do rozpočtov obcí sa predpokladajú poskytnúť v roku 2016 finančné prostriedky </w:t>
      </w:r>
      <w:r>
        <w:rPr>
          <w:rFonts w:ascii="Times New Roman" w:hAnsi="Times New Roman"/>
          <w:szCs w:val="22"/>
        </w:rPr>
        <w:br/>
      </w:r>
      <w:r w:rsidRPr="00E71838">
        <w:rPr>
          <w:rFonts w:ascii="Times New Roman" w:hAnsi="Times New Roman"/>
          <w:szCs w:val="22"/>
        </w:rPr>
        <w:t xml:space="preserve">z fondov v celkovej sume 21 603 tis. eur, z toho z </w:t>
      </w:r>
      <w:r w:rsidRPr="00E71838">
        <w:rPr>
          <w:rFonts w:ascii="Times New Roman" w:hAnsi="Times New Roman"/>
          <w:szCs w:val="22"/>
          <w:u w:val="single"/>
        </w:rPr>
        <w:t>Environmentálneho fondu</w:t>
      </w:r>
      <w:r w:rsidRPr="00E71838">
        <w:rPr>
          <w:rFonts w:ascii="Times New Roman" w:hAnsi="Times New Roman"/>
          <w:szCs w:val="22"/>
        </w:rPr>
        <w:t xml:space="preserve"> v sume </w:t>
        <w:br/>
        <w:t>19 100 tis. eur</w:t>
      </w:r>
      <w:r>
        <w:rPr>
          <w:rFonts w:ascii="Times New Roman" w:hAnsi="Times New Roman"/>
          <w:szCs w:val="22"/>
        </w:rPr>
        <w:t>,</w:t>
      </w:r>
      <w:r w:rsidRPr="00E71838">
        <w:rPr>
          <w:rFonts w:ascii="Times New Roman" w:hAnsi="Times New Roman"/>
          <w:szCs w:val="22"/>
        </w:rPr>
        <w:t xml:space="preserve"> z </w:t>
      </w:r>
      <w:r w:rsidRPr="00E71838">
        <w:rPr>
          <w:rFonts w:ascii="Times New Roman" w:hAnsi="Times New Roman"/>
          <w:szCs w:val="22"/>
          <w:u w:val="single"/>
        </w:rPr>
        <w:t>Audiovizuálneho fondu</w:t>
      </w:r>
      <w:r w:rsidRPr="00E71838">
        <w:rPr>
          <w:rFonts w:ascii="Times New Roman" w:hAnsi="Times New Roman"/>
          <w:szCs w:val="22"/>
        </w:rPr>
        <w:t xml:space="preserve"> 203 tis. eur a z </w:t>
      </w:r>
      <w:r w:rsidRPr="00E71838">
        <w:rPr>
          <w:rFonts w:ascii="Times New Roman" w:hAnsi="Times New Roman"/>
          <w:szCs w:val="22"/>
          <w:u w:val="single"/>
        </w:rPr>
        <w:t>Fondu na podporu umenia</w:t>
      </w:r>
      <w:r w:rsidRPr="00E71838">
        <w:rPr>
          <w:rFonts w:ascii="Times New Roman" w:hAnsi="Times New Roman"/>
          <w:szCs w:val="22"/>
        </w:rPr>
        <w:t xml:space="preserve"> </w:t>
      </w:r>
      <w:r w:rsidR="00684526">
        <w:rPr>
          <w:rFonts w:ascii="Times New Roman" w:hAnsi="Times New Roman"/>
          <w:szCs w:val="22"/>
        </w:rPr>
        <w:t xml:space="preserve">           </w:t>
      </w:r>
      <w:r w:rsidRPr="00E71838">
        <w:rPr>
          <w:rFonts w:ascii="Times New Roman" w:hAnsi="Times New Roman"/>
          <w:szCs w:val="22"/>
        </w:rPr>
        <w:t>2 300 tis. eur.</w:t>
      </w:r>
    </w:p>
    <w:p w:rsidR="005E21C8" w:rsidRPr="00135F7D" w:rsidP="005E21C8">
      <w:pPr>
        <w:bidi w:val="0"/>
        <w:ind w:firstLine="708"/>
        <w:jc w:val="both"/>
        <w:rPr>
          <w:rFonts w:ascii="Times New Roman" w:hAnsi="Times New Roman"/>
          <w:sz w:val="16"/>
          <w:szCs w:val="16"/>
          <w:highlight w:val="yellow"/>
        </w:rPr>
      </w:pPr>
    </w:p>
    <w:p w:rsidR="005E21C8" w:rsidP="00684526">
      <w:pPr>
        <w:bidi w:val="0"/>
        <w:ind w:firstLine="708"/>
        <w:jc w:val="both"/>
        <w:rPr>
          <w:rFonts w:ascii="Times New Roman" w:hAnsi="Times New Roman"/>
          <w:szCs w:val="22"/>
        </w:rPr>
      </w:pPr>
      <w:r w:rsidRPr="00F24E1D">
        <w:rPr>
          <w:rFonts w:ascii="Times New Roman" w:hAnsi="Times New Roman"/>
          <w:szCs w:val="22"/>
        </w:rPr>
        <w:t xml:space="preserve">Príjmové finančné operácie sa predpokladajú v roku 2016 v celkovej sume </w:t>
        <w:br/>
        <w:t xml:space="preserve">340 000 tis. eur. Predpokladá sa, že obce z prostriedkov peňažných fondov prevedú do príjmov rozpočtu sumu 100 000 tis. eur, zo zostatku prostriedkov z predchádzajúcich rokov sumu 50 000 tis. eur, z predaja majetkových účastí a zo splátok poskytnutých pôžičiek získajú sumu 10 000 tis. eur a prijmú úvery na plnenie svojich investičných zámerov v sume </w:t>
        <w:br/>
      </w:r>
      <w:r w:rsidR="00684526">
        <w:rPr>
          <w:rFonts w:ascii="Times New Roman" w:hAnsi="Times New Roman"/>
          <w:szCs w:val="22"/>
        </w:rPr>
        <w:t>180 000 tis. eur.</w:t>
      </w:r>
    </w:p>
    <w:p w:rsidR="00684526" w:rsidRPr="00684526" w:rsidP="00684526">
      <w:pPr>
        <w:bidi w:val="0"/>
        <w:ind w:firstLine="708"/>
        <w:jc w:val="both"/>
        <w:rPr>
          <w:rFonts w:ascii="Times New Roman" w:hAnsi="Times New Roman"/>
          <w:sz w:val="16"/>
          <w:szCs w:val="16"/>
        </w:rPr>
      </w:pPr>
    </w:p>
    <w:p w:rsidR="005E21C8" w:rsidP="005E21C8">
      <w:pPr>
        <w:pStyle w:val="BodyText"/>
        <w:keepLines/>
        <w:bidi w:val="0"/>
        <w:ind w:firstLine="708"/>
        <w:rPr>
          <w:rFonts w:ascii="Times New Roman" w:hAnsi="Times New Roman"/>
          <w:szCs w:val="22"/>
        </w:rPr>
      </w:pPr>
      <w:r w:rsidRPr="00F24E1D">
        <w:rPr>
          <w:rFonts w:ascii="Times New Roman" w:hAnsi="Times New Roman"/>
          <w:szCs w:val="22"/>
        </w:rPr>
        <w:t>Vývoj príjmovej a výdavkovej časti rozpočtu obcí na roky  2016 až  2018 v porovnaní s rozpočtom verejnej správy a očakávanou skutočnosťou na rok 2015 a skutočnosťou za roky 2013 a 2014 je nasledovný:</w:t>
      </w:r>
    </w:p>
    <w:p w:rsidR="00684526" w:rsidP="005E21C8">
      <w:pPr>
        <w:pStyle w:val="BodyText"/>
        <w:keepLines/>
        <w:bidi w:val="0"/>
        <w:ind w:firstLine="708"/>
        <w:rPr>
          <w:rFonts w:ascii="Times New Roman" w:hAnsi="Times New Roman"/>
          <w:szCs w:val="22"/>
        </w:rPr>
      </w:pPr>
    </w:p>
    <w:p w:rsidR="00684526" w:rsidP="005E21C8">
      <w:pPr>
        <w:pStyle w:val="BodyText"/>
        <w:keepLines/>
        <w:bidi w:val="0"/>
        <w:ind w:firstLine="708"/>
        <w:rPr>
          <w:rFonts w:ascii="Times New Roman" w:hAnsi="Times New Roman"/>
          <w:szCs w:val="22"/>
        </w:rPr>
      </w:pPr>
    </w:p>
    <w:p w:rsidR="00684526" w:rsidP="005E21C8">
      <w:pPr>
        <w:pStyle w:val="BodyText"/>
        <w:keepLines/>
        <w:bidi w:val="0"/>
        <w:ind w:firstLine="708"/>
        <w:rPr>
          <w:rFonts w:ascii="Times New Roman" w:hAnsi="Times New Roman"/>
          <w:szCs w:val="22"/>
        </w:rPr>
      </w:pPr>
    </w:p>
    <w:p w:rsidR="00684526" w:rsidP="005E21C8">
      <w:pPr>
        <w:pStyle w:val="BodyText"/>
        <w:keepLines/>
        <w:bidi w:val="0"/>
        <w:ind w:firstLine="708"/>
        <w:rPr>
          <w:rFonts w:ascii="Times New Roman" w:hAnsi="Times New Roman"/>
          <w:szCs w:val="22"/>
        </w:rPr>
      </w:pPr>
    </w:p>
    <w:p w:rsidR="00684526" w:rsidP="005E21C8">
      <w:pPr>
        <w:pStyle w:val="BodyText"/>
        <w:keepLines/>
        <w:bidi w:val="0"/>
        <w:ind w:firstLine="708"/>
        <w:rPr>
          <w:rFonts w:ascii="Times New Roman" w:hAnsi="Times New Roman"/>
          <w:szCs w:val="22"/>
        </w:rPr>
      </w:pPr>
    </w:p>
    <w:p w:rsidR="00684526" w:rsidP="005E21C8">
      <w:pPr>
        <w:pStyle w:val="BodyText"/>
        <w:keepLines/>
        <w:bidi w:val="0"/>
        <w:ind w:firstLine="708"/>
        <w:rPr>
          <w:rFonts w:ascii="Times New Roman" w:hAnsi="Times New Roman"/>
          <w:szCs w:val="22"/>
        </w:rPr>
      </w:pPr>
    </w:p>
    <w:p w:rsidR="00684526" w:rsidP="005E21C8">
      <w:pPr>
        <w:pStyle w:val="BodyText"/>
        <w:keepLines/>
        <w:bidi w:val="0"/>
        <w:ind w:firstLine="708"/>
        <w:rPr>
          <w:rFonts w:ascii="Times New Roman" w:hAnsi="Times New Roman"/>
          <w:szCs w:val="22"/>
        </w:rPr>
      </w:pPr>
    </w:p>
    <w:tbl>
      <w:tblPr>
        <w:tblStyle w:val="TableNormal"/>
        <w:tblW w:w="5000" w:type="pct"/>
        <w:tblCellMar>
          <w:left w:w="70" w:type="dxa"/>
          <w:right w:w="70" w:type="dxa"/>
        </w:tblCellMar>
        <w:tblLook w:val="04A0"/>
      </w:tblPr>
      <w:tblGrid>
        <w:gridCol w:w="2994"/>
        <w:gridCol w:w="888"/>
        <w:gridCol w:w="888"/>
        <w:gridCol w:w="888"/>
        <w:gridCol w:w="888"/>
        <w:gridCol w:w="888"/>
        <w:gridCol w:w="888"/>
        <w:gridCol w:w="888"/>
      </w:tblGrid>
      <w:tr>
        <w:tblPrEx>
          <w:tblW w:w="5000" w:type="pct"/>
          <w:tblCellMar>
            <w:left w:w="70" w:type="dxa"/>
            <w:right w:w="70" w:type="dxa"/>
          </w:tblCellMar>
          <w:tblLook w:val="04A0"/>
        </w:tblPrEx>
        <w:trPr>
          <w:cantSplit/>
          <w:trHeight w:val="263"/>
        </w:trPr>
        <w:tc>
          <w:tcPr>
            <w:tcW w:w="1625"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E21C8" w:rsidRPr="00260BA7" w:rsidP="00A02DCA">
            <w:pPr>
              <w:bidi w:val="0"/>
              <w:rPr>
                <w:rFonts w:ascii="Times New Roman" w:hAnsi="Times New Roman"/>
                <w:b/>
                <w:bCs/>
                <w:sz w:val="16"/>
                <w:szCs w:val="16"/>
              </w:rPr>
            </w:pPr>
            <w:r w:rsidRPr="00260BA7">
              <w:rPr>
                <w:rFonts w:ascii="Times New Roman" w:hAnsi="Times New Roman"/>
                <w:b/>
                <w:bCs/>
                <w:sz w:val="16"/>
                <w:szCs w:val="16"/>
              </w:rPr>
              <w:t>v tis. eur</w:t>
            </w:r>
          </w:p>
        </w:tc>
        <w:tc>
          <w:tcPr>
            <w:tcW w:w="48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5E21C8" w:rsidRPr="00260BA7" w:rsidP="00A02DCA">
            <w:pPr>
              <w:bidi w:val="0"/>
              <w:jc w:val="center"/>
              <w:rPr>
                <w:rFonts w:ascii="Times New Roman" w:hAnsi="Times New Roman"/>
                <w:b/>
                <w:bCs/>
                <w:sz w:val="16"/>
                <w:szCs w:val="16"/>
              </w:rPr>
            </w:pPr>
            <w:r w:rsidRPr="00260BA7">
              <w:rPr>
                <w:rFonts w:ascii="Times New Roman" w:hAnsi="Times New Roman"/>
                <w:b/>
                <w:bCs/>
                <w:sz w:val="16"/>
                <w:szCs w:val="16"/>
              </w:rPr>
              <w:t>2013 S</w:t>
            </w:r>
          </w:p>
        </w:tc>
        <w:tc>
          <w:tcPr>
            <w:tcW w:w="48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5E21C8" w:rsidRPr="00260BA7" w:rsidP="00A02DCA">
            <w:pPr>
              <w:bidi w:val="0"/>
              <w:jc w:val="center"/>
              <w:rPr>
                <w:rFonts w:ascii="Times New Roman" w:hAnsi="Times New Roman"/>
                <w:b/>
                <w:bCs/>
                <w:sz w:val="16"/>
                <w:szCs w:val="16"/>
              </w:rPr>
            </w:pPr>
            <w:r w:rsidRPr="00260BA7">
              <w:rPr>
                <w:rFonts w:ascii="Times New Roman" w:hAnsi="Times New Roman"/>
                <w:b/>
                <w:bCs/>
                <w:sz w:val="16"/>
                <w:szCs w:val="16"/>
              </w:rPr>
              <w:t>2014 S</w:t>
            </w:r>
          </w:p>
        </w:tc>
        <w:tc>
          <w:tcPr>
            <w:tcW w:w="48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5E21C8" w:rsidRPr="00260BA7" w:rsidP="00A02DCA">
            <w:pPr>
              <w:bidi w:val="0"/>
              <w:jc w:val="center"/>
              <w:rPr>
                <w:rFonts w:ascii="Times New Roman" w:hAnsi="Times New Roman"/>
                <w:b/>
                <w:bCs/>
                <w:sz w:val="16"/>
                <w:szCs w:val="16"/>
              </w:rPr>
            </w:pPr>
            <w:r w:rsidRPr="00260BA7">
              <w:rPr>
                <w:rFonts w:ascii="Times New Roman" w:hAnsi="Times New Roman"/>
                <w:b/>
                <w:bCs/>
                <w:sz w:val="16"/>
                <w:szCs w:val="16"/>
              </w:rPr>
              <w:t>2015 R</w:t>
            </w:r>
          </w:p>
        </w:tc>
        <w:tc>
          <w:tcPr>
            <w:tcW w:w="48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5E21C8" w:rsidRPr="00260BA7" w:rsidP="00A02DCA">
            <w:pPr>
              <w:bidi w:val="0"/>
              <w:jc w:val="center"/>
              <w:rPr>
                <w:rFonts w:ascii="Times New Roman" w:hAnsi="Times New Roman"/>
                <w:b/>
                <w:bCs/>
                <w:sz w:val="16"/>
                <w:szCs w:val="16"/>
              </w:rPr>
            </w:pPr>
            <w:r w:rsidRPr="00260BA7">
              <w:rPr>
                <w:rFonts w:ascii="Times New Roman" w:hAnsi="Times New Roman"/>
                <w:b/>
                <w:bCs/>
                <w:sz w:val="16"/>
                <w:szCs w:val="16"/>
              </w:rPr>
              <w:t>2015 OS</w:t>
            </w:r>
          </w:p>
        </w:tc>
        <w:tc>
          <w:tcPr>
            <w:tcW w:w="48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5E21C8" w:rsidRPr="00260BA7" w:rsidP="00A02DCA">
            <w:pPr>
              <w:bidi w:val="0"/>
              <w:jc w:val="center"/>
              <w:rPr>
                <w:rFonts w:ascii="Times New Roman" w:hAnsi="Times New Roman"/>
                <w:b/>
                <w:bCs/>
                <w:sz w:val="16"/>
                <w:szCs w:val="16"/>
              </w:rPr>
            </w:pPr>
            <w:r w:rsidRPr="00260BA7">
              <w:rPr>
                <w:rFonts w:ascii="Times New Roman" w:hAnsi="Times New Roman"/>
                <w:b/>
                <w:bCs/>
                <w:sz w:val="16"/>
                <w:szCs w:val="16"/>
              </w:rPr>
              <w:t>2016 N</w:t>
            </w:r>
          </w:p>
        </w:tc>
        <w:tc>
          <w:tcPr>
            <w:tcW w:w="48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5E21C8" w:rsidRPr="00260BA7" w:rsidP="00A02DCA">
            <w:pPr>
              <w:bidi w:val="0"/>
              <w:jc w:val="center"/>
              <w:rPr>
                <w:rFonts w:ascii="Times New Roman" w:hAnsi="Times New Roman"/>
                <w:b/>
                <w:bCs/>
                <w:sz w:val="16"/>
                <w:szCs w:val="16"/>
              </w:rPr>
            </w:pPr>
            <w:r w:rsidRPr="00260BA7">
              <w:rPr>
                <w:rFonts w:ascii="Times New Roman" w:hAnsi="Times New Roman"/>
                <w:b/>
                <w:bCs/>
                <w:sz w:val="16"/>
                <w:szCs w:val="16"/>
              </w:rPr>
              <w:t>2017 N</w:t>
            </w:r>
          </w:p>
        </w:tc>
        <w:tc>
          <w:tcPr>
            <w:tcW w:w="48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5E21C8" w:rsidRPr="00260BA7" w:rsidP="00A02DCA">
            <w:pPr>
              <w:bidi w:val="0"/>
              <w:jc w:val="center"/>
              <w:rPr>
                <w:rFonts w:ascii="Times New Roman" w:hAnsi="Times New Roman"/>
                <w:b/>
                <w:bCs/>
                <w:sz w:val="16"/>
                <w:szCs w:val="16"/>
              </w:rPr>
            </w:pPr>
            <w:r w:rsidRPr="00260BA7">
              <w:rPr>
                <w:rFonts w:ascii="Times New Roman" w:hAnsi="Times New Roman"/>
                <w:b/>
                <w:bCs/>
                <w:sz w:val="16"/>
                <w:szCs w:val="16"/>
              </w:rPr>
              <w:t>2018 N</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shd w:val="clear" w:color="000000" w:fill="C0C0C0"/>
            <w:textDirection w:val="lrTb"/>
            <w:vAlign w:val="center"/>
            <w:hideMark/>
          </w:tcPr>
          <w:p w:rsidR="005E21C8" w:rsidRPr="00A90D40" w:rsidP="00A02DCA">
            <w:pPr>
              <w:keepLines/>
              <w:bidi w:val="0"/>
              <w:rPr>
                <w:rFonts w:ascii="Times New Roman" w:hAnsi="Times New Roman"/>
                <w:b/>
                <w:bCs/>
                <w:color w:val="000000"/>
                <w:sz w:val="16"/>
                <w:szCs w:val="16"/>
              </w:rPr>
            </w:pPr>
            <w:r w:rsidRPr="00A90D40">
              <w:rPr>
                <w:rFonts w:ascii="Times New Roman" w:hAnsi="Times New Roman"/>
                <w:b/>
                <w:bCs/>
                <w:iCs/>
                <w:color w:val="000000"/>
                <w:sz w:val="16"/>
                <w:szCs w:val="16"/>
              </w:rPr>
              <w:t>Príjmy obcí spolu</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RPr="00A90D40" w:rsidP="00A02DCA">
            <w:pPr>
              <w:keepLines/>
              <w:bidi w:val="0"/>
              <w:jc w:val="right"/>
              <w:rPr>
                <w:rFonts w:ascii="Times New Roman" w:hAnsi="Times New Roman"/>
                <w:b/>
                <w:bCs/>
                <w:color w:val="000000"/>
                <w:sz w:val="16"/>
                <w:szCs w:val="16"/>
              </w:rPr>
            </w:pPr>
            <w:r w:rsidRPr="00A90D40">
              <w:rPr>
                <w:rFonts w:ascii="Times New Roman" w:hAnsi="Times New Roman"/>
                <w:b/>
                <w:bCs/>
                <w:color w:val="000000"/>
                <w:sz w:val="16"/>
                <w:szCs w:val="16"/>
              </w:rPr>
              <w:t>3 863 249</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RPr="00A90D40" w:rsidP="00A02DCA">
            <w:pPr>
              <w:keepLines/>
              <w:bidi w:val="0"/>
              <w:jc w:val="right"/>
              <w:rPr>
                <w:rFonts w:ascii="Times New Roman" w:hAnsi="Times New Roman"/>
                <w:b/>
                <w:bCs/>
                <w:color w:val="000000"/>
                <w:sz w:val="16"/>
                <w:szCs w:val="16"/>
              </w:rPr>
            </w:pPr>
            <w:r w:rsidRPr="00A90D40">
              <w:rPr>
                <w:rFonts w:ascii="Times New Roman" w:hAnsi="Times New Roman"/>
                <w:b/>
                <w:bCs/>
                <w:color w:val="000000"/>
                <w:sz w:val="16"/>
                <w:szCs w:val="16"/>
              </w:rPr>
              <w:t>4 029 109</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RPr="00A90D40" w:rsidP="00A02DCA">
            <w:pPr>
              <w:keepLines/>
              <w:bidi w:val="0"/>
              <w:jc w:val="right"/>
              <w:rPr>
                <w:rFonts w:ascii="Times New Roman" w:hAnsi="Times New Roman"/>
                <w:b/>
                <w:bCs/>
                <w:color w:val="000000"/>
                <w:sz w:val="16"/>
                <w:szCs w:val="16"/>
              </w:rPr>
            </w:pPr>
            <w:r w:rsidRPr="00A90D40">
              <w:rPr>
                <w:rFonts w:ascii="Times New Roman" w:hAnsi="Times New Roman"/>
                <w:b/>
                <w:bCs/>
                <w:color w:val="000000"/>
                <w:sz w:val="16"/>
                <w:szCs w:val="16"/>
              </w:rPr>
              <w:t>4 044 242</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P="00A02DCA">
            <w:pPr>
              <w:keepLines/>
              <w:bidi w:val="0"/>
              <w:jc w:val="right"/>
              <w:rPr>
                <w:rFonts w:ascii="Times New Roman" w:hAnsi="Times New Roman"/>
                <w:b/>
                <w:bCs/>
                <w:color w:val="000000"/>
                <w:sz w:val="16"/>
                <w:szCs w:val="16"/>
              </w:rPr>
            </w:pPr>
            <w:r>
              <w:rPr>
                <w:rFonts w:ascii="Times New Roman" w:hAnsi="Times New Roman"/>
                <w:b/>
                <w:bCs/>
                <w:color w:val="000000"/>
                <w:sz w:val="16"/>
                <w:szCs w:val="16"/>
              </w:rPr>
              <w:t>4 369 756</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P="00A02DCA">
            <w:pPr>
              <w:keepLines/>
              <w:bidi w:val="0"/>
              <w:jc w:val="right"/>
              <w:rPr>
                <w:rFonts w:ascii="Times New Roman" w:hAnsi="Times New Roman"/>
                <w:b/>
                <w:bCs/>
                <w:color w:val="000000"/>
                <w:sz w:val="16"/>
                <w:szCs w:val="16"/>
              </w:rPr>
            </w:pPr>
            <w:r>
              <w:rPr>
                <w:rFonts w:ascii="Times New Roman" w:hAnsi="Times New Roman"/>
                <w:b/>
                <w:bCs/>
                <w:color w:val="000000"/>
                <w:sz w:val="16"/>
                <w:szCs w:val="16"/>
              </w:rPr>
              <w:t>4 059 704</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P="00A02DCA">
            <w:pPr>
              <w:keepLines/>
              <w:bidi w:val="0"/>
              <w:jc w:val="right"/>
              <w:rPr>
                <w:rFonts w:ascii="Times New Roman" w:hAnsi="Times New Roman"/>
                <w:b/>
                <w:bCs/>
                <w:color w:val="000000"/>
                <w:sz w:val="16"/>
                <w:szCs w:val="16"/>
              </w:rPr>
            </w:pPr>
            <w:r>
              <w:rPr>
                <w:rFonts w:ascii="Times New Roman" w:hAnsi="Times New Roman"/>
                <w:b/>
                <w:bCs/>
                <w:color w:val="000000"/>
                <w:sz w:val="16"/>
                <w:szCs w:val="16"/>
              </w:rPr>
              <w:t>4 238 775</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P="00A02DCA">
            <w:pPr>
              <w:keepLines/>
              <w:bidi w:val="0"/>
              <w:jc w:val="right"/>
              <w:rPr>
                <w:rFonts w:ascii="Times New Roman" w:hAnsi="Times New Roman"/>
                <w:b/>
                <w:bCs/>
                <w:color w:val="000000"/>
                <w:sz w:val="16"/>
                <w:szCs w:val="16"/>
              </w:rPr>
            </w:pPr>
            <w:r>
              <w:rPr>
                <w:rFonts w:ascii="Times New Roman" w:hAnsi="Times New Roman"/>
                <w:b/>
                <w:bCs/>
                <w:color w:val="000000"/>
                <w:sz w:val="16"/>
                <w:szCs w:val="16"/>
              </w:rPr>
              <w:t>4 441 809</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b/>
                <w:bCs/>
                <w:i/>
                <w:iCs/>
                <w:color w:val="000000"/>
                <w:sz w:val="16"/>
                <w:szCs w:val="16"/>
              </w:rPr>
            </w:pPr>
            <w:r w:rsidRPr="00A90D40">
              <w:rPr>
                <w:rFonts w:ascii="Times New Roman" w:hAnsi="Times New Roman"/>
                <w:b/>
                <w:bCs/>
                <w:i/>
                <w:iCs/>
                <w:color w:val="000000"/>
                <w:sz w:val="16"/>
                <w:szCs w:val="16"/>
              </w:rPr>
              <w:t>z  toho:</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b/>
                <w:bCs/>
                <w:i/>
                <w:iCs/>
                <w:color w:val="000000"/>
                <w:sz w:val="16"/>
                <w:szCs w:val="16"/>
              </w:rPr>
            </w:pPr>
            <w:r w:rsidRPr="00A90D40">
              <w:rPr>
                <w:rFonts w:ascii="Times New Roman" w:hAnsi="Times New Roman"/>
                <w:b/>
                <w:bCs/>
                <w:i/>
                <w:iCs/>
                <w:color w:val="000000"/>
                <w:sz w:val="16"/>
                <w:szCs w:val="16"/>
              </w:rPr>
              <w:t> </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b/>
                <w:bCs/>
                <w:i/>
                <w:iCs/>
                <w:color w:val="000000"/>
                <w:sz w:val="16"/>
                <w:szCs w:val="16"/>
              </w:rPr>
            </w:pPr>
            <w:r w:rsidRPr="00A90D40">
              <w:rPr>
                <w:rFonts w:ascii="Times New Roman" w:hAnsi="Times New Roman"/>
                <w:b/>
                <w:bCs/>
                <w:i/>
                <w:iCs/>
                <w:color w:val="000000"/>
                <w:sz w:val="16"/>
                <w:szCs w:val="16"/>
              </w:rPr>
              <w:t> </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b/>
                <w:bCs/>
                <w:i/>
                <w:iCs/>
                <w:color w:val="000000"/>
                <w:sz w:val="16"/>
                <w:szCs w:val="16"/>
              </w:rPr>
            </w:pPr>
            <w:r w:rsidRPr="00A90D40">
              <w:rPr>
                <w:rFonts w:ascii="Times New Roman" w:hAnsi="Times New Roman"/>
                <w:b/>
                <w:bCs/>
                <w:i/>
                <w:iCs/>
                <w:color w:val="000000"/>
                <w:sz w:val="16"/>
                <w:szCs w:val="16"/>
              </w:rPr>
              <w:t> </w:t>
            </w:r>
          </w:p>
        </w:tc>
        <w:tc>
          <w:tcPr>
            <w:tcW w:w="482" w:type="pct"/>
            <w:tcBorders>
              <w:top w:val="nil"/>
              <w:left w:val="nil"/>
              <w:bottom w:val="single" w:sz="4" w:space="0" w:color="auto"/>
              <w:right w:val="single" w:sz="4" w:space="0" w:color="auto"/>
            </w:tcBorders>
            <w:shd w:val="clear" w:color="000000" w:fill="FFFFFF"/>
            <w:textDirection w:val="lrTb"/>
            <w:vAlign w:val="center"/>
            <w:hideMark/>
          </w:tcPr>
          <w:p w:rsidR="005E21C8" w:rsidP="00A02DCA">
            <w:pPr>
              <w:keepLines/>
              <w:bidi w:val="0"/>
              <w:rPr>
                <w:rFonts w:ascii="Times New Roman" w:hAnsi="Times New Roman"/>
                <w:b/>
                <w:bCs/>
                <w:i/>
                <w:iCs/>
                <w:color w:val="000000"/>
                <w:sz w:val="16"/>
                <w:szCs w:val="16"/>
              </w:rPr>
            </w:pPr>
            <w:r>
              <w:rPr>
                <w:rFonts w:ascii="Times New Roman" w:hAnsi="Times New Roman"/>
                <w:b/>
                <w:bCs/>
                <w:i/>
                <w:iCs/>
                <w:color w:val="000000"/>
                <w:sz w:val="16"/>
                <w:szCs w:val="16"/>
              </w:rPr>
              <w:t> </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rPr>
                <w:rFonts w:ascii="Times New Roman" w:hAnsi="Times New Roman"/>
                <w:b/>
                <w:bCs/>
                <w:i/>
                <w:iCs/>
                <w:color w:val="000000"/>
                <w:sz w:val="16"/>
                <w:szCs w:val="16"/>
              </w:rPr>
            </w:pPr>
            <w:r>
              <w:rPr>
                <w:rFonts w:ascii="Times New Roman" w:hAnsi="Times New Roman"/>
                <w:b/>
                <w:bCs/>
                <w:i/>
                <w:iCs/>
                <w:color w:val="000000"/>
                <w:sz w:val="16"/>
                <w:szCs w:val="16"/>
              </w:rPr>
              <w:t> </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rPr>
                <w:rFonts w:ascii="Times New Roman" w:hAnsi="Times New Roman"/>
                <w:b/>
                <w:bCs/>
                <w:i/>
                <w:iCs/>
                <w:color w:val="000000"/>
                <w:sz w:val="16"/>
                <w:szCs w:val="16"/>
              </w:rPr>
            </w:pPr>
            <w:r>
              <w:rPr>
                <w:rFonts w:ascii="Times New Roman" w:hAnsi="Times New Roman"/>
                <w:b/>
                <w:bCs/>
                <w:i/>
                <w:iCs/>
                <w:color w:val="000000"/>
                <w:sz w:val="16"/>
                <w:szCs w:val="16"/>
              </w:rPr>
              <w:t> </w:t>
            </w:r>
          </w:p>
        </w:tc>
        <w:tc>
          <w:tcPr>
            <w:tcW w:w="482" w:type="pct"/>
            <w:tcBorders>
              <w:top w:val="nil"/>
              <w:left w:val="nil"/>
              <w:bottom w:val="single" w:sz="4" w:space="0" w:color="auto"/>
              <w:right w:val="single" w:sz="4" w:space="0" w:color="auto"/>
            </w:tcBorders>
            <w:shd w:val="clear" w:color="000000" w:fill="FFFFFF"/>
            <w:textDirection w:val="lrTb"/>
            <w:vAlign w:val="center"/>
            <w:hideMark/>
          </w:tcPr>
          <w:p w:rsidR="005E21C8" w:rsidP="00A02DCA">
            <w:pPr>
              <w:keepLines/>
              <w:bidi w:val="0"/>
              <w:rPr>
                <w:rFonts w:ascii="Times New Roman" w:hAnsi="Times New Roman"/>
                <w:b/>
                <w:bCs/>
                <w:i/>
                <w:iCs/>
                <w:color w:val="000000"/>
                <w:sz w:val="16"/>
                <w:szCs w:val="16"/>
              </w:rPr>
            </w:pPr>
            <w:r>
              <w:rPr>
                <w:rFonts w:ascii="Times New Roman" w:hAnsi="Times New Roman"/>
                <w:b/>
                <w:bCs/>
                <w:i/>
                <w:iCs/>
                <w:color w:val="000000"/>
                <w:sz w:val="16"/>
                <w:szCs w:val="16"/>
              </w:rPr>
              <w:t> </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color w:val="000000"/>
                <w:sz w:val="16"/>
                <w:szCs w:val="16"/>
              </w:rPr>
            </w:pPr>
            <w:r w:rsidRPr="00A90D40">
              <w:rPr>
                <w:rFonts w:ascii="Times New Roman" w:hAnsi="Times New Roman"/>
                <w:color w:val="000000"/>
                <w:sz w:val="16"/>
                <w:szCs w:val="16"/>
              </w:rPr>
              <w:t xml:space="preserve">▪   daňové príjmy </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1 721 501</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1 797 688</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1 954 122</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1 960 884</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2 090 082</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2 231 420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2 368 607</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color w:val="000000"/>
                <w:sz w:val="16"/>
                <w:szCs w:val="16"/>
              </w:rPr>
            </w:pPr>
            <w:r w:rsidRPr="00A90D40">
              <w:rPr>
                <w:rFonts w:ascii="Times New Roman" w:hAnsi="Times New Roman"/>
                <w:color w:val="000000"/>
                <w:sz w:val="16"/>
                <w:szCs w:val="16"/>
              </w:rPr>
              <w:t>▪   nedaňové príjmy</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618 646</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634 656</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573 000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633 000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610 000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610 000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580 000</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color w:val="000000"/>
                <w:sz w:val="16"/>
                <w:szCs w:val="16"/>
              </w:rPr>
            </w:pPr>
            <w:r w:rsidRPr="00A90D40">
              <w:rPr>
                <w:rFonts w:ascii="Times New Roman" w:hAnsi="Times New Roman"/>
                <w:color w:val="000000"/>
                <w:sz w:val="16"/>
                <w:szCs w:val="16"/>
              </w:rPr>
              <w:t xml:space="preserve">▪   granty a  transfery </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1 261 739</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1 198 298</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1 177 120</w:t>
            </w:r>
          </w:p>
        </w:tc>
        <w:tc>
          <w:tcPr>
            <w:tcW w:w="482" w:type="pct"/>
            <w:tcBorders>
              <w:top w:val="nil"/>
              <w:left w:val="nil"/>
              <w:bottom w:val="single" w:sz="4" w:space="0" w:color="auto"/>
              <w:right w:val="single" w:sz="4" w:space="0" w:color="auto"/>
            </w:tcBorders>
            <w:shd w:val="clear" w:color="000000" w:fill="FFFFFF"/>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1 435 872</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1 019 622</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1 057 355</w:t>
            </w:r>
          </w:p>
        </w:tc>
        <w:tc>
          <w:tcPr>
            <w:tcW w:w="482" w:type="pct"/>
            <w:tcBorders>
              <w:top w:val="nil"/>
              <w:left w:val="nil"/>
              <w:bottom w:val="single" w:sz="4" w:space="0" w:color="auto"/>
              <w:right w:val="single" w:sz="4" w:space="0" w:color="auto"/>
            </w:tcBorders>
            <w:shd w:val="clear" w:color="000000" w:fill="FFFFFF"/>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1 153 202</w:t>
            </w:r>
          </w:p>
        </w:tc>
      </w:tr>
      <w:tr>
        <w:tblPrEx>
          <w:tblW w:w="5000" w:type="pct"/>
          <w:tblCellMar>
            <w:left w:w="70" w:type="dxa"/>
            <w:right w:w="70" w:type="dxa"/>
          </w:tblCellMar>
          <w:tblLook w:val="04A0"/>
        </w:tblPrEx>
        <w:trPr>
          <w:cantSplit/>
          <w:trHeight w:val="450"/>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color w:val="000000"/>
                <w:sz w:val="16"/>
                <w:szCs w:val="16"/>
              </w:rPr>
            </w:pPr>
            <w:r w:rsidRPr="00A90D40">
              <w:rPr>
                <w:rFonts w:ascii="Times New Roman" w:hAnsi="Times New Roman"/>
                <w:color w:val="000000"/>
                <w:sz w:val="16"/>
                <w:szCs w:val="16"/>
              </w:rPr>
              <w:t>▪   zo splátok tuzemských úverov, pôžičiek a z predaja majetk. účastí (FO)</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5 412</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7 368</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10 000</w:t>
            </w:r>
          </w:p>
        </w:tc>
      </w:tr>
      <w:tr>
        <w:tblPrEx>
          <w:tblW w:w="5000" w:type="pct"/>
          <w:tblCellMar>
            <w:left w:w="70" w:type="dxa"/>
            <w:right w:w="70" w:type="dxa"/>
          </w:tblCellMar>
          <w:tblLook w:val="04A0"/>
        </w:tblPrEx>
        <w:trPr>
          <w:cantSplit/>
          <w:trHeight w:val="38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color w:val="000000"/>
                <w:sz w:val="16"/>
                <w:szCs w:val="16"/>
              </w:rPr>
            </w:pPr>
            <w:r w:rsidRPr="00A90D40">
              <w:rPr>
                <w:rFonts w:ascii="Times New Roman" w:hAnsi="Times New Roman"/>
                <w:color w:val="000000"/>
                <w:sz w:val="16"/>
                <w:szCs w:val="16"/>
              </w:rPr>
              <w:t>▪  zostatok prostr. z predch.  rokov a prevod                          prostriedkov z peňažných fondov a ost.(FO)</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116 520</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169 282</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150 000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150 000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150 000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150 000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150 000</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color w:val="000000"/>
                <w:sz w:val="16"/>
                <w:szCs w:val="16"/>
              </w:rPr>
            </w:pPr>
            <w:r w:rsidRPr="00A90D40">
              <w:rPr>
                <w:rFonts w:ascii="Times New Roman" w:hAnsi="Times New Roman"/>
                <w:color w:val="000000"/>
                <w:sz w:val="16"/>
                <w:szCs w:val="16"/>
              </w:rPr>
              <w:t>▪   prijaté úvery  (FO)</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139 431</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221 817</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180 000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180 000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180 000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180 000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180 000</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shd w:val="clear" w:color="000000" w:fill="C0C0C0"/>
            <w:textDirection w:val="lrTb"/>
            <w:vAlign w:val="center"/>
            <w:hideMark/>
          </w:tcPr>
          <w:p w:rsidR="005E21C8" w:rsidRPr="00A90D40" w:rsidP="00A02DCA">
            <w:pPr>
              <w:keepLines/>
              <w:bidi w:val="0"/>
              <w:rPr>
                <w:rFonts w:ascii="Times New Roman" w:hAnsi="Times New Roman"/>
                <w:b/>
                <w:bCs/>
                <w:color w:val="000000"/>
                <w:sz w:val="16"/>
                <w:szCs w:val="16"/>
              </w:rPr>
            </w:pPr>
            <w:r w:rsidRPr="00A90D40">
              <w:rPr>
                <w:rFonts w:ascii="Times New Roman" w:hAnsi="Times New Roman"/>
                <w:b/>
                <w:bCs/>
                <w:color w:val="000000"/>
                <w:sz w:val="16"/>
                <w:szCs w:val="16"/>
              </w:rPr>
              <w:t>Výdavky obcí spolu</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RPr="00A90D40" w:rsidP="00A02DCA">
            <w:pPr>
              <w:keepLines/>
              <w:bidi w:val="0"/>
              <w:jc w:val="right"/>
              <w:rPr>
                <w:rFonts w:ascii="Times New Roman" w:hAnsi="Times New Roman"/>
                <w:b/>
                <w:bCs/>
                <w:color w:val="000000"/>
                <w:sz w:val="16"/>
                <w:szCs w:val="16"/>
              </w:rPr>
            </w:pPr>
            <w:r w:rsidRPr="00A90D40">
              <w:rPr>
                <w:rFonts w:ascii="Times New Roman" w:hAnsi="Times New Roman"/>
                <w:b/>
                <w:bCs/>
                <w:color w:val="000000"/>
                <w:sz w:val="16"/>
                <w:szCs w:val="16"/>
              </w:rPr>
              <w:t>3 679 835</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RPr="00A90D40" w:rsidP="00A02DCA">
            <w:pPr>
              <w:keepLines/>
              <w:bidi w:val="0"/>
              <w:jc w:val="right"/>
              <w:rPr>
                <w:rFonts w:ascii="Times New Roman" w:hAnsi="Times New Roman"/>
                <w:b/>
                <w:bCs/>
                <w:color w:val="000000"/>
                <w:sz w:val="16"/>
                <w:szCs w:val="16"/>
              </w:rPr>
            </w:pPr>
            <w:r w:rsidRPr="00A90D40">
              <w:rPr>
                <w:rFonts w:ascii="Times New Roman" w:hAnsi="Times New Roman"/>
                <w:b/>
                <w:bCs/>
                <w:color w:val="000000"/>
                <w:sz w:val="16"/>
                <w:szCs w:val="16"/>
              </w:rPr>
              <w:t>3 855 119</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RPr="00A90D40" w:rsidP="00A02DCA">
            <w:pPr>
              <w:keepLines/>
              <w:bidi w:val="0"/>
              <w:jc w:val="right"/>
              <w:rPr>
                <w:rFonts w:ascii="Times New Roman" w:hAnsi="Times New Roman"/>
                <w:b/>
                <w:bCs/>
                <w:color w:val="000000"/>
                <w:sz w:val="16"/>
                <w:szCs w:val="16"/>
              </w:rPr>
            </w:pPr>
            <w:r w:rsidRPr="00A90D40">
              <w:rPr>
                <w:rFonts w:ascii="Times New Roman" w:hAnsi="Times New Roman"/>
                <w:b/>
                <w:bCs/>
                <w:color w:val="000000"/>
                <w:sz w:val="16"/>
                <w:szCs w:val="16"/>
              </w:rPr>
              <w:t>3 741 205</w:t>
            </w:r>
          </w:p>
        </w:tc>
        <w:tc>
          <w:tcPr>
            <w:tcW w:w="482" w:type="pct"/>
            <w:tcBorders>
              <w:top w:val="nil"/>
              <w:left w:val="nil"/>
              <w:bottom w:val="single" w:sz="4" w:space="0" w:color="auto"/>
              <w:right w:val="single" w:sz="4" w:space="0" w:color="auto"/>
            </w:tcBorders>
            <w:shd w:val="clear" w:color="000000" w:fill="BFBFBF"/>
            <w:textDirection w:val="lrTb"/>
            <w:vAlign w:val="center"/>
            <w:hideMark/>
          </w:tcPr>
          <w:p w:rsidR="005E21C8" w:rsidP="00A02DCA">
            <w:pPr>
              <w:keepLines/>
              <w:bidi w:val="0"/>
              <w:jc w:val="right"/>
              <w:rPr>
                <w:rFonts w:ascii="Times New Roman" w:hAnsi="Times New Roman"/>
                <w:b/>
                <w:bCs/>
                <w:color w:val="000000"/>
                <w:sz w:val="16"/>
                <w:szCs w:val="16"/>
              </w:rPr>
            </w:pPr>
            <w:r>
              <w:rPr>
                <w:rFonts w:ascii="Times New Roman" w:hAnsi="Times New Roman"/>
                <w:b/>
                <w:bCs/>
                <w:color w:val="000000"/>
                <w:sz w:val="16"/>
                <w:szCs w:val="16"/>
              </w:rPr>
              <w:t>4 091 317</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P="00A02DCA">
            <w:pPr>
              <w:keepLines/>
              <w:bidi w:val="0"/>
              <w:jc w:val="right"/>
              <w:rPr>
                <w:rFonts w:ascii="Times New Roman" w:hAnsi="Times New Roman"/>
                <w:b/>
                <w:bCs/>
                <w:color w:val="000000"/>
                <w:sz w:val="16"/>
                <w:szCs w:val="16"/>
              </w:rPr>
            </w:pPr>
            <w:r>
              <w:rPr>
                <w:rFonts w:ascii="Times New Roman" w:hAnsi="Times New Roman"/>
                <w:b/>
                <w:bCs/>
                <w:color w:val="000000"/>
                <w:sz w:val="16"/>
                <w:szCs w:val="16"/>
              </w:rPr>
              <w:t>3 801 822</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P="00A02DCA">
            <w:pPr>
              <w:keepLines/>
              <w:bidi w:val="0"/>
              <w:jc w:val="right"/>
              <w:rPr>
                <w:rFonts w:ascii="Times New Roman" w:hAnsi="Times New Roman"/>
                <w:b/>
                <w:bCs/>
                <w:color w:val="000000"/>
                <w:sz w:val="16"/>
                <w:szCs w:val="16"/>
              </w:rPr>
            </w:pPr>
            <w:r>
              <w:rPr>
                <w:rFonts w:ascii="Times New Roman" w:hAnsi="Times New Roman"/>
                <w:b/>
                <w:bCs/>
                <w:color w:val="000000"/>
                <w:sz w:val="16"/>
                <w:szCs w:val="16"/>
              </w:rPr>
              <w:t>3 931 877</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P="00A02DCA">
            <w:pPr>
              <w:keepLines/>
              <w:bidi w:val="0"/>
              <w:jc w:val="right"/>
              <w:rPr>
                <w:rFonts w:ascii="Times New Roman" w:hAnsi="Times New Roman"/>
                <w:b/>
                <w:bCs/>
                <w:color w:val="000000"/>
                <w:sz w:val="16"/>
                <w:szCs w:val="16"/>
              </w:rPr>
            </w:pPr>
            <w:r>
              <w:rPr>
                <w:rFonts w:ascii="Times New Roman" w:hAnsi="Times New Roman"/>
                <w:b/>
                <w:bCs/>
                <w:color w:val="000000"/>
                <w:sz w:val="16"/>
                <w:szCs w:val="16"/>
              </w:rPr>
              <w:t>4 108 047</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b/>
                <w:bCs/>
                <w:i/>
                <w:iCs/>
                <w:color w:val="000000"/>
                <w:sz w:val="16"/>
                <w:szCs w:val="16"/>
              </w:rPr>
            </w:pPr>
            <w:r w:rsidRPr="00A90D40">
              <w:rPr>
                <w:rFonts w:ascii="Times New Roman" w:hAnsi="Times New Roman"/>
                <w:b/>
                <w:bCs/>
                <w:i/>
                <w:iCs/>
                <w:color w:val="000000"/>
                <w:sz w:val="16"/>
                <w:szCs w:val="16"/>
              </w:rPr>
              <w:t>z  toho:</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b/>
                <w:bCs/>
                <w:i/>
                <w:iCs/>
                <w:color w:val="000000"/>
                <w:sz w:val="16"/>
                <w:szCs w:val="16"/>
              </w:rPr>
            </w:pPr>
            <w:r w:rsidRPr="00A90D40">
              <w:rPr>
                <w:rFonts w:ascii="Times New Roman" w:hAnsi="Times New Roman"/>
                <w:b/>
                <w:bCs/>
                <w:i/>
                <w:iCs/>
                <w:color w:val="000000"/>
                <w:sz w:val="16"/>
                <w:szCs w:val="16"/>
              </w:rPr>
              <w:t> </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b/>
                <w:bCs/>
                <w:i/>
                <w:iCs/>
                <w:color w:val="000000"/>
                <w:sz w:val="16"/>
                <w:szCs w:val="16"/>
              </w:rPr>
            </w:pPr>
            <w:r w:rsidRPr="00A90D40">
              <w:rPr>
                <w:rFonts w:ascii="Times New Roman" w:hAnsi="Times New Roman"/>
                <w:b/>
                <w:bCs/>
                <w:i/>
                <w:iCs/>
                <w:color w:val="000000"/>
                <w:sz w:val="16"/>
                <w:szCs w:val="16"/>
              </w:rPr>
              <w:t> </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b/>
                <w:bCs/>
                <w:i/>
                <w:iCs/>
                <w:color w:val="000000"/>
                <w:sz w:val="16"/>
                <w:szCs w:val="16"/>
              </w:rPr>
            </w:pPr>
            <w:r w:rsidRPr="00A90D40">
              <w:rPr>
                <w:rFonts w:ascii="Times New Roman" w:hAnsi="Times New Roman"/>
                <w:b/>
                <w:bCs/>
                <w:i/>
                <w:iCs/>
                <w:color w:val="000000"/>
                <w:sz w:val="16"/>
                <w:szCs w:val="16"/>
              </w:rPr>
              <w:t> </w:t>
            </w:r>
          </w:p>
        </w:tc>
        <w:tc>
          <w:tcPr>
            <w:tcW w:w="482" w:type="pct"/>
            <w:tcBorders>
              <w:top w:val="nil"/>
              <w:left w:val="nil"/>
              <w:bottom w:val="single" w:sz="4" w:space="0" w:color="auto"/>
              <w:right w:val="single" w:sz="4" w:space="0" w:color="auto"/>
            </w:tcBorders>
            <w:shd w:val="clear" w:color="000000" w:fill="FFFFFF"/>
            <w:textDirection w:val="lrTb"/>
            <w:vAlign w:val="center"/>
            <w:hideMark/>
          </w:tcPr>
          <w:p w:rsidR="005E21C8" w:rsidP="00A02DCA">
            <w:pPr>
              <w:keepLines/>
              <w:bidi w:val="0"/>
              <w:rPr>
                <w:rFonts w:ascii="Times New Roman" w:hAnsi="Times New Roman"/>
                <w:b/>
                <w:bCs/>
                <w:i/>
                <w:iCs/>
                <w:color w:val="000000"/>
                <w:sz w:val="16"/>
                <w:szCs w:val="16"/>
              </w:rPr>
            </w:pPr>
            <w:r>
              <w:rPr>
                <w:rFonts w:ascii="Times New Roman" w:hAnsi="Times New Roman"/>
                <w:b/>
                <w:bCs/>
                <w:i/>
                <w:iCs/>
                <w:color w:val="000000"/>
                <w:sz w:val="16"/>
                <w:szCs w:val="16"/>
              </w:rPr>
              <w:t> </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rPr>
                <w:rFonts w:ascii="Times New Roman" w:hAnsi="Times New Roman"/>
                <w:b/>
                <w:bCs/>
                <w:i/>
                <w:iCs/>
                <w:color w:val="000000"/>
                <w:sz w:val="16"/>
                <w:szCs w:val="16"/>
              </w:rPr>
            </w:pPr>
            <w:r>
              <w:rPr>
                <w:rFonts w:ascii="Times New Roman" w:hAnsi="Times New Roman"/>
                <w:b/>
                <w:bCs/>
                <w:i/>
                <w:iCs/>
                <w:color w:val="000000"/>
                <w:sz w:val="16"/>
                <w:szCs w:val="16"/>
              </w:rPr>
              <w:t> </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rPr>
                <w:rFonts w:ascii="Times New Roman" w:hAnsi="Times New Roman"/>
                <w:b/>
                <w:bCs/>
                <w:i/>
                <w:iCs/>
                <w:color w:val="000000"/>
                <w:sz w:val="16"/>
                <w:szCs w:val="16"/>
              </w:rPr>
            </w:pPr>
            <w:r>
              <w:rPr>
                <w:rFonts w:ascii="Times New Roman" w:hAnsi="Times New Roman"/>
                <w:b/>
                <w:bCs/>
                <w:i/>
                <w:iCs/>
                <w:color w:val="000000"/>
                <w:sz w:val="16"/>
                <w:szCs w:val="16"/>
              </w:rPr>
              <w:t> </w:t>
            </w:r>
          </w:p>
        </w:tc>
        <w:tc>
          <w:tcPr>
            <w:tcW w:w="482" w:type="pct"/>
            <w:tcBorders>
              <w:top w:val="nil"/>
              <w:left w:val="nil"/>
              <w:bottom w:val="single" w:sz="4" w:space="0" w:color="auto"/>
              <w:right w:val="single" w:sz="4" w:space="0" w:color="auto"/>
            </w:tcBorders>
            <w:shd w:val="clear" w:color="000000" w:fill="FFFFFF"/>
            <w:textDirection w:val="lrTb"/>
            <w:vAlign w:val="center"/>
            <w:hideMark/>
          </w:tcPr>
          <w:p w:rsidR="005E21C8" w:rsidP="00A02DCA">
            <w:pPr>
              <w:keepLines/>
              <w:bidi w:val="0"/>
              <w:rPr>
                <w:rFonts w:ascii="Times New Roman" w:hAnsi="Times New Roman"/>
                <w:b/>
                <w:bCs/>
                <w:i/>
                <w:iCs/>
                <w:color w:val="000000"/>
                <w:sz w:val="16"/>
                <w:szCs w:val="16"/>
              </w:rPr>
            </w:pPr>
            <w:r>
              <w:rPr>
                <w:rFonts w:ascii="Times New Roman" w:hAnsi="Times New Roman"/>
                <w:b/>
                <w:bCs/>
                <w:i/>
                <w:iCs/>
                <w:color w:val="000000"/>
                <w:sz w:val="16"/>
                <w:szCs w:val="16"/>
              </w:rPr>
              <w:t> </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color w:val="000000"/>
                <w:sz w:val="16"/>
                <w:szCs w:val="16"/>
              </w:rPr>
            </w:pPr>
            <w:r w:rsidRPr="00A90D40">
              <w:rPr>
                <w:rFonts w:ascii="Times New Roman" w:hAnsi="Times New Roman"/>
                <w:color w:val="000000"/>
                <w:sz w:val="16"/>
                <w:szCs w:val="16"/>
              </w:rPr>
              <w:t>▪   mzdy a odvody</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1 431 111</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1 525 254</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1 418 654</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1 555 757</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1 573 317</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1 626 676</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1 691 942</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color w:val="000000"/>
                <w:sz w:val="16"/>
                <w:szCs w:val="16"/>
              </w:rPr>
            </w:pPr>
            <w:r w:rsidRPr="00A90D40">
              <w:rPr>
                <w:rFonts w:ascii="Times New Roman" w:hAnsi="Times New Roman"/>
                <w:color w:val="000000"/>
                <w:sz w:val="16"/>
                <w:szCs w:val="16"/>
              </w:rPr>
              <w:t xml:space="preserve">▪   tovary a služby </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1 055 382</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1 066 871</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1 034 201</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1 090 000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1 079 514</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1 124 005</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1 151 870</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color w:val="000000"/>
                <w:sz w:val="16"/>
                <w:szCs w:val="16"/>
              </w:rPr>
            </w:pPr>
            <w:r w:rsidRPr="00A90D40">
              <w:rPr>
                <w:rFonts w:ascii="Times New Roman" w:hAnsi="Times New Roman"/>
                <w:color w:val="000000"/>
                <w:sz w:val="16"/>
                <w:szCs w:val="16"/>
              </w:rPr>
              <w:t>▪   bežné transfery</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414 716</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425 438</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415 785</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430 000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431 140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437 307</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441 680</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color w:val="000000"/>
                <w:sz w:val="16"/>
                <w:szCs w:val="16"/>
              </w:rPr>
            </w:pPr>
            <w:r w:rsidRPr="00A90D40">
              <w:rPr>
                <w:rFonts w:ascii="Times New Roman" w:hAnsi="Times New Roman"/>
                <w:color w:val="000000"/>
                <w:sz w:val="16"/>
                <w:szCs w:val="16"/>
              </w:rPr>
              <w:t xml:space="preserve">▪   splácanie úrokov </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24 908</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24 498</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30 000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25 210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32 000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32 200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32 522</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color w:val="000000"/>
                <w:sz w:val="16"/>
                <w:szCs w:val="16"/>
              </w:rPr>
            </w:pPr>
            <w:r w:rsidRPr="00A90D40">
              <w:rPr>
                <w:rFonts w:ascii="Times New Roman" w:hAnsi="Times New Roman"/>
                <w:color w:val="000000"/>
                <w:sz w:val="16"/>
                <w:szCs w:val="16"/>
              </w:rPr>
              <w:t>▪   kapitálové výdavky</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576 946</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587 406</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650 565</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798 350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493 851</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519 689</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598 033</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color w:val="000000"/>
                <w:sz w:val="16"/>
                <w:szCs w:val="16"/>
              </w:rPr>
            </w:pPr>
            <w:r w:rsidRPr="00A90D40">
              <w:rPr>
                <w:rFonts w:ascii="Times New Roman" w:hAnsi="Times New Roman"/>
                <w:color w:val="000000"/>
                <w:sz w:val="16"/>
                <w:szCs w:val="16"/>
              </w:rPr>
              <w:t xml:space="preserve">▪  úvery a účasť na majetku (FO)  </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12 726</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17 469</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12 000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12 000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12 000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12 000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12 000</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color w:val="000000"/>
                <w:sz w:val="16"/>
                <w:szCs w:val="16"/>
              </w:rPr>
            </w:pPr>
            <w:r w:rsidRPr="00A90D40">
              <w:rPr>
                <w:rFonts w:ascii="Times New Roman" w:hAnsi="Times New Roman"/>
                <w:color w:val="000000"/>
                <w:sz w:val="16"/>
                <w:szCs w:val="16"/>
              </w:rPr>
              <w:t>▪   splácanie istiny (FO)</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164 046</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208 183</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color w:val="000000"/>
                <w:sz w:val="16"/>
                <w:szCs w:val="16"/>
              </w:rPr>
            </w:pPr>
            <w:r w:rsidRPr="00A90D40">
              <w:rPr>
                <w:rFonts w:ascii="Times New Roman" w:hAnsi="Times New Roman"/>
                <w:color w:val="000000"/>
                <w:sz w:val="16"/>
                <w:szCs w:val="16"/>
              </w:rPr>
              <w:t>180 000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180 000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180 000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180 000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color w:val="000000"/>
                <w:sz w:val="16"/>
                <w:szCs w:val="16"/>
              </w:rPr>
            </w:pPr>
            <w:r>
              <w:rPr>
                <w:rFonts w:ascii="Times New Roman" w:hAnsi="Times New Roman"/>
                <w:color w:val="000000"/>
                <w:sz w:val="16"/>
                <w:szCs w:val="16"/>
              </w:rPr>
              <w:t>180 000</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shd w:val="clear" w:color="000000" w:fill="C0C0C0"/>
            <w:textDirection w:val="lrTb"/>
            <w:vAlign w:val="center"/>
            <w:hideMark/>
          </w:tcPr>
          <w:p w:rsidR="005E21C8" w:rsidRPr="00A90D40" w:rsidP="00A02DCA">
            <w:pPr>
              <w:keepLines/>
              <w:bidi w:val="0"/>
              <w:rPr>
                <w:rFonts w:ascii="Times New Roman" w:hAnsi="Times New Roman"/>
                <w:b/>
                <w:bCs/>
                <w:color w:val="000000"/>
                <w:sz w:val="16"/>
                <w:szCs w:val="16"/>
              </w:rPr>
            </w:pPr>
            <w:r w:rsidRPr="00A90D40">
              <w:rPr>
                <w:rFonts w:ascii="Times New Roman" w:hAnsi="Times New Roman"/>
                <w:b/>
                <w:bCs/>
                <w:color w:val="000000"/>
                <w:sz w:val="16"/>
                <w:szCs w:val="16"/>
              </w:rPr>
              <w:t>Celkový prebytok obcí</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RPr="00A90D40" w:rsidP="00A02DCA">
            <w:pPr>
              <w:keepLines/>
              <w:bidi w:val="0"/>
              <w:jc w:val="right"/>
              <w:rPr>
                <w:rFonts w:ascii="Times New Roman" w:hAnsi="Times New Roman"/>
                <w:b/>
                <w:bCs/>
                <w:color w:val="000000"/>
                <w:sz w:val="16"/>
                <w:szCs w:val="16"/>
              </w:rPr>
            </w:pPr>
            <w:r w:rsidRPr="00A90D40">
              <w:rPr>
                <w:rFonts w:ascii="Times New Roman" w:hAnsi="Times New Roman"/>
                <w:b/>
                <w:bCs/>
                <w:color w:val="000000"/>
                <w:sz w:val="16"/>
                <w:szCs w:val="16"/>
              </w:rPr>
              <w:t>183 414</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RPr="00A90D40" w:rsidP="00A02DCA">
            <w:pPr>
              <w:keepLines/>
              <w:bidi w:val="0"/>
              <w:jc w:val="right"/>
              <w:rPr>
                <w:rFonts w:ascii="Times New Roman" w:hAnsi="Times New Roman"/>
                <w:b/>
                <w:bCs/>
                <w:color w:val="000000"/>
                <w:sz w:val="16"/>
                <w:szCs w:val="16"/>
              </w:rPr>
            </w:pPr>
            <w:r w:rsidRPr="00A90D40">
              <w:rPr>
                <w:rFonts w:ascii="Times New Roman" w:hAnsi="Times New Roman"/>
                <w:b/>
                <w:bCs/>
                <w:color w:val="000000"/>
                <w:sz w:val="16"/>
                <w:szCs w:val="16"/>
              </w:rPr>
              <w:t>173 990</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RPr="00A90D40" w:rsidP="00A02DCA">
            <w:pPr>
              <w:keepLines/>
              <w:bidi w:val="0"/>
              <w:jc w:val="right"/>
              <w:rPr>
                <w:rFonts w:ascii="Times New Roman" w:hAnsi="Times New Roman"/>
                <w:b/>
                <w:bCs/>
                <w:color w:val="000000"/>
                <w:sz w:val="16"/>
                <w:szCs w:val="16"/>
              </w:rPr>
            </w:pPr>
            <w:r w:rsidRPr="00A90D40">
              <w:rPr>
                <w:rFonts w:ascii="Times New Roman" w:hAnsi="Times New Roman"/>
                <w:b/>
                <w:bCs/>
                <w:color w:val="000000"/>
                <w:sz w:val="16"/>
                <w:szCs w:val="16"/>
              </w:rPr>
              <w:t>303 037</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P="00A02DCA">
            <w:pPr>
              <w:keepLines/>
              <w:bidi w:val="0"/>
              <w:jc w:val="right"/>
              <w:rPr>
                <w:rFonts w:ascii="Times New Roman" w:hAnsi="Times New Roman"/>
                <w:b/>
                <w:bCs/>
                <w:color w:val="000000"/>
                <w:sz w:val="16"/>
                <w:szCs w:val="16"/>
              </w:rPr>
            </w:pPr>
            <w:r>
              <w:rPr>
                <w:rFonts w:ascii="Times New Roman" w:hAnsi="Times New Roman"/>
                <w:b/>
                <w:bCs/>
                <w:color w:val="000000"/>
                <w:sz w:val="16"/>
                <w:szCs w:val="16"/>
              </w:rPr>
              <w:t>278 439</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P="00A02DCA">
            <w:pPr>
              <w:keepLines/>
              <w:bidi w:val="0"/>
              <w:jc w:val="right"/>
              <w:rPr>
                <w:rFonts w:ascii="Times New Roman" w:hAnsi="Times New Roman"/>
                <w:b/>
                <w:bCs/>
                <w:color w:val="000000"/>
                <w:sz w:val="16"/>
                <w:szCs w:val="16"/>
              </w:rPr>
            </w:pPr>
            <w:r>
              <w:rPr>
                <w:rFonts w:ascii="Times New Roman" w:hAnsi="Times New Roman"/>
                <w:b/>
                <w:bCs/>
                <w:color w:val="000000"/>
                <w:sz w:val="16"/>
                <w:szCs w:val="16"/>
              </w:rPr>
              <w:t>257 882</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P="00A02DCA">
            <w:pPr>
              <w:keepLines/>
              <w:bidi w:val="0"/>
              <w:jc w:val="right"/>
              <w:rPr>
                <w:rFonts w:ascii="Times New Roman" w:hAnsi="Times New Roman"/>
                <w:b/>
                <w:bCs/>
                <w:color w:val="000000"/>
                <w:sz w:val="16"/>
                <w:szCs w:val="16"/>
              </w:rPr>
            </w:pPr>
            <w:r>
              <w:rPr>
                <w:rFonts w:ascii="Times New Roman" w:hAnsi="Times New Roman"/>
                <w:b/>
                <w:bCs/>
                <w:color w:val="000000"/>
                <w:sz w:val="16"/>
                <w:szCs w:val="16"/>
              </w:rPr>
              <w:t>306 898</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P="00A02DCA">
            <w:pPr>
              <w:keepLines/>
              <w:bidi w:val="0"/>
              <w:jc w:val="right"/>
              <w:rPr>
                <w:rFonts w:ascii="Times New Roman" w:hAnsi="Times New Roman"/>
                <w:b/>
                <w:bCs/>
                <w:color w:val="000000"/>
                <w:sz w:val="16"/>
                <w:szCs w:val="16"/>
              </w:rPr>
            </w:pPr>
            <w:r>
              <w:rPr>
                <w:rFonts w:ascii="Times New Roman" w:hAnsi="Times New Roman"/>
                <w:b/>
                <w:bCs/>
                <w:color w:val="000000"/>
                <w:sz w:val="16"/>
                <w:szCs w:val="16"/>
              </w:rPr>
              <w:t>333 762</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b/>
                <w:bCs/>
                <w:i/>
                <w:iCs/>
                <w:color w:val="000000"/>
                <w:sz w:val="16"/>
                <w:szCs w:val="16"/>
              </w:rPr>
            </w:pPr>
            <w:r w:rsidRPr="00A90D40">
              <w:rPr>
                <w:rFonts w:ascii="Times New Roman" w:hAnsi="Times New Roman"/>
                <w:b/>
                <w:bCs/>
                <w:i/>
                <w:iCs/>
                <w:color w:val="000000"/>
                <w:sz w:val="16"/>
                <w:szCs w:val="16"/>
              </w:rPr>
              <w:t>vylúčenie finančných operácií</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b/>
                <w:bCs/>
                <w:i/>
                <w:iCs/>
                <w:color w:val="000000"/>
                <w:sz w:val="16"/>
                <w:szCs w:val="16"/>
              </w:rPr>
            </w:pPr>
            <w:r w:rsidRPr="00A90D40">
              <w:rPr>
                <w:rFonts w:ascii="Times New Roman" w:hAnsi="Times New Roman"/>
                <w:b/>
                <w:bCs/>
                <w:i/>
                <w:iCs/>
                <w:color w:val="000000"/>
                <w:sz w:val="16"/>
                <w:szCs w:val="16"/>
              </w:rPr>
              <w:t>-84 591</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b/>
                <w:bCs/>
                <w:i/>
                <w:iCs/>
                <w:color w:val="000000"/>
                <w:sz w:val="16"/>
                <w:szCs w:val="16"/>
              </w:rPr>
            </w:pPr>
            <w:r w:rsidRPr="00A90D40">
              <w:rPr>
                <w:rFonts w:ascii="Times New Roman" w:hAnsi="Times New Roman"/>
                <w:b/>
                <w:bCs/>
                <w:i/>
                <w:iCs/>
                <w:color w:val="000000"/>
                <w:sz w:val="16"/>
                <w:szCs w:val="16"/>
              </w:rPr>
              <w:t>-172 815</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b/>
                <w:bCs/>
                <w:i/>
                <w:iCs/>
                <w:color w:val="000000"/>
                <w:sz w:val="16"/>
                <w:szCs w:val="16"/>
              </w:rPr>
            </w:pPr>
            <w:r w:rsidRPr="00A90D40">
              <w:rPr>
                <w:rFonts w:ascii="Times New Roman" w:hAnsi="Times New Roman"/>
                <w:b/>
                <w:bCs/>
                <w:i/>
                <w:iCs/>
                <w:color w:val="000000"/>
                <w:sz w:val="16"/>
                <w:szCs w:val="16"/>
              </w:rPr>
              <w:t>-148 000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b/>
                <w:bCs/>
                <w:i/>
                <w:iCs/>
                <w:color w:val="000000"/>
                <w:sz w:val="16"/>
                <w:szCs w:val="16"/>
              </w:rPr>
            </w:pPr>
            <w:r>
              <w:rPr>
                <w:rFonts w:ascii="Times New Roman" w:hAnsi="Times New Roman"/>
                <w:b/>
                <w:bCs/>
                <w:i/>
                <w:iCs/>
                <w:color w:val="000000"/>
                <w:sz w:val="16"/>
                <w:szCs w:val="16"/>
              </w:rPr>
              <w:t>-148 000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b/>
                <w:bCs/>
                <w:i/>
                <w:iCs/>
                <w:color w:val="000000"/>
                <w:sz w:val="16"/>
                <w:szCs w:val="16"/>
              </w:rPr>
            </w:pPr>
            <w:r>
              <w:rPr>
                <w:rFonts w:ascii="Times New Roman" w:hAnsi="Times New Roman"/>
                <w:b/>
                <w:bCs/>
                <w:i/>
                <w:iCs/>
                <w:color w:val="000000"/>
                <w:sz w:val="16"/>
                <w:szCs w:val="16"/>
              </w:rPr>
              <w:t>-148 000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b/>
                <w:bCs/>
                <w:i/>
                <w:iCs/>
                <w:color w:val="000000"/>
                <w:sz w:val="16"/>
                <w:szCs w:val="16"/>
              </w:rPr>
            </w:pPr>
            <w:r>
              <w:rPr>
                <w:rFonts w:ascii="Times New Roman" w:hAnsi="Times New Roman"/>
                <w:b/>
                <w:bCs/>
                <w:i/>
                <w:iCs/>
                <w:color w:val="000000"/>
                <w:sz w:val="16"/>
                <w:szCs w:val="16"/>
              </w:rPr>
              <w:t>-148 000</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jc w:val="right"/>
              <w:rPr>
                <w:rFonts w:ascii="Times New Roman" w:hAnsi="Times New Roman"/>
                <w:b/>
                <w:bCs/>
                <w:i/>
                <w:iCs/>
                <w:color w:val="000000"/>
                <w:sz w:val="16"/>
                <w:szCs w:val="16"/>
              </w:rPr>
            </w:pPr>
            <w:r>
              <w:rPr>
                <w:rFonts w:ascii="Times New Roman" w:hAnsi="Times New Roman"/>
                <w:b/>
                <w:bCs/>
                <w:i/>
                <w:iCs/>
                <w:color w:val="000000"/>
                <w:sz w:val="16"/>
                <w:szCs w:val="16"/>
              </w:rPr>
              <w:t>-148 000</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b/>
                <w:bCs/>
                <w:i/>
                <w:iCs/>
                <w:color w:val="000000"/>
                <w:sz w:val="16"/>
                <w:szCs w:val="16"/>
              </w:rPr>
            </w:pPr>
            <w:r w:rsidRPr="00A90D40">
              <w:rPr>
                <w:rFonts w:ascii="Times New Roman" w:hAnsi="Times New Roman"/>
                <w:b/>
                <w:bCs/>
                <w:i/>
                <w:iCs/>
                <w:color w:val="000000"/>
                <w:sz w:val="16"/>
                <w:szCs w:val="16"/>
              </w:rPr>
              <w:t>z toho:</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b/>
                <w:bCs/>
                <w:i/>
                <w:iCs/>
                <w:color w:val="000000"/>
                <w:sz w:val="16"/>
                <w:szCs w:val="16"/>
              </w:rPr>
            </w:pPr>
            <w:r w:rsidRPr="00A90D40">
              <w:rPr>
                <w:rFonts w:ascii="Times New Roman" w:hAnsi="Times New Roman"/>
                <w:b/>
                <w:bCs/>
                <w:i/>
                <w:iCs/>
                <w:color w:val="000000"/>
                <w:sz w:val="16"/>
                <w:szCs w:val="16"/>
              </w:rPr>
              <w:t> </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jc w:val="right"/>
              <w:rPr>
                <w:rFonts w:ascii="Times New Roman" w:hAnsi="Times New Roman"/>
                <w:b/>
                <w:bCs/>
                <w:i/>
                <w:iCs/>
                <w:color w:val="000000"/>
                <w:sz w:val="16"/>
                <w:szCs w:val="16"/>
              </w:rPr>
            </w:pPr>
            <w:r w:rsidRPr="00A90D40">
              <w:rPr>
                <w:rFonts w:ascii="Times New Roman" w:hAnsi="Times New Roman"/>
                <w:b/>
                <w:bCs/>
                <w:i/>
                <w:iCs/>
                <w:color w:val="000000"/>
                <w:sz w:val="16"/>
                <w:szCs w:val="16"/>
              </w:rPr>
              <w:t> </w:t>
            </w:r>
          </w:p>
        </w:tc>
        <w:tc>
          <w:tcPr>
            <w:tcW w:w="482" w:type="pct"/>
            <w:tcBorders>
              <w:top w:val="nil"/>
              <w:left w:val="nil"/>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b/>
                <w:bCs/>
                <w:i/>
                <w:iCs/>
                <w:color w:val="000000"/>
                <w:sz w:val="16"/>
                <w:szCs w:val="16"/>
              </w:rPr>
            </w:pPr>
            <w:r w:rsidRPr="00A90D40">
              <w:rPr>
                <w:rFonts w:ascii="Times New Roman" w:hAnsi="Times New Roman"/>
                <w:b/>
                <w:bCs/>
                <w:i/>
                <w:iCs/>
                <w:color w:val="000000"/>
                <w:sz w:val="16"/>
                <w:szCs w:val="16"/>
              </w:rPr>
              <w:t> </w:t>
            </w:r>
          </w:p>
        </w:tc>
        <w:tc>
          <w:tcPr>
            <w:tcW w:w="482" w:type="pct"/>
            <w:tcBorders>
              <w:top w:val="nil"/>
              <w:left w:val="nil"/>
              <w:bottom w:val="single" w:sz="4" w:space="0" w:color="auto"/>
              <w:right w:val="single" w:sz="4" w:space="0" w:color="auto"/>
            </w:tcBorders>
            <w:shd w:val="clear" w:color="000000" w:fill="FFFFFF"/>
            <w:textDirection w:val="lrTb"/>
            <w:vAlign w:val="center"/>
            <w:hideMark/>
          </w:tcPr>
          <w:p w:rsidR="005E21C8" w:rsidP="00A02DCA">
            <w:pPr>
              <w:keepLines/>
              <w:bidi w:val="0"/>
              <w:rPr>
                <w:rFonts w:ascii="Times New Roman" w:hAnsi="Times New Roman"/>
                <w:b/>
                <w:bCs/>
                <w:i/>
                <w:iCs/>
                <w:color w:val="000000"/>
                <w:sz w:val="16"/>
                <w:szCs w:val="16"/>
              </w:rPr>
            </w:pPr>
            <w:r>
              <w:rPr>
                <w:rFonts w:ascii="Times New Roman" w:hAnsi="Times New Roman"/>
                <w:b/>
                <w:bCs/>
                <w:i/>
                <w:iCs/>
                <w:color w:val="000000"/>
                <w:sz w:val="16"/>
                <w:szCs w:val="16"/>
              </w:rPr>
              <w:t> </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rPr>
                <w:rFonts w:ascii="Times New Roman" w:hAnsi="Times New Roman"/>
                <w:b/>
                <w:bCs/>
                <w:i/>
                <w:iCs/>
                <w:color w:val="000000"/>
                <w:sz w:val="16"/>
                <w:szCs w:val="16"/>
              </w:rPr>
            </w:pPr>
            <w:r>
              <w:rPr>
                <w:rFonts w:ascii="Times New Roman" w:hAnsi="Times New Roman"/>
                <w:b/>
                <w:bCs/>
                <w:i/>
                <w:iCs/>
                <w:color w:val="000000"/>
                <w:sz w:val="16"/>
                <w:szCs w:val="16"/>
              </w:rPr>
              <w:t> </w:t>
            </w:r>
          </w:p>
        </w:tc>
        <w:tc>
          <w:tcPr>
            <w:tcW w:w="482" w:type="pct"/>
            <w:tcBorders>
              <w:top w:val="nil"/>
              <w:left w:val="nil"/>
              <w:bottom w:val="single" w:sz="4" w:space="0" w:color="auto"/>
              <w:right w:val="single" w:sz="4" w:space="0" w:color="auto"/>
            </w:tcBorders>
            <w:textDirection w:val="lrTb"/>
            <w:vAlign w:val="center"/>
            <w:hideMark/>
          </w:tcPr>
          <w:p w:rsidR="005E21C8" w:rsidP="00A02DCA">
            <w:pPr>
              <w:keepLines/>
              <w:bidi w:val="0"/>
              <w:rPr>
                <w:rFonts w:ascii="Times New Roman" w:hAnsi="Times New Roman"/>
                <w:b/>
                <w:bCs/>
                <w:i/>
                <w:iCs/>
                <w:color w:val="000000"/>
                <w:sz w:val="16"/>
                <w:szCs w:val="16"/>
              </w:rPr>
            </w:pPr>
            <w:r>
              <w:rPr>
                <w:rFonts w:ascii="Times New Roman" w:hAnsi="Times New Roman"/>
                <w:b/>
                <w:bCs/>
                <w:i/>
                <w:iCs/>
                <w:color w:val="000000"/>
                <w:sz w:val="16"/>
                <w:szCs w:val="16"/>
              </w:rPr>
              <w:t> </w:t>
            </w:r>
          </w:p>
        </w:tc>
        <w:tc>
          <w:tcPr>
            <w:tcW w:w="482" w:type="pct"/>
            <w:tcBorders>
              <w:top w:val="nil"/>
              <w:left w:val="nil"/>
              <w:bottom w:val="single" w:sz="4" w:space="0" w:color="auto"/>
              <w:right w:val="single" w:sz="4" w:space="0" w:color="auto"/>
            </w:tcBorders>
            <w:shd w:val="clear" w:color="000000" w:fill="FFFFFF"/>
            <w:textDirection w:val="lrTb"/>
            <w:vAlign w:val="center"/>
            <w:hideMark/>
          </w:tcPr>
          <w:p w:rsidR="005E21C8" w:rsidP="00A02DCA">
            <w:pPr>
              <w:keepLines/>
              <w:bidi w:val="0"/>
              <w:rPr>
                <w:rFonts w:ascii="Times New Roman" w:hAnsi="Times New Roman"/>
                <w:b/>
                <w:bCs/>
                <w:i/>
                <w:iCs/>
                <w:color w:val="000000"/>
                <w:sz w:val="16"/>
                <w:szCs w:val="16"/>
              </w:rPr>
            </w:pPr>
            <w:r>
              <w:rPr>
                <w:rFonts w:ascii="Times New Roman" w:hAnsi="Times New Roman"/>
                <w:b/>
                <w:bCs/>
                <w:i/>
                <w:iCs/>
                <w:color w:val="000000"/>
                <w:sz w:val="16"/>
                <w:szCs w:val="16"/>
              </w:rPr>
              <w:t> </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color w:val="000000"/>
                <w:sz w:val="16"/>
                <w:szCs w:val="16"/>
              </w:rPr>
            </w:pPr>
            <w:r w:rsidRPr="00A90D40">
              <w:rPr>
                <w:rFonts w:ascii="Times New Roman" w:hAnsi="Times New Roman"/>
                <w:color w:val="000000"/>
                <w:sz w:val="16"/>
                <w:szCs w:val="16"/>
              </w:rPr>
              <w:t xml:space="preserve">▪   vylúčenie príjmových FO </w:t>
            </w:r>
          </w:p>
        </w:tc>
        <w:tc>
          <w:tcPr>
            <w:tcW w:w="482" w:type="pct"/>
            <w:tcBorders>
              <w:top w:val="nil"/>
              <w:left w:val="nil"/>
              <w:bottom w:val="single" w:sz="4" w:space="0" w:color="auto"/>
              <w:right w:val="single" w:sz="4" w:space="0" w:color="auto"/>
            </w:tcBorders>
            <w:noWrap/>
            <w:textDirection w:val="lrTb"/>
            <w:vAlign w:val="bottom"/>
            <w:hideMark/>
          </w:tcPr>
          <w:p w:rsidR="005E21C8" w:rsidRPr="00A90D40" w:rsidP="00A02DCA">
            <w:pPr>
              <w:keepLines/>
              <w:bidi w:val="0"/>
              <w:jc w:val="right"/>
              <w:rPr>
                <w:rFonts w:ascii="Times New Roman" w:hAnsi="Times New Roman"/>
                <w:color w:val="000000"/>
                <w:sz w:val="18"/>
                <w:szCs w:val="18"/>
              </w:rPr>
            </w:pPr>
            <w:r w:rsidRPr="00A90D40">
              <w:rPr>
                <w:rFonts w:ascii="Times New Roman" w:hAnsi="Times New Roman"/>
                <w:color w:val="000000"/>
                <w:sz w:val="18"/>
                <w:szCs w:val="18"/>
              </w:rPr>
              <w:t>-261 363</w:t>
            </w:r>
          </w:p>
        </w:tc>
        <w:tc>
          <w:tcPr>
            <w:tcW w:w="482" w:type="pct"/>
            <w:tcBorders>
              <w:top w:val="nil"/>
              <w:left w:val="nil"/>
              <w:bottom w:val="single" w:sz="4" w:space="0" w:color="auto"/>
              <w:right w:val="single" w:sz="4" w:space="0" w:color="auto"/>
            </w:tcBorders>
            <w:noWrap/>
            <w:textDirection w:val="lrTb"/>
            <w:vAlign w:val="bottom"/>
            <w:hideMark/>
          </w:tcPr>
          <w:p w:rsidR="005E21C8" w:rsidRPr="00A90D40" w:rsidP="00A02DCA">
            <w:pPr>
              <w:keepLines/>
              <w:bidi w:val="0"/>
              <w:jc w:val="right"/>
              <w:rPr>
                <w:rFonts w:ascii="Times New Roman" w:hAnsi="Times New Roman"/>
                <w:color w:val="000000"/>
                <w:sz w:val="18"/>
                <w:szCs w:val="18"/>
              </w:rPr>
            </w:pPr>
            <w:r w:rsidRPr="00A90D40">
              <w:rPr>
                <w:rFonts w:ascii="Times New Roman" w:hAnsi="Times New Roman"/>
                <w:color w:val="000000"/>
                <w:sz w:val="18"/>
                <w:szCs w:val="18"/>
              </w:rPr>
              <w:t>-398 467</w:t>
            </w:r>
          </w:p>
        </w:tc>
        <w:tc>
          <w:tcPr>
            <w:tcW w:w="482" w:type="pct"/>
            <w:tcBorders>
              <w:top w:val="nil"/>
              <w:left w:val="nil"/>
              <w:bottom w:val="single" w:sz="4" w:space="0" w:color="auto"/>
              <w:right w:val="single" w:sz="4" w:space="0" w:color="auto"/>
            </w:tcBorders>
            <w:noWrap/>
            <w:textDirection w:val="lrTb"/>
            <w:vAlign w:val="bottom"/>
            <w:hideMark/>
          </w:tcPr>
          <w:p w:rsidR="005E21C8" w:rsidRPr="00A90D40" w:rsidP="00A02DCA">
            <w:pPr>
              <w:keepLines/>
              <w:bidi w:val="0"/>
              <w:jc w:val="right"/>
              <w:rPr>
                <w:rFonts w:ascii="Times New Roman" w:hAnsi="Times New Roman"/>
                <w:color w:val="000000"/>
                <w:sz w:val="18"/>
                <w:szCs w:val="18"/>
              </w:rPr>
            </w:pPr>
            <w:r w:rsidRPr="00A90D40">
              <w:rPr>
                <w:rFonts w:ascii="Times New Roman" w:hAnsi="Times New Roman"/>
                <w:color w:val="000000"/>
                <w:sz w:val="18"/>
                <w:szCs w:val="18"/>
              </w:rPr>
              <w:t>-340 000</w:t>
            </w:r>
          </w:p>
        </w:tc>
        <w:tc>
          <w:tcPr>
            <w:tcW w:w="482" w:type="pct"/>
            <w:tcBorders>
              <w:top w:val="nil"/>
              <w:left w:val="nil"/>
              <w:bottom w:val="single" w:sz="4" w:space="0" w:color="auto"/>
              <w:right w:val="single" w:sz="4" w:space="0" w:color="auto"/>
            </w:tcBorders>
            <w:noWrap/>
            <w:textDirection w:val="lrTb"/>
            <w:vAlign w:val="center"/>
            <w:hideMark/>
          </w:tcPr>
          <w:p w:rsidR="005E21C8" w:rsidP="00A02DCA">
            <w:pPr>
              <w:keepLines/>
              <w:bidi w:val="0"/>
              <w:jc w:val="right"/>
              <w:rPr>
                <w:rFonts w:ascii="Times New Roman" w:hAnsi="Times New Roman"/>
                <w:color w:val="000000"/>
                <w:sz w:val="18"/>
                <w:szCs w:val="18"/>
              </w:rPr>
            </w:pPr>
            <w:r>
              <w:rPr>
                <w:rFonts w:ascii="Times New Roman" w:hAnsi="Times New Roman"/>
                <w:color w:val="000000"/>
                <w:sz w:val="18"/>
                <w:szCs w:val="18"/>
              </w:rPr>
              <w:t>-340 000</w:t>
            </w:r>
          </w:p>
        </w:tc>
        <w:tc>
          <w:tcPr>
            <w:tcW w:w="482" w:type="pct"/>
            <w:tcBorders>
              <w:top w:val="nil"/>
              <w:left w:val="nil"/>
              <w:bottom w:val="single" w:sz="4" w:space="0" w:color="auto"/>
              <w:right w:val="single" w:sz="4" w:space="0" w:color="auto"/>
            </w:tcBorders>
            <w:noWrap/>
            <w:textDirection w:val="lrTb"/>
            <w:vAlign w:val="center"/>
            <w:hideMark/>
          </w:tcPr>
          <w:p w:rsidR="005E21C8" w:rsidP="00A02DCA">
            <w:pPr>
              <w:keepLines/>
              <w:bidi w:val="0"/>
              <w:jc w:val="right"/>
              <w:rPr>
                <w:rFonts w:ascii="Times New Roman" w:hAnsi="Times New Roman"/>
                <w:color w:val="000000"/>
                <w:sz w:val="18"/>
                <w:szCs w:val="18"/>
              </w:rPr>
            </w:pPr>
            <w:r>
              <w:rPr>
                <w:rFonts w:ascii="Times New Roman" w:hAnsi="Times New Roman"/>
                <w:color w:val="000000"/>
                <w:sz w:val="18"/>
                <w:szCs w:val="18"/>
              </w:rPr>
              <w:t>-340 000</w:t>
            </w:r>
          </w:p>
        </w:tc>
        <w:tc>
          <w:tcPr>
            <w:tcW w:w="482" w:type="pct"/>
            <w:tcBorders>
              <w:top w:val="nil"/>
              <w:left w:val="nil"/>
              <w:bottom w:val="single" w:sz="4" w:space="0" w:color="auto"/>
              <w:right w:val="single" w:sz="4" w:space="0" w:color="auto"/>
            </w:tcBorders>
            <w:noWrap/>
            <w:textDirection w:val="lrTb"/>
            <w:vAlign w:val="center"/>
            <w:hideMark/>
          </w:tcPr>
          <w:p w:rsidR="005E21C8" w:rsidP="00A02DCA">
            <w:pPr>
              <w:keepLines/>
              <w:bidi w:val="0"/>
              <w:jc w:val="right"/>
              <w:rPr>
                <w:rFonts w:ascii="Times New Roman" w:hAnsi="Times New Roman"/>
                <w:color w:val="000000"/>
                <w:sz w:val="18"/>
                <w:szCs w:val="18"/>
              </w:rPr>
            </w:pPr>
            <w:r>
              <w:rPr>
                <w:rFonts w:ascii="Times New Roman" w:hAnsi="Times New Roman"/>
                <w:color w:val="000000"/>
                <w:sz w:val="18"/>
                <w:szCs w:val="18"/>
              </w:rPr>
              <w:t>-340 000</w:t>
            </w:r>
          </w:p>
        </w:tc>
        <w:tc>
          <w:tcPr>
            <w:tcW w:w="482" w:type="pct"/>
            <w:tcBorders>
              <w:top w:val="nil"/>
              <w:left w:val="nil"/>
              <w:bottom w:val="single" w:sz="4" w:space="0" w:color="auto"/>
              <w:right w:val="single" w:sz="4" w:space="0" w:color="auto"/>
            </w:tcBorders>
            <w:noWrap/>
            <w:textDirection w:val="lrTb"/>
            <w:vAlign w:val="center"/>
            <w:hideMark/>
          </w:tcPr>
          <w:p w:rsidR="005E21C8" w:rsidP="00A02DCA">
            <w:pPr>
              <w:keepLines/>
              <w:bidi w:val="0"/>
              <w:jc w:val="right"/>
              <w:rPr>
                <w:rFonts w:ascii="Times New Roman" w:hAnsi="Times New Roman"/>
                <w:color w:val="000000"/>
                <w:sz w:val="18"/>
                <w:szCs w:val="18"/>
              </w:rPr>
            </w:pPr>
            <w:r>
              <w:rPr>
                <w:rFonts w:ascii="Times New Roman" w:hAnsi="Times New Roman"/>
                <w:color w:val="000000"/>
                <w:sz w:val="18"/>
                <w:szCs w:val="18"/>
              </w:rPr>
              <w:t>-340 000</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color w:val="000000"/>
                <w:sz w:val="16"/>
                <w:szCs w:val="16"/>
              </w:rPr>
            </w:pPr>
            <w:r w:rsidRPr="00A90D40">
              <w:rPr>
                <w:rFonts w:ascii="Times New Roman" w:hAnsi="Times New Roman"/>
                <w:color w:val="000000"/>
                <w:sz w:val="16"/>
                <w:szCs w:val="16"/>
              </w:rPr>
              <w:t>▪   vylúčenie výdavkových FO</w:t>
            </w:r>
          </w:p>
        </w:tc>
        <w:tc>
          <w:tcPr>
            <w:tcW w:w="482" w:type="pct"/>
            <w:tcBorders>
              <w:top w:val="nil"/>
              <w:left w:val="nil"/>
              <w:bottom w:val="single" w:sz="4" w:space="0" w:color="auto"/>
              <w:right w:val="single" w:sz="4" w:space="0" w:color="auto"/>
            </w:tcBorders>
            <w:noWrap/>
            <w:textDirection w:val="lrTb"/>
            <w:vAlign w:val="bottom"/>
            <w:hideMark/>
          </w:tcPr>
          <w:p w:rsidR="005E21C8" w:rsidRPr="00A90D40" w:rsidP="00A02DCA">
            <w:pPr>
              <w:keepLines/>
              <w:bidi w:val="0"/>
              <w:jc w:val="right"/>
              <w:rPr>
                <w:rFonts w:ascii="Times New Roman" w:hAnsi="Times New Roman"/>
                <w:color w:val="000000"/>
                <w:sz w:val="18"/>
                <w:szCs w:val="18"/>
              </w:rPr>
            </w:pPr>
            <w:r w:rsidRPr="00A90D40">
              <w:rPr>
                <w:rFonts w:ascii="Times New Roman" w:hAnsi="Times New Roman"/>
                <w:color w:val="000000"/>
                <w:sz w:val="18"/>
                <w:szCs w:val="18"/>
              </w:rPr>
              <w:t>176 772</w:t>
            </w:r>
          </w:p>
        </w:tc>
        <w:tc>
          <w:tcPr>
            <w:tcW w:w="482" w:type="pct"/>
            <w:tcBorders>
              <w:top w:val="nil"/>
              <w:left w:val="nil"/>
              <w:bottom w:val="single" w:sz="4" w:space="0" w:color="auto"/>
              <w:right w:val="single" w:sz="4" w:space="0" w:color="auto"/>
            </w:tcBorders>
            <w:noWrap/>
            <w:textDirection w:val="lrTb"/>
            <w:vAlign w:val="bottom"/>
            <w:hideMark/>
          </w:tcPr>
          <w:p w:rsidR="005E21C8" w:rsidRPr="00A90D40" w:rsidP="00A02DCA">
            <w:pPr>
              <w:keepLines/>
              <w:bidi w:val="0"/>
              <w:jc w:val="right"/>
              <w:rPr>
                <w:rFonts w:ascii="Times New Roman" w:hAnsi="Times New Roman"/>
                <w:color w:val="000000"/>
                <w:sz w:val="18"/>
                <w:szCs w:val="18"/>
              </w:rPr>
            </w:pPr>
            <w:r w:rsidRPr="00A90D40">
              <w:rPr>
                <w:rFonts w:ascii="Times New Roman" w:hAnsi="Times New Roman"/>
                <w:color w:val="000000"/>
                <w:sz w:val="18"/>
                <w:szCs w:val="18"/>
              </w:rPr>
              <w:t>225 652</w:t>
            </w:r>
          </w:p>
        </w:tc>
        <w:tc>
          <w:tcPr>
            <w:tcW w:w="482" w:type="pct"/>
            <w:tcBorders>
              <w:top w:val="nil"/>
              <w:left w:val="nil"/>
              <w:bottom w:val="single" w:sz="4" w:space="0" w:color="auto"/>
              <w:right w:val="single" w:sz="4" w:space="0" w:color="auto"/>
            </w:tcBorders>
            <w:noWrap/>
            <w:textDirection w:val="lrTb"/>
            <w:vAlign w:val="bottom"/>
            <w:hideMark/>
          </w:tcPr>
          <w:p w:rsidR="005E21C8" w:rsidRPr="00A90D40" w:rsidP="00A02DCA">
            <w:pPr>
              <w:keepLines/>
              <w:bidi w:val="0"/>
              <w:jc w:val="right"/>
              <w:rPr>
                <w:rFonts w:ascii="Times New Roman" w:hAnsi="Times New Roman"/>
                <w:color w:val="000000"/>
                <w:sz w:val="18"/>
                <w:szCs w:val="18"/>
              </w:rPr>
            </w:pPr>
            <w:r w:rsidRPr="00A90D40">
              <w:rPr>
                <w:rFonts w:ascii="Times New Roman" w:hAnsi="Times New Roman"/>
                <w:color w:val="000000"/>
                <w:sz w:val="18"/>
                <w:szCs w:val="18"/>
              </w:rPr>
              <w:t>192 000</w:t>
            </w:r>
          </w:p>
        </w:tc>
        <w:tc>
          <w:tcPr>
            <w:tcW w:w="482" w:type="pct"/>
            <w:tcBorders>
              <w:top w:val="nil"/>
              <w:left w:val="nil"/>
              <w:bottom w:val="single" w:sz="4" w:space="0" w:color="auto"/>
              <w:right w:val="single" w:sz="4" w:space="0" w:color="auto"/>
            </w:tcBorders>
            <w:noWrap/>
            <w:textDirection w:val="lrTb"/>
            <w:vAlign w:val="center"/>
            <w:hideMark/>
          </w:tcPr>
          <w:p w:rsidR="005E21C8" w:rsidP="00A02DCA">
            <w:pPr>
              <w:keepLines/>
              <w:bidi w:val="0"/>
              <w:jc w:val="right"/>
              <w:rPr>
                <w:rFonts w:ascii="Times New Roman" w:hAnsi="Times New Roman"/>
                <w:color w:val="000000"/>
                <w:sz w:val="18"/>
                <w:szCs w:val="18"/>
              </w:rPr>
            </w:pPr>
            <w:r>
              <w:rPr>
                <w:rFonts w:ascii="Times New Roman" w:hAnsi="Times New Roman"/>
                <w:color w:val="000000"/>
                <w:sz w:val="18"/>
                <w:szCs w:val="18"/>
              </w:rPr>
              <w:t>192 000</w:t>
            </w:r>
          </w:p>
        </w:tc>
        <w:tc>
          <w:tcPr>
            <w:tcW w:w="482" w:type="pct"/>
            <w:tcBorders>
              <w:top w:val="nil"/>
              <w:left w:val="nil"/>
              <w:bottom w:val="single" w:sz="4" w:space="0" w:color="auto"/>
              <w:right w:val="single" w:sz="4" w:space="0" w:color="auto"/>
            </w:tcBorders>
            <w:noWrap/>
            <w:textDirection w:val="lrTb"/>
            <w:vAlign w:val="center"/>
            <w:hideMark/>
          </w:tcPr>
          <w:p w:rsidR="005E21C8" w:rsidP="00A02DCA">
            <w:pPr>
              <w:keepLines/>
              <w:bidi w:val="0"/>
              <w:jc w:val="right"/>
              <w:rPr>
                <w:rFonts w:ascii="Times New Roman" w:hAnsi="Times New Roman"/>
                <w:color w:val="000000"/>
                <w:sz w:val="18"/>
                <w:szCs w:val="18"/>
              </w:rPr>
            </w:pPr>
            <w:r>
              <w:rPr>
                <w:rFonts w:ascii="Times New Roman" w:hAnsi="Times New Roman"/>
                <w:color w:val="000000"/>
                <w:sz w:val="18"/>
                <w:szCs w:val="18"/>
              </w:rPr>
              <w:t>192 000</w:t>
            </w:r>
          </w:p>
        </w:tc>
        <w:tc>
          <w:tcPr>
            <w:tcW w:w="482" w:type="pct"/>
            <w:tcBorders>
              <w:top w:val="nil"/>
              <w:left w:val="nil"/>
              <w:bottom w:val="single" w:sz="4" w:space="0" w:color="auto"/>
              <w:right w:val="single" w:sz="4" w:space="0" w:color="auto"/>
            </w:tcBorders>
            <w:noWrap/>
            <w:textDirection w:val="lrTb"/>
            <w:vAlign w:val="center"/>
            <w:hideMark/>
          </w:tcPr>
          <w:p w:rsidR="005E21C8" w:rsidP="00A02DCA">
            <w:pPr>
              <w:keepLines/>
              <w:bidi w:val="0"/>
              <w:jc w:val="right"/>
              <w:rPr>
                <w:rFonts w:ascii="Times New Roman" w:hAnsi="Times New Roman"/>
                <w:color w:val="000000"/>
                <w:sz w:val="18"/>
                <w:szCs w:val="18"/>
              </w:rPr>
            </w:pPr>
            <w:r>
              <w:rPr>
                <w:rFonts w:ascii="Times New Roman" w:hAnsi="Times New Roman"/>
                <w:color w:val="000000"/>
                <w:sz w:val="18"/>
                <w:szCs w:val="18"/>
              </w:rPr>
              <w:t>192 000</w:t>
            </w:r>
          </w:p>
        </w:tc>
        <w:tc>
          <w:tcPr>
            <w:tcW w:w="482" w:type="pct"/>
            <w:tcBorders>
              <w:top w:val="nil"/>
              <w:left w:val="nil"/>
              <w:bottom w:val="single" w:sz="4" w:space="0" w:color="auto"/>
              <w:right w:val="single" w:sz="4" w:space="0" w:color="auto"/>
            </w:tcBorders>
            <w:noWrap/>
            <w:textDirection w:val="lrTb"/>
            <w:vAlign w:val="center"/>
            <w:hideMark/>
          </w:tcPr>
          <w:p w:rsidR="005E21C8" w:rsidP="00A02DCA">
            <w:pPr>
              <w:keepLines/>
              <w:bidi w:val="0"/>
              <w:jc w:val="right"/>
              <w:rPr>
                <w:rFonts w:ascii="Times New Roman" w:hAnsi="Times New Roman"/>
                <w:color w:val="000000"/>
                <w:sz w:val="18"/>
                <w:szCs w:val="18"/>
              </w:rPr>
            </w:pPr>
            <w:r>
              <w:rPr>
                <w:rFonts w:ascii="Times New Roman" w:hAnsi="Times New Roman"/>
                <w:color w:val="000000"/>
                <w:sz w:val="18"/>
                <w:szCs w:val="18"/>
              </w:rPr>
              <w:t>192 000</w:t>
            </w:r>
          </w:p>
        </w:tc>
      </w:tr>
      <w:tr>
        <w:tblPrEx>
          <w:tblW w:w="5000" w:type="pct"/>
          <w:tblCellMar>
            <w:left w:w="70" w:type="dxa"/>
            <w:right w:w="70" w:type="dxa"/>
          </w:tblCellMar>
          <w:tblLook w:val="04A0"/>
        </w:tblPrEx>
        <w:trPr>
          <w:cantSplit/>
          <w:trHeight w:val="263"/>
        </w:trPr>
        <w:tc>
          <w:tcPr>
            <w:tcW w:w="1625" w:type="pct"/>
            <w:tcBorders>
              <w:top w:val="nil"/>
              <w:left w:val="single" w:sz="4" w:space="0" w:color="auto"/>
              <w:bottom w:val="single" w:sz="4" w:space="0" w:color="auto"/>
              <w:right w:val="single" w:sz="4" w:space="0" w:color="auto"/>
            </w:tcBorders>
            <w:textDirection w:val="lrTb"/>
            <w:vAlign w:val="center"/>
            <w:hideMark/>
          </w:tcPr>
          <w:p w:rsidR="005E21C8" w:rsidRPr="00A90D40" w:rsidP="00A02DCA">
            <w:pPr>
              <w:keepLines/>
              <w:bidi w:val="0"/>
              <w:rPr>
                <w:rFonts w:ascii="Times New Roman" w:hAnsi="Times New Roman"/>
                <w:b/>
                <w:bCs/>
                <w:i/>
                <w:iCs/>
                <w:color w:val="000000"/>
                <w:sz w:val="16"/>
                <w:szCs w:val="16"/>
              </w:rPr>
            </w:pPr>
            <w:r w:rsidRPr="00A90D40">
              <w:rPr>
                <w:rFonts w:ascii="Times New Roman" w:hAnsi="Times New Roman"/>
                <w:b/>
                <w:bCs/>
                <w:i/>
                <w:iCs/>
                <w:color w:val="000000"/>
                <w:sz w:val="16"/>
                <w:szCs w:val="16"/>
              </w:rPr>
              <w:t>zahrnutie časového rozlíšenia a ostatné úpravy</w:t>
            </w:r>
          </w:p>
        </w:tc>
        <w:tc>
          <w:tcPr>
            <w:tcW w:w="482" w:type="pct"/>
            <w:tcBorders>
              <w:top w:val="nil"/>
              <w:left w:val="nil"/>
              <w:bottom w:val="single" w:sz="4" w:space="0" w:color="auto"/>
              <w:right w:val="single" w:sz="4" w:space="0" w:color="auto"/>
            </w:tcBorders>
            <w:shd w:val="clear" w:color="000000" w:fill="FFFFFF"/>
            <w:textDirection w:val="lrTb"/>
            <w:vAlign w:val="center"/>
            <w:hideMark/>
          </w:tcPr>
          <w:p w:rsidR="005E21C8" w:rsidRPr="00A90D40" w:rsidP="00A02DCA">
            <w:pPr>
              <w:keepLines/>
              <w:bidi w:val="0"/>
              <w:jc w:val="right"/>
              <w:rPr>
                <w:rFonts w:ascii="Times New Roman" w:hAnsi="Times New Roman"/>
                <w:b/>
                <w:bCs/>
                <w:i/>
                <w:iCs/>
                <w:color w:val="000000"/>
                <w:sz w:val="16"/>
                <w:szCs w:val="16"/>
              </w:rPr>
            </w:pPr>
            <w:r w:rsidRPr="00A90D40">
              <w:rPr>
                <w:rFonts w:ascii="Times New Roman" w:hAnsi="Times New Roman"/>
                <w:b/>
                <w:bCs/>
                <w:i/>
                <w:iCs/>
                <w:color w:val="000000"/>
                <w:sz w:val="16"/>
                <w:szCs w:val="16"/>
              </w:rPr>
              <w:t>17 128</w:t>
            </w:r>
          </w:p>
        </w:tc>
        <w:tc>
          <w:tcPr>
            <w:tcW w:w="482" w:type="pct"/>
            <w:tcBorders>
              <w:top w:val="nil"/>
              <w:left w:val="nil"/>
              <w:bottom w:val="single" w:sz="4" w:space="0" w:color="auto"/>
              <w:right w:val="single" w:sz="4" w:space="0" w:color="auto"/>
            </w:tcBorders>
            <w:shd w:val="clear" w:color="000000" w:fill="FFFFFF"/>
            <w:textDirection w:val="lrTb"/>
            <w:vAlign w:val="center"/>
            <w:hideMark/>
          </w:tcPr>
          <w:p w:rsidR="005E21C8" w:rsidRPr="00A90D40" w:rsidP="00A02DCA">
            <w:pPr>
              <w:keepLines/>
              <w:bidi w:val="0"/>
              <w:jc w:val="right"/>
              <w:rPr>
                <w:rFonts w:ascii="Times New Roman" w:hAnsi="Times New Roman"/>
                <w:b/>
                <w:bCs/>
                <w:i/>
                <w:iCs/>
                <w:color w:val="000000"/>
                <w:sz w:val="16"/>
                <w:szCs w:val="16"/>
              </w:rPr>
            </w:pPr>
            <w:r w:rsidRPr="00A90D40">
              <w:rPr>
                <w:rFonts w:ascii="Times New Roman" w:hAnsi="Times New Roman"/>
                <w:b/>
                <w:bCs/>
                <w:i/>
                <w:iCs/>
                <w:color w:val="000000"/>
                <w:sz w:val="16"/>
                <w:szCs w:val="16"/>
              </w:rPr>
              <w:t>-12 274</w:t>
            </w:r>
          </w:p>
        </w:tc>
        <w:tc>
          <w:tcPr>
            <w:tcW w:w="482" w:type="pct"/>
            <w:tcBorders>
              <w:top w:val="nil"/>
              <w:left w:val="nil"/>
              <w:bottom w:val="single" w:sz="4" w:space="0" w:color="auto"/>
              <w:right w:val="single" w:sz="4" w:space="0" w:color="auto"/>
            </w:tcBorders>
            <w:shd w:val="clear" w:color="000000" w:fill="FFFFFF"/>
            <w:textDirection w:val="lrTb"/>
            <w:vAlign w:val="center"/>
            <w:hideMark/>
          </w:tcPr>
          <w:p w:rsidR="005E21C8" w:rsidRPr="00A90D40" w:rsidP="00A02DCA">
            <w:pPr>
              <w:keepLines/>
              <w:bidi w:val="0"/>
              <w:jc w:val="right"/>
              <w:rPr>
                <w:rFonts w:ascii="Times New Roman" w:hAnsi="Times New Roman"/>
                <w:b/>
                <w:bCs/>
                <w:i/>
                <w:iCs/>
                <w:color w:val="000000"/>
                <w:sz w:val="16"/>
                <w:szCs w:val="16"/>
              </w:rPr>
            </w:pPr>
            <w:r w:rsidRPr="00A90D40">
              <w:rPr>
                <w:rFonts w:ascii="Times New Roman" w:hAnsi="Times New Roman"/>
                <w:b/>
                <w:bCs/>
                <w:i/>
                <w:iCs/>
                <w:color w:val="000000"/>
                <w:sz w:val="16"/>
                <w:szCs w:val="16"/>
              </w:rPr>
              <w:t>-10 000</w:t>
            </w:r>
          </w:p>
        </w:tc>
        <w:tc>
          <w:tcPr>
            <w:tcW w:w="482" w:type="pct"/>
            <w:tcBorders>
              <w:top w:val="nil"/>
              <w:left w:val="nil"/>
              <w:bottom w:val="single" w:sz="4" w:space="0" w:color="auto"/>
              <w:right w:val="single" w:sz="4" w:space="0" w:color="auto"/>
            </w:tcBorders>
            <w:shd w:val="clear" w:color="000000" w:fill="FFFFFF"/>
            <w:textDirection w:val="lrTb"/>
            <w:vAlign w:val="center"/>
            <w:hideMark/>
          </w:tcPr>
          <w:p w:rsidR="005E21C8" w:rsidP="00A02DCA">
            <w:pPr>
              <w:keepLines/>
              <w:bidi w:val="0"/>
              <w:jc w:val="right"/>
              <w:rPr>
                <w:rFonts w:ascii="Times New Roman" w:hAnsi="Times New Roman"/>
                <w:b/>
                <w:bCs/>
                <w:i/>
                <w:iCs/>
                <w:color w:val="000000"/>
                <w:sz w:val="16"/>
                <w:szCs w:val="16"/>
              </w:rPr>
            </w:pPr>
            <w:r>
              <w:rPr>
                <w:rFonts w:ascii="Times New Roman" w:hAnsi="Times New Roman"/>
                <w:b/>
                <w:bCs/>
                <w:i/>
                <w:iCs/>
                <w:color w:val="000000"/>
                <w:sz w:val="16"/>
                <w:szCs w:val="16"/>
              </w:rPr>
              <w:t>-10 000</w:t>
            </w:r>
          </w:p>
        </w:tc>
        <w:tc>
          <w:tcPr>
            <w:tcW w:w="482" w:type="pct"/>
            <w:tcBorders>
              <w:top w:val="nil"/>
              <w:left w:val="nil"/>
              <w:bottom w:val="single" w:sz="4" w:space="0" w:color="auto"/>
              <w:right w:val="single" w:sz="4" w:space="0" w:color="auto"/>
            </w:tcBorders>
            <w:shd w:val="clear" w:color="000000" w:fill="FFFFFF"/>
            <w:textDirection w:val="lrTb"/>
            <w:vAlign w:val="center"/>
            <w:hideMark/>
          </w:tcPr>
          <w:p w:rsidR="005E21C8" w:rsidP="00A02DCA">
            <w:pPr>
              <w:keepLines/>
              <w:bidi w:val="0"/>
              <w:jc w:val="right"/>
              <w:rPr>
                <w:rFonts w:ascii="Times New Roman" w:hAnsi="Times New Roman"/>
                <w:b/>
                <w:bCs/>
                <w:i/>
                <w:iCs/>
                <w:color w:val="000000"/>
                <w:sz w:val="16"/>
                <w:szCs w:val="16"/>
              </w:rPr>
            </w:pPr>
            <w:r>
              <w:rPr>
                <w:rFonts w:ascii="Times New Roman" w:hAnsi="Times New Roman"/>
                <w:b/>
                <w:bCs/>
                <w:i/>
                <w:iCs/>
                <w:color w:val="000000"/>
                <w:sz w:val="16"/>
                <w:szCs w:val="16"/>
              </w:rPr>
              <w:t>0</w:t>
            </w:r>
          </w:p>
        </w:tc>
        <w:tc>
          <w:tcPr>
            <w:tcW w:w="482" w:type="pct"/>
            <w:tcBorders>
              <w:top w:val="nil"/>
              <w:left w:val="nil"/>
              <w:bottom w:val="single" w:sz="4" w:space="0" w:color="auto"/>
              <w:right w:val="single" w:sz="4" w:space="0" w:color="auto"/>
            </w:tcBorders>
            <w:shd w:val="clear" w:color="000000" w:fill="FFFFFF"/>
            <w:textDirection w:val="lrTb"/>
            <w:vAlign w:val="center"/>
            <w:hideMark/>
          </w:tcPr>
          <w:p w:rsidR="005E21C8" w:rsidP="00A02DCA">
            <w:pPr>
              <w:keepLines/>
              <w:bidi w:val="0"/>
              <w:jc w:val="right"/>
              <w:rPr>
                <w:rFonts w:ascii="Times New Roman" w:hAnsi="Times New Roman"/>
                <w:b/>
                <w:bCs/>
                <w:i/>
                <w:iCs/>
                <w:color w:val="000000"/>
                <w:sz w:val="16"/>
                <w:szCs w:val="16"/>
              </w:rPr>
            </w:pPr>
            <w:r>
              <w:rPr>
                <w:rFonts w:ascii="Times New Roman" w:hAnsi="Times New Roman"/>
                <w:b/>
                <w:bCs/>
                <w:i/>
                <w:iCs/>
                <w:color w:val="000000"/>
                <w:sz w:val="16"/>
                <w:szCs w:val="16"/>
              </w:rPr>
              <w:t>0</w:t>
            </w:r>
          </w:p>
        </w:tc>
        <w:tc>
          <w:tcPr>
            <w:tcW w:w="482" w:type="pct"/>
            <w:tcBorders>
              <w:top w:val="nil"/>
              <w:left w:val="nil"/>
              <w:bottom w:val="single" w:sz="4" w:space="0" w:color="auto"/>
              <w:right w:val="single" w:sz="4" w:space="0" w:color="auto"/>
            </w:tcBorders>
            <w:shd w:val="clear" w:color="000000" w:fill="FFFFFF"/>
            <w:textDirection w:val="lrTb"/>
            <w:vAlign w:val="center"/>
            <w:hideMark/>
          </w:tcPr>
          <w:p w:rsidR="005E21C8" w:rsidP="00A02DCA">
            <w:pPr>
              <w:keepLines/>
              <w:bidi w:val="0"/>
              <w:jc w:val="right"/>
              <w:rPr>
                <w:rFonts w:ascii="Times New Roman" w:hAnsi="Times New Roman"/>
                <w:b/>
                <w:bCs/>
                <w:i/>
                <w:iCs/>
                <w:color w:val="000000"/>
                <w:sz w:val="16"/>
                <w:szCs w:val="16"/>
              </w:rPr>
            </w:pPr>
            <w:r>
              <w:rPr>
                <w:rFonts w:ascii="Times New Roman" w:hAnsi="Times New Roman"/>
                <w:b/>
                <w:bCs/>
                <w:i/>
                <w:iCs/>
                <w:color w:val="000000"/>
                <w:sz w:val="16"/>
                <w:szCs w:val="16"/>
              </w:rPr>
              <w:t>-10 000</w:t>
            </w:r>
          </w:p>
        </w:tc>
      </w:tr>
      <w:tr>
        <w:tblPrEx>
          <w:tblW w:w="5000" w:type="pct"/>
          <w:tblCellMar>
            <w:left w:w="70" w:type="dxa"/>
            <w:right w:w="70" w:type="dxa"/>
          </w:tblCellMar>
          <w:tblLook w:val="04A0"/>
        </w:tblPrEx>
        <w:trPr>
          <w:cantSplit/>
          <w:trHeight w:val="330"/>
        </w:trPr>
        <w:tc>
          <w:tcPr>
            <w:tcW w:w="1625" w:type="pct"/>
            <w:tcBorders>
              <w:top w:val="nil"/>
              <w:left w:val="single" w:sz="4" w:space="0" w:color="auto"/>
              <w:bottom w:val="single" w:sz="4" w:space="0" w:color="auto"/>
              <w:right w:val="single" w:sz="4" w:space="0" w:color="auto"/>
            </w:tcBorders>
            <w:shd w:val="clear" w:color="000000" w:fill="C0C0C0"/>
            <w:textDirection w:val="lrTb"/>
            <w:vAlign w:val="center"/>
            <w:hideMark/>
          </w:tcPr>
          <w:p w:rsidR="005E21C8" w:rsidRPr="00A90D40" w:rsidP="008D4822">
            <w:pPr>
              <w:keepLines/>
              <w:bidi w:val="0"/>
              <w:rPr>
                <w:rFonts w:ascii="Times New Roman" w:hAnsi="Times New Roman"/>
                <w:b/>
                <w:bCs/>
                <w:color w:val="000000"/>
                <w:sz w:val="16"/>
                <w:szCs w:val="16"/>
              </w:rPr>
            </w:pPr>
            <w:r w:rsidRPr="003679CA" w:rsidR="008D4822">
              <w:rPr>
                <w:rFonts w:ascii="Times New Roman" w:hAnsi="Times New Roman"/>
                <w:b/>
                <w:bCs/>
                <w:sz w:val="16"/>
                <w:szCs w:val="16"/>
              </w:rPr>
              <w:t>P</w:t>
            </w:r>
            <w:r w:rsidRPr="003679CA">
              <w:rPr>
                <w:rFonts w:ascii="Times New Roman" w:hAnsi="Times New Roman"/>
                <w:b/>
                <w:bCs/>
                <w:sz w:val="16"/>
                <w:szCs w:val="16"/>
              </w:rPr>
              <w:t>rebytok</w:t>
            </w:r>
            <w:r w:rsidRPr="003679CA" w:rsidR="008D4822">
              <w:rPr>
                <w:rFonts w:ascii="Times New Roman" w:hAnsi="Times New Roman"/>
                <w:b/>
                <w:bCs/>
                <w:sz w:val="16"/>
                <w:szCs w:val="16"/>
              </w:rPr>
              <w:t>(+)/schodok(-)</w:t>
            </w:r>
            <w:r w:rsidRPr="0090374E">
              <w:rPr>
                <w:rFonts w:ascii="Times New Roman" w:hAnsi="Times New Roman"/>
                <w:b/>
                <w:bCs/>
                <w:color w:val="FF0000"/>
                <w:sz w:val="16"/>
                <w:szCs w:val="16"/>
              </w:rPr>
              <w:t xml:space="preserve"> </w:t>
            </w:r>
            <w:r w:rsidRPr="00A90D40">
              <w:rPr>
                <w:rFonts w:ascii="Times New Roman" w:hAnsi="Times New Roman"/>
                <w:b/>
                <w:bCs/>
                <w:color w:val="000000"/>
                <w:sz w:val="16"/>
                <w:szCs w:val="16"/>
              </w:rPr>
              <w:t>obcí (ESA 2010)</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RPr="00A90D40" w:rsidP="00A02DCA">
            <w:pPr>
              <w:keepLines/>
              <w:bidi w:val="0"/>
              <w:jc w:val="right"/>
              <w:rPr>
                <w:rFonts w:ascii="Times New Roman" w:hAnsi="Times New Roman"/>
                <w:b/>
                <w:bCs/>
                <w:color w:val="000000"/>
                <w:sz w:val="16"/>
                <w:szCs w:val="16"/>
              </w:rPr>
            </w:pPr>
            <w:r w:rsidRPr="00A90D40">
              <w:rPr>
                <w:rFonts w:ascii="Times New Roman" w:hAnsi="Times New Roman"/>
                <w:b/>
                <w:bCs/>
                <w:color w:val="000000"/>
                <w:sz w:val="16"/>
                <w:szCs w:val="16"/>
              </w:rPr>
              <w:t>115 951</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RPr="00A90D40" w:rsidP="00A02DCA">
            <w:pPr>
              <w:keepLines/>
              <w:bidi w:val="0"/>
              <w:jc w:val="right"/>
              <w:rPr>
                <w:rFonts w:ascii="Times New Roman" w:hAnsi="Times New Roman"/>
                <w:b/>
                <w:bCs/>
                <w:color w:val="000000"/>
                <w:sz w:val="16"/>
                <w:szCs w:val="16"/>
              </w:rPr>
            </w:pPr>
            <w:r w:rsidRPr="00A90D40">
              <w:rPr>
                <w:rFonts w:ascii="Times New Roman" w:hAnsi="Times New Roman"/>
                <w:b/>
                <w:bCs/>
                <w:color w:val="000000"/>
                <w:sz w:val="16"/>
                <w:szCs w:val="16"/>
              </w:rPr>
              <w:t>-11 099</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RPr="00A90D40" w:rsidP="00A02DCA">
            <w:pPr>
              <w:keepLines/>
              <w:bidi w:val="0"/>
              <w:jc w:val="right"/>
              <w:rPr>
                <w:rFonts w:ascii="Times New Roman" w:hAnsi="Times New Roman"/>
                <w:b/>
                <w:bCs/>
                <w:color w:val="000000"/>
                <w:sz w:val="16"/>
                <w:szCs w:val="16"/>
              </w:rPr>
            </w:pPr>
            <w:r w:rsidRPr="00A90D40">
              <w:rPr>
                <w:rFonts w:ascii="Times New Roman" w:hAnsi="Times New Roman"/>
                <w:b/>
                <w:bCs/>
                <w:color w:val="000000"/>
                <w:sz w:val="16"/>
                <w:szCs w:val="16"/>
              </w:rPr>
              <w:t>145 037</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P="00A02DCA">
            <w:pPr>
              <w:keepLines/>
              <w:bidi w:val="0"/>
              <w:jc w:val="right"/>
              <w:rPr>
                <w:rFonts w:ascii="Times New Roman" w:hAnsi="Times New Roman"/>
                <w:b/>
                <w:bCs/>
                <w:color w:val="000000"/>
                <w:sz w:val="16"/>
                <w:szCs w:val="16"/>
              </w:rPr>
            </w:pPr>
            <w:r>
              <w:rPr>
                <w:rFonts w:ascii="Times New Roman" w:hAnsi="Times New Roman"/>
                <w:b/>
                <w:bCs/>
                <w:color w:val="000000"/>
                <w:sz w:val="16"/>
                <w:szCs w:val="16"/>
              </w:rPr>
              <w:t>120 439</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P="00A02DCA">
            <w:pPr>
              <w:keepLines/>
              <w:bidi w:val="0"/>
              <w:jc w:val="right"/>
              <w:rPr>
                <w:rFonts w:ascii="Times New Roman" w:hAnsi="Times New Roman"/>
                <w:b/>
                <w:bCs/>
                <w:color w:val="000000"/>
                <w:sz w:val="16"/>
                <w:szCs w:val="16"/>
              </w:rPr>
            </w:pPr>
            <w:r>
              <w:rPr>
                <w:rFonts w:ascii="Times New Roman" w:hAnsi="Times New Roman"/>
                <w:b/>
                <w:bCs/>
                <w:color w:val="000000"/>
                <w:sz w:val="16"/>
                <w:szCs w:val="16"/>
              </w:rPr>
              <w:t>109 882</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P="00A02DCA">
            <w:pPr>
              <w:keepLines/>
              <w:bidi w:val="0"/>
              <w:jc w:val="right"/>
              <w:rPr>
                <w:rFonts w:ascii="Times New Roman" w:hAnsi="Times New Roman"/>
                <w:b/>
                <w:bCs/>
                <w:color w:val="000000"/>
                <w:sz w:val="16"/>
                <w:szCs w:val="16"/>
              </w:rPr>
            </w:pPr>
            <w:r>
              <w:rPr>
                <w:rFonts w:ascii="Times New Roman" w:hAnsi="Times New Roman"/>
                <w:b/>
                <w:bCs/>
                <w:color w:val="000000"/>
                <w:sz w:val="16"/>
                <w:szCs w:val="16"/>
              </w:rPr>
              <w:t>158 898</w:t>
            </w:r>
          </w:p>
        </w:tc>
        <w:tc>
          <w:tcPr>
            <w:tcW w:w="482" w:type="pct"/>
            <w:tcBorders>
              <w:top w:val="nil"/>
              <w:left w:val="nil"/>
              <w:bottom w:val="single" w:sz="4" w:space="0" w:color="auto"/>
              <w:right w:val="single" w:sz="4" w:space="0" w:color="auto"/>
            </w:tcBorders>
            <w:shd w:val="clear" w:color="000000" w:fill="C0C0C0"/>
            <w:textDirection w:val="lrTb"/>
            <w:vAlign w:val="center"/>
            <w:hideMark/>
          </w:tcPr>
          <w:p w:rsidR="005E21C8" w:rsidP="00A02DCA">
            <w:pPr>
              <w:keepLines/>
              <w:bidi w:val="0"/>
              <w:jc w:val="right"/>
              <w:rPr>
                <w:rFonts w:ascii="Times New Roman" w:hAnsi="Times New Roman"/>
                <w:b/>
                <w:bCs/>
                <w:color w:val="000000"/>
                <w:sz w:val="16"/>
                <w:szCs w:val="16"/>
              </w:rPr>
            </w:pPr>
            <w:r>
              <w:rPr>
                <w:rFonts w:ascii="Times New Roman" w:hAnsi="Times New Roman"/>
                <w:b/>
                <w:bCs/>
                <w:color w:val="000000"/>
                <w:sz w:val="16"/>
                <w:szCs w:val="16"/>
              </w:rPr>
              <w:t>175 762</w:t>
            </w:r>
          </w:p>
        </w:tc>
      </w:tr>
    </w:tbl>
    <w:p w:rsidR="005E21C8" w:rsidP="00684526">
      <w:pPr>
        <w:bidi w:val="0"/>
        <w:jc w:val="both"/>
        <w:rPr>
          <w:rFonts w:ascii="Times New Roman" w:hAnsi="Times New Roman"/>
          <w:color w:val="FF0000"/>
          <w:sz w:val="16"/>
          <w:szCs w:val="16"/>
          <w:lang w:eastAsia="cs-CZ"/>
        </w:rPr>
      </w:pPr>
    </w:p>
    <w:p w:rsidR="00684526" w:rsidRPr="00684526" w:rsidP="00684526">
      <w:pPr>
        <w:bidi w:val="0"/>
        <w:jc w:val="both"/>
        <w:rPr>
          <w:rFonts w:ascii="Times New Roman" w:hAnsi="Times New Roman"/>
          <w:sz w:val="16"/>
          <w:szCs w:val="16"/>
        </w:rPr>
      </w:pPr>
    </w:p>
    <w:p w:rsidR="005E21C8" w:rsidRPr="008B4AD5" w:rsidP="005E21C8">
      <w:pPr>
        <w:bidi w:val="0"/>
        <w:ind w:firstLine="709"/>
        <w:jc w:val="both"/>
        <w:rPr>
          <w:rFonts w:ascii="Times New Roman" w:hAnsi="Times New Roman"/>
        </w:rPr>
      </w:pPr>
      <w:r w:rsidRPr="008B4AD5">
        <w:rPr>
          <w:rFonts w:ascii="Times New Roman" w:hAnsi="Times New Roman"/>
        </w:rPr>
        <w:t>Celkové</w:t>
      </w:r>
      <w:r w:rsidRPr="008B4AD5">
        <w:rPr>
          <w:rFonts w:ascii="Times New Roman" w:hAnsi="Times New Roman"/>
          <w:color w:val="FF0000"/>
        </w:rPr>
        <w:t xml:space="preserve"> </w:t>
      </w:r>
      <w:r w:rsidRPr="008B4AD5">
        <w:rPr>
          <w:rFonts w:ascii="Times New Roman" w:hAnsi="Times New Roman"/>
        </w:rPr>
        <w:t>príjmy obcí v roku 2016 oproti rozpočtu verejnej správy na rok 2015 sú vyššie o 0,</w:t>
      </w:r>
      <w:r>
        <w:rPr>
          <w:rFonts w:ascii="Times New Roman" w:hAnsi="Times New Roman"/>
        </w:rPr>
        <w:t>4</w:t>
      </w:r>
      <w:r w:rsidRPr="008B4AD5">
        <w:rPr>
          <w:rFonts w:ascii="Times New Roman" w:hAnsi="Times New Roman"/>
        </w:rPr>
        <w:t xml:space="preserve"> %. Predpokladá sa nárast daňových príjmov o 7,0 % a nedaňových príjmov </w:t>
        <w:br/>
        <w:t>o 6,5 %, pokles grantov a transferov o 1</w:t>
      </w:r>
      <w:r>
        <w:rPr>
          <w:rFonts w:ascii="Times New Roman" w:hAnsi="Times New Roman"/>
        </w:rPr>
        <w:t>3</w:t>
      </w:r>
      <w:r w:rsidRPr="008B4AD5">
        <w:rPr>
          <w:rFonts w:ascii="Times New Roman" w:hAnsi="Times New Roman"/>
        </w:rPr>
        <w:t xml:space="preserve">,4 % a finančné operácie sa odhadujú na úrovni roku 2015. V roku 2017 oproti roku 2016 sa v celkových príjmoch očakáva nárast o 4,4 % z dôvodu nárastu daňových príjmov a bežných grantov a transferov. V roku 2018 oproti roku 2017 je predpokladaný nárast o 4,8 % z dôvodu nárastu daňových príjmov a grantov a transferov. V daňových príjmoch v roku 2017 sa oproti roku 2016 očakáva nárast o 6,8 % </w:t>
      </w:r>
      <w:r w:rsidR="00684526">
        <w:rPr>
          <w:rFonts w:ascii="Times New Roman" w:hAnsi="Times New Roman"/>
        </w:rPr>
        <w:t xml:space="preserve">   </w:t>
      </w:r>
      <w:r w:rsidRPr="008B4AD5">
        <w:rPr>
          <w:rFonts w:ascii="Times New Roman" w:hAnsi="Times New Roman"/>
        </w:rPr>
        <w:t>a v roku 2018 oproti roku 201</w:t>
      </w:r>
      <w:r>
        <w:rPr>
          <w:rFonts w:ascii="Times New Roman" w:hAnsi="Times New Roman"/>
        </w:rPr>
        <w:t>7</w:t>
      </w:r>
      <w:r w:rsidRPr="008B4AD5">
        <w:rPr>
          <w:rFonts w:ascii="Times New Roman" w:hAnsi="Times New Roman"/>
        </w:rPr>
        <w:t xml:space="preserve"> sa očakáva nárast o 6,1 %.</w:t>
      </w:r>
    </w:p>
    <w:p w:rsidR="005E21C8" w:rsidRPr="00135F7D" w:rsidP="005E21C8">
      <w:pPr>
        <w:bidi w:val="0"/>
        <w:ind w:firstLine="709"/>
        <w:jc w:val="both"/>
        <w:rPr>
          <w:rFonts w:ascii="Times New Roman" w:hAnsi="Times New Roman"/>
          <w:sz w:val="16"/>
          <w:szCs w:val="16"/>
          <w:highlight w:val="yellow"/>
        </w:rPr>
      </w:pPr>
    </w:p>
    <w:p w:rsidR="005E21C8" w:rsidP="005E21C8">
      <w:pPr>
        <w:bidi w:val="0"/>
        <w:ind w:firstLine="709"/>
        <w:jc w:val="both"/>
        <w:rPr>
          <w:rFonts w:ascii="Times New Roman" w:hAnsi="Times New Roman"/>
        </w:rPr>
      </w:pPr>
      <w:r w:rsidRPr="00937C79">
        <w:rPr>
          <w:rFonts w:ascii="Times New Roman" w:hAnsi="Times New Roman"/>
        </w:rPr>
        <w:t>V projektovaných výdavkoch rozpočtov obcí sa v roku 2016 vychádza z úrovne východísk rozpočtu verejnej správy na roky 2016 až 2018 pri zohľadnení zmien grantov a transferov poskytnutých zo štátneho rozpočtu do rozpočtov obcí. Bežné výdavky sa v roku 2016 oproti roku 2015 rozpočtujú vyššie o 7,5 % aj z titulu zohľadnenia dosiahnutej skutočnosti v predchádzajúcom období. V kapitálových výdavkoch sa oproti roku 2015 predpokladajú nižšie výdavky (pokles o</w:t>
      </w:r>
      <w:r>
        <w:rPr>
          <w:rFonts w:ascii="Times New Roman" w:hAnsi="Times New Roman"/>
        </w:rPr>
        <w:t> 24,1</w:t>
      </w:r>
      <w:r w:rsidRPr="00937C79">
        <w:rPr>
          <w:rFonts w:ascii="Times New Roman" w:hAnsi="Times New Roman"/>
        </w:rPr>
        <w:t xml:space="preserve"> %) nadväzne na skutočnosť, že rezorty len čiastočne rozpočtujú zapojenie zdrojov EÚ v rámci tretieho programového obdobia. </w:t>
      </w:r>
    </w:p>
    <w:p w:rsidR="005E21C8" w:rsidP="00684526">
      <w:pPr>
        <w:bidi w:val="0"/>
        <w:jc w:val="both"/>
        <w:rPr>
          <w:rFonts w:ascii="Times New Roman" w:hAnsi="Times New Roman"/>
        </w:rPr>
      </w:pPr>
    </w:p>
    <w:p w:rsidR="005E21C8" w:rsidP="005E21C8">
      <w:pPr>
        <w:keepNext/>
        <w:keepLines/>
        <w:bidi w:val="0"/>
        <w:jc w:val="both"/>
        <w:rPr>
          <w:rFonts w:ascii="Times New Roman" w:hAnsi="Times New Roman"/>
          <w:b/>
        </w:rPr>
      </w:pPr>
      <w:r w:rsidRPr="004E2E65">
        <w:rPr>
          <w:rFonts w:ascii="Times New Roman" w:hAnsi="Times New Roman"/>
          <w:b/>
        </w:rPr>
        <w:t>1.2.</w:t>
      </w:r>
      <w:r>
        <w:rPr>
          <w:rFonts w:ascii="Times New Roman" w:hAnsi="Times New Roman"/>
          <w:b/>
        </w:rPr>
        <w:t xml:space="preserve"> </w:t>
      </w:r>
      <w:r w:rsidRPr="00FF16FB">
        <w:rPr>
          <w:rFonts w:ascii="Times New Roman" w:hAnsi="Times New Roman"/>
          <w:b/>
        </w:rPr>
        <w:t>Dopravné</w:t>
      </w:r>
      <w:r>
        <w:rPr>
          <w:rFonts w:ascii="Times New Roman" w:hAnsi="Times New Roman"/>
          <w:b/>
        </w:rPr>
        <w:t xml:space="preserve"> </w:t>
      </w:r>
      <w:r w:rsidRPr="00FF16FB">
        <w:rPr>
          <w:rFonts w:ascii="Times New Roman" w:hAnsi="Times New Roman"/>
          <w:b/>
        </w:rPr>
        <w:t>podniky</w:t>
      </w:r>
      <w:r>
        <w:rPr>
          <w:rFonts w:ascii="Times New Roman" w:hAnsi="Times New Roman"/>
          <w:b/>
        </w:rPr>
        <w:t xml:space="preserve"> </w:t>
      </w:r>
    </w:p>
    <w:p w:rsidR="005E21C8" w:rsidRPr="00684526" w:rsidP="005E21C8">
      <w:pPr>
        <w:keepNext/>
        <w:keepLines/>
        <w:bidi w:val="0"/>
        <w:jc w:val="both"/>
        <w:rPr>
          <w:rFonts w:ascii="Times New Roman" w:hAnsi="Times New Roman"/>
          <w:b/>
          <w:sz w:val="16"/>
          <w:szCs w:val="16"/>
        </w:rPr>
      </w:pPr>
    </w:p>
    <w:p w:rsidR="005E21C8" w:rsidP="005E21C8">
      <w:pPr>
        <w:keepNext/>
        <w:keepLines/>
        <w:bidi w:val="0"/>
        <w:ind w:firstLine="708"/>
        <w:jc w:val="both"/>
        <w:rPr>
          <w:rFonts w:ascii="Times New Roman" w:hAnsi="Times New Roman"/>
        </w:rPr>
      </w:pPr>
      <w:r>
        <w:rPr>
          <w:rFonts w:ascii="Times New Roman" w:hAnsi="Times New Roman"/>
        </w:rPr>
        <w:t xml:space="preserve">V zmysle jednotnej metodiky platnej pre Európsku úniu ESA 2010 sú dopravné podniky v zakladateľskej pôsobnosti miest Bratislava, Košice a Žilina zaradené do sektora verejnej správy, na ktoré sa v plnom rozsahu vzťahujú ustanovenia zákona č. 523/2004 Z. z. </w:t>
        <w:br/>
        <w:t xml:space="preserve">o rozpočtových pravidlách verejnej správy </w:t>
      </w:r>
      <w:r w:rsidR="0060040C">
        <w:rPr>
          <w:rFonts w:ascii="Times New Roman" w:hAnsi="Times New Roman"/>
        </w:rPr>
        <w:t xml:space="preserve">a o zmene a doplnení niektorých zákonov </w:t>
      </w:r>
      <w:r>
        <w:rPr>
          <w:rFonts w:ascii="Times New Roman" w:hAnsi="Times New Roman"/>
        </w:rPr>
        <w:t xml:space="preserve">v znení neskorších predpisov. </w:t>
      </w:r>
    </w:p>
    <w:p w:rsidR="005E21C8" w:rsidRPr="00684526" w:rsidP="005E21C8">
      <w:pPr>
        <w:keepNext/>
        <w:keepLines/>
        <w:bidi w:val="0"/>
        <w:jc w:val="both"/>
        <w:rPr>
          <w:rFonts w:ascii="Times New Roman" w:hAnsi="Times New Roman"/>
          <w:sz w:val="16"/>
          <w:szCs w:val="16"/>
        </w:rPr>
      </w:pPr>
    </w:p>
    <w:p w:rsidR="005E21C8" w:rsidP="005E21C8">
      <w:pPr>
        <w:bidi w:val="0"/>
        <w:ind w:firstLine="708"/>
        <w:jc w:val="both"/>
        <w:rPr>
          <w:rFonts w:ascii="Times New Roman" w:hAnsi="Times New Roman"/>
        </w:rPr>
      </w:pPr>
      <w:r>
        <w:rPr>
          <w:rFonts w:ascii="Times New Roman" w:hAnsi="Times New Roman"/>
        </w:rPr>
        <w:t xml:space="preserve">Predpokladá sa, že celkové príjmy dopravných podnikov v roku 2016 dosiahnu sumu 232 212 tis. eur a celkové výdavky 231 360 tis. eur. Po odpočítaní príjmových a výdavkových finančných operácií sa predpokladajú príjmy v sume 220 340 tis. eur a výdavky </w:t>
      </w:r>
      <w:r w:rsidR="0060040C">
        <w:rPr>
          <w:rFonts w:ascii="Times New Roman" w:hAnsi="Times New Roman"/>
        </w:rPr>
        <w:br/>
      </w:r>
      <w:r>
        <w:rPr>
          <w:rFonts w:ascii="Times New Roman" w:hAnsi="Times New Roman"/>
        </w:rPr>
        <w:t xml:space="preserve">215 439 tis. eur, prebytok </w:t>
      </w:r>
      <w:r w:rsidR="008248BC">
        <w:rPr>
          <w:rFonts w:ascii="Times New Roman" w:hAnsi="Times New Roman"/>
        </w:rPr>
        <w:t xml:space="preserve">v metodike ESA 2010 </w:t>
      </w:r>
      <w:r>
        <w:rPr>
          <w:rFonts w:ascii="Times New Roman" w:hAnsi="Times New Roman"/>
        </w:rPr>
        <w:t xml:space="preserve">je vyčíslený vo výške 4 901 tis. eur, z toho </w:t>
      </w:r>
      <w:r w:rsidR="0060040C">
        <w:rPr>
          <w:rFonts w:ascii="Times New Roman" w:hAnsi="Times New Roman"/>
        </w:rPr>
        <w:t>v</w:t>
      </w:r>
      <w:r>
        <w:rPr>
          <w:rFonts w:ascii="Times New Roman" w:hAnsi="Times New Roman"/>
        </w:rPr>
        <w:t xml:space="preserve"> Dopravno</w:t>
      </w:r>
      <w:r w:rsidR="0060040C">
        <w:rPr>
          <w:rFonts w:ascii="Times New Roman" w:hAnsi="Times New Roman"/>
        </w:rPr>
        <w:t>m</w:t>
      </w:r>
      <w:r>
        <w:rPr>
          <w:rFonts w:ascii="Times New Roman" w:hAnsi="Times New Roman"/>
        </w:rPr>
        <w:t xml:space="preserve"> podniku Bratislava, a. s. sa predpokladá schodok v sume 1 173 tis. eur a </w:t>
      </w:r>
      <w:r w:rsidR="0060040C">
        <w:rPr>
          <w:rFonts w:ascii="Times New Roman" w:hAnsi="Times New Roman"/>
        </w:rPr>
        <w:t>v</w:t>
      </w:r>
      <w:r>
        <w:rPr>
          <w:rFonts w:ascii="Times New Roman" w:hAnsi="Times New Roman"/>
        </w:rPr>
        <w:t xml:space="preserve"> ostatných dopravných podniko</w:t>
      </w:r>
      <w:r w:rsidR="0060040C">
        <w:rPr>
          <w:rFonts w:ascii="Times New Roman" w:hAnsi="Times New Roman"/>
        </w:rPr>
        <w:t>ch</w:t>
      </w:r>
      <w:r>
        <w:rPr>
          <w:rFonts w:ascii="Times New Roman" w:hAnsi="Times New Roman"/>
        </w:rPr>
        <w:t xml:space="preserve"> prebytok v sume 6 074 tis. eur. </w:t>
      </w:r>
    </w:p>
    <w:p w:rsidR="005E21C8" w:rsidRPr="00684526" w:rsidP="005E21C8">
      <w:pPr>
        <w:bidi w:val="0"/>
        <w:jc w:val="both"/>
        <w:rPr>
          <w:rFonts w:ascii="Times New Roman" w:hAnsi="Times New Roman"/>
          <w:sz w:val="16"/>
          <w:szCs w:val="16"/>
          <w:highlight w:val="yellow"/>
        </w:rPr>
      </w:pPr>
    </w:p>
    <w:p w:rsidR="005E21C8" w:rsidP="005E21C8">
      <w:pPr>
        <w:bidi w:val="0"/>
        <w:ind w:firstLine="708"/>
        <w:jc w:val="both"/>
        <w:rPr>
          <w:rFonts w:ascii="Times New Roman" w:hAnsi="Times New Roman"/>
        </w:rPr>
      </w:pPr>
      <w:r>
        <w:rPr>
          <w:rFonts w:ascii="Times New Roman" w:hAnsi="Times New Roman"/>
        </w:rPr>
        <w:t>V príjmoch sa predpokladá dosiahnuť nedaňové príjmy v sume 79 762 tis. eur, a to najmä z platieb administratívnych a iných poplatkov (tržby), prenájmu budov, priestorov, objektov a strojov a iných nedaňových príjmov</w:t>
      </w:r>
      <w:r w:rsidR="0060040C">
        <w:rPr>
          <w:rFonts w:ascii="Times New Roman" w:hAnsi="Times New Roman"/>
        </w:rPr>
        <w:t>,</w:t>
      </w:r>
      <w:r>
        <w:rPr>
          <w:rFonts w:ascii="Times New Roman" w:hAnsi="Times New Roman"/>
        </w:rPr>
        <w:t xml:space="preserve"> prevažne náhrady od poisťovní za škody a pod. Kapitálové príjmy sa predpokladajú dosiahnuť najmä z predaja majetku.</w:t>
      </w:r>
    </w:p>
    <w:p w:rsidR="005E21C8" w:rsidRPr="00684526" w:rsidP="005E21C8">
      <w:pPr>
        <w:bidi w:val="0"/>
        <w:jc w:val="both"/>
        <w:rPr>
          <w:rFonts w:ascii="Times New Roman" w:hAnsi="Times New Roman"/>
          <w:sz w:val="16"/>
          <w:szCs w:val="16"/>
        </w:rPr>
      </w:pPr>
    </w:p>
    <w:p w:rsidR="005E21C8" w:rsidP="00684526">
      <w:pPr>
        <w:bidi w:val="0"/>
        <w:ind w:firstLine="708"/>
        <w:jc w:val="both"/>
        <w:rPr>
          <w:rFonts w:ascii="Times New Roman" w:hAnsi="Times New Roman"/>
        </w:rPr>
      </w:pPr>
      <w:r>
        <w:rPr>
          <w:rFonts w:ascii="Times New Roman" w:hAnsi="Times New Roman"/>
        </w:rPr>
        <w:t>Granty a transfery sa predpokladajú v sume 140 578 tis. eur, z toho na bežné výdavky v sume 91 832 tis. eur, najmä na pokrytie straty pri zabezpečení výkonov vo verejnom záujme v mestskej hromadnej doprave a v sume 48 746 tis. eur na obstaranie kapitálových aktív. Príjmové finančné operácie sa predpokladajú v sume 11 872 tis. eur, z toho prijaté úvery vo výške 11 692 tis. eur.</w:t>
      </w:r>
    </w:p>
    <w:p w:rsidR="00684526" w:rsidRPr="00684526" w:rsidP="00684526">
      <w:pPr>
        <w:bidi w:val="0"/>
        <w:ind w:firstLine="708"/>
        <w:jc w:val="both"/>
        <w:rPr>
          <w:rFonts w:ascii="Times New Roman" w:hAnsi="Times New Roman"/>
          <w:sz w:val="16"/>
          <w:szCs w:val="16"/>
        </w:rPr>
      </w:pPr>
    </w:p>
    <w:p w:rsidR="005E21C8" w:rsidP="005E21C8">
      <w:pPr>
        <w:pStyle w:val="BodyText"/>
        <w:bidi w:val="0"/>
        <w:ind w:firstLine="708"/>
        <w:rPr>
          <w:rFonts w:ascii="Times New Roman" w:hAnsi="Times New Roman"/>
          <w:szCs w:val="22"/>
        </w:rPr>
      </w:pPr>
      <w:r>
        <w:rPr>
          <w:rFonts w:ascii="Times New Roman" w:hAnsi="Times New Roman"/>
        </w:rPr>
        <w:t xml:space="preserve">Vývoj </w:t>
      </w:r>
      <w:r>
        <w:rPr>
          <w:rFonts w:ascii="Times New Roman" w:hAnsi="Times New Roman"/>
          <w:szCs w:val="22"/>
        </w:rPr>
        <w:t xml:space="preserve">príjmovej a výdavkovej časti rozpočtu dopravných podnikov na roky </w:t>
      </w:r>
      <w:r w:rsidR="00684526">
        <w:rPr>
          <w:rFonts w:ascii="Times New Roman" w:hAnsi="Times New Roman"/>
          <w:szCs w:val="22"/>
        </w:rPr>
        <w:t xml:space="preserve">           </w:t>
      </w:r>
      <w:r>
        <w:rPr>
          <w:rFonts w:ascii="Times New Roman" w:hAnsi="Times New Roman"/>
          <w:szCs w:val="22"/>
        </w:rPr>
        <w:t>2016 až  2018 v porovnaní s rozpočtom verejnej správy a očakávanou skutočnosťou na rok 2015 a skutočnosťou za rok 2014 je nasledovný:</w:t>
      </w:r>
    </w:p>
    <w:p w:rsidR="00684526" w:rsidP="005E21C8">
      <w:pPr>
        <w:pStyle w:val="BodyText"/>
        <w:bidi w:val="0"/>
        <w:ind w:firstLine="708"/>
        <w:rPr>
          <w:rFonts w:ascii="Times New Roman" w:hAnsi="Times New Roman"/>
          <w:szCs w:val="22"/>
        </w:rPr>
      </w:pPr>
    </w:p>
    <w:p w:rsidR="00684526" w:rsidP="005E21C8">
      <w:pPr>
        <w:pStyle w:val="BodyText"/>
        <w:bidi w:val="0"/>
        <w:ind w:firstLine="708"/>
        <w:rPr>
          <w:rFonts w:ascii="Times New Roman" w:hAnsi="Times New Roman"/>
          <w:szCs w:val="22"/>
        </w:rPr>
      </w:pPr>
    </w:p>
    <w:p w:rsidR="00684526" w:rsidP="005E21C8">
      <w:pPr>
        <w:pStyle w:val="BodyText"/>
        <w:bidi w:val="0"/>
        <w:ind w:firstLine="708"/>
        <w:rPr>
          <w:rFonts w:ascii="Times New Roman" w:hAnsi="Times New Roman"/>
          <w:szCs w:val="22"/>
        </w:rPr>
      </w:pPr>
    </w:p>
    <w:p w:rsidR="00684526" w:rsidP="005E21C8">
      <w:pPr>
        <w:pStyle w:val="BodyText"/>
        <w:bidi w:val="0"/>
        <w:ind w:firstLine="708"/>
        <w:rPr>
          <w:rFonts w:ascii="Times New Roman" w:hAnsi="Times New Roman"/>
          <w:szCs w:val="22"/>
        </w:rPr>
      </w:pPr>
    </w:p>
    <w:p w:rsidR="00684526" w:rsidP="005E21C8">
      <w:pPr>
        <w:pStyle w:val="BodyText"/>
        <w:bidi w:val="0"/>
        <w:ind w:firstLine="708"/>
        <w:rPr>
          <w:rFonts w:ascii="Times New Roman" w:hAnsi="Times New Roman"/>
          <w:szCs w:val="22"/>
        </w:rPr>
      </w:pPr>
    </w:p>
    <w:p w:rsidR="00684526" w:rsidP="005E21C8">
      <w:pPr>
        <w:pStyle w:val="BodyText"/>
        <w:bidi w:val="0"/>
        <w:ind w:firstLine="708"/>
        <w:rPr>
          <w:rFonts w:ascii="Times New Roman" w:hAnsi="Times New Roman"/>
          <w:szCs w:val="22"/>
        </w:rPr>
      </w:pPr>
    </w:p>
    <w:p w:rsidR="00684526" w:rsidP="005E21C8">
      <w:pPr>
        <w:pStyle w:val="BodyText"/>
        <w:bidi w:val="0"/>
        <w:ind w:firstLine="708"/>
        <w:rPr>
          <w:rFonts w:ascii="Times New Roman" w:hAnsi="Times New Roman"/>
          <w:szCs w:val="22"/>
        </w:rPr>
      </w:pPr>
    </w:p>
    <w:p w:rsidR="00684526" w:rsidP="005E21C8">
      <w:pPr>
        <w:pStyle w:val="BodyText"/>
        <w:bidi w:val="0"/>
        <w:ind w:firstLine="708"/>
        <w:rPr>
          <w:rFonts w:ascii="Times New Roman" w:hAnsi="Times New Roman"/>
          <w:szCs w:val="22"/>
        </w:rPr>
      </w:pPr>
    </w:p>
    <w:p w:rsidR="00684526" w:rsidP="005E21C8">
      <w:pPr>
        <w:pStyle w:val="BodyText"/>
        <w:bidi w:val="0"/>
        <w:ind w:firstLine="708"/>
        <w:rPr>
          <w:rFonts w:ascii="Times New Roman" w:hAnsi="Times New Roman"/>
          <w:szCs w:val="22"/>
        </w:rPr>
      </w:pPr>
    </w:p>
    <w:p w:rsidR="00684526" w:rsidP="005E21C8">
      <w:pPr>
        <w:pStyle w:val="BodyText"/>
        <w:bidi w:val="0"/>
        <w:ind w:firstLine="708"/>
        <w:rPr>
          <w:rFonts w:ascii="Times New Roman" w:hAnsi="Times New Roman"/>
          <w:szCs w:val="22"/>
        </w:rPr>
      </w:pPr>
    </w:p>
    <w:p w:rsidR="00684526" w:rsidP="005E21C8">
      <w:pPr>
        <w:pStyle w:val="BodyText"/>
        <w:bidi w:val="0"/>
        <w:ind w:firstLine="708"/>
        <w:rPr>
          <w:rFonts w:ascii="Times New Roman" w:hAnsi="Times New Roman"/>
          <w:szCs w:val="22"/>
        </w:rPr>
      </w:pPr>
    </w:p>
    <w:p w:rsidR="00684526" w:rsidP="005E21C8">
      <w:pPr>
        <w:pStyle w:val="BodyText"/>
        <w:bidi w:val="0"/>
        <w:ind w:firstLine="708"/>
        <w:rPr>
          <w:rFonts w:ascii="Times New Roman" w:hAnsi="Times New Roman"/>
          <w:szCs w:val="22"/>
        </w:rPr>
      </w:pPr>
    </w:p>
    <w:p w:rsidR="00684526" w:rsidP="005E21C8">
      <w:pPr>
        <w:pStyle w:val="BodyText"/>
        <w:bidi w:val="0"/>
        <w:ind w:firstLine="708"/>
        <w:rPr>
          <w:rFonts w:ascii="Times New Roman" w:hAnsi="Times New Roman"/>
          <w:szCs w:val="22"/>
        </w:rPr>
      </w:pPr>
    </w:p>
    <w:p w:rsidR="00684526" w:rsidP="00684526">
      <w:pPr>
        <w:pStyle w:val="BodyText"/>
        <w:bidi w:val="0"/>
        <w:rPr>
          <w:rFonts w:ascii="Times New Roman" w:hAnsi="Times New Roman"/>
          <w:szCs w:val="22"/>
        </w:rPr>
      </w:pPr>
    </w:p>
    <w:p w:rsidR="00684526" w:rsidP="00684526">
      <w:pPr>
        <w:pStyle w:val="BodyText"/>
        <w:bidi w:val="0"/>
        <w:rPr>
          <w:rFonts w:ascii="Times New Roman" w:hAnsi="Times New Roman"/>
          <w:szCs w:val="22"/>
        </w:rPr>
      </w:pPr>
    </w:p>
    <w:p w:rsidR="00684526" w:rsidP="005E21C8">
      <w:pPr>
        <w:pStyle w:val="BodyText"/>
        <w:bidi w:val="0"/>
        <w:ind w:firstLine="708"/>
        <w:rPr>
          <w:rFonts w:ascii="Times New Roman" w:hAnsi="Times New Roman"/>
          <w:szCs w:val="22"/>
        </w:rPr>
      </w:pPr>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276"/>
        <w:gridCol w:w="708"/>
        <w:gridCol w:w="851"/>
        <w:gridCol w:w="850"/>
        <w:gridCol w:w="851"/>
        <w:gridCol w:w="850"/>
        <w:gridCol w:w="851"/>
        <w:gridCol w:w="850"/>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E21C8" w:rsidRPr="00F816D0" w:rsidP="00A02DCA">
            <w:pPr>
              <w:bidi w:val="0"/>
              <w:rPr>
                <w:rFonts w:ascii="Times New Roman" w:hAnsi="Times New Roman"/>
                <w:b/>
                <w:bCs/>
                <w:color w:val="000000"/>
                <w:sz w:val="16"/>
                <w:szCs w:val="16"/>
              </w:rPr>
            </w:pPr>
            <w:r w:rsidRPr="00F816D0">
              <w:rPr>
                <w:rFonts w:ascii="Times New Roman" w:hAnsi="Times New Roman"/>
                <w:b/>
                <w:bCs/>
                <w:color w:val="000000"/>
                <w:sz w:val="16"/>
                <w:szCs w:val="16"/>
              </w:rPr>
              <w:t>v tis. eur</w:t>
            </w:r>
          </w:p>
        </w:tc>
        <w:tc>
          <w:tcPr>
            <w:tcW w:w="708"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2013 S</w:t>
            </w:r>
          </w:p>
        </w:tc>
        <w:tc>
          <w:tcPr>
            <w:tcW w:w="851"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2014 S</w:t>
            </w:r>
          </w:p>
        </w:tc>
        <w:tc>
          <w:tcPr>
            <w:tcW w:w="850"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2015 R</w:t>
            </w:r>
          </w:p>
        </w:tc>
        <w:tc>
          <w:tcPr>
            <w:tcW w:w="851"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2015 OS</w:t>
            </w:r>
          </w:p>
        </w:tc>
        <w:tc>
          <w:tcPr>
            <w:tcW w:w="850"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2016 N</w:t>
            </w:r>
          </w:p>
        </w:tc>
        <w:tc>
          <w:tcPr>
            <w:tcW w:w="851"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2017 N</w:t>
            </w:r>
          </w:p>
        </w:tc>
        <w:tc>
          <w:tcPr>
            <w:tcW w:w="850" w:type="dxa"/>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2018 N</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rPr>
                <w:rFonts w:ascii="Times New Roman" w:hAnsi="Times New Roman"/>
                <w:b/>
                <w:bCs/>
                <w:color w:val="000000"/>
                <w:sz w:val="16"/>
                <w:szCs w:val="16"/>
              </w:rPr>
            </w:pPr>
            <w:r w:rsidRPr="00F816D0">
              <w:rPr>
                <w:rFonts w:ascii="Times New Roman" w:hAnsi="Times New Roman"/>
                <w:b/>
                <w:bCs/>
                <w:color w:val="000000"/>
                <w:sz w:val="16"/>
                <w:szCs w:val="16"/>
              </w:rPr>
              <w:t>Príjmy dopravných podnikov spolu</w:t>
            </w:r>
          </w:p>
        </w:tc>
        <w:tc>
          <w:tcPr>
            <w:tcW w:w="70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231 570</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395 665</w:t>
            </w:r>
          </w:p>
        </w:tc>
        <w:tc>
          <w:tcPr>
            <w:tcW w:w="85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403 751</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232 212</w:t>
            </w:r>
          </w:p>
        </w:tc>
        <w:tc>
          <w:tcPr>
            <w:tcW w:w="85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205 231</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206 438</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z toho:</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xml:space="preserve">▪   daňové príjmy </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center"/>
              <w:rPr>
                <w:rFonts w:ascii="Times New Roman" w:hAnsi="Times New Roman"/>
                <w:color w:val="000000"/>
                <w:sz w:val="16"/>
                <w:szCs w:val="16"/>
              </w:rPr>
            </w:pPr>
            <w:r w:rsidRPr="00F816D0">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nedaňové príjmy</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center"/>
              <w:rPr>
                <w:rFonts w:ascii="Times New Roman" w:hAnsi="Times New Roman"/>
                <w:color w:val="000000"/>
                <w:sz w:val="16"/>
                <w:szCs w:val="16"/>
              </w:rPr>
            </w:pPr>
            <w:r w:rsidRPr="00F816D0">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78 447</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84 416</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83 605</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79 762</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76 676</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77 093</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xml:space="preserve">▪   granty a  transfery </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center"/>
              <w:rPr>
                <w:rFonts w:ascii="Times New Roman" w:hAnsi="Times New Roman"/>
                <w:color w:val="000000"/>
                <w:sz w:val="16"/>
                <w:szCs w:val="16"/>
              </w:rPr>
            </w:pPr>
            <w:r w:rsidRPr="00F816D0">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118 121</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297 208</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291 852</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140 578</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117 855</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119 701</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nil"/>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xml:space="preserve">▪   zo splátok tuzemských úverov, pôžičiek </w:t>
            </w:r>
          </w:p>
        </w:tc>
        <w:tc>
          <w:tcPr>
            <w:tcW w:w="708" w:type="dxa"/>
            <w:vMerge w:val="restart"/>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center"/>
              <w:rPr>
                <w:rFonts w:ascii="Times New Roman" w:hAnsi="Times New Roman"/>
                <w:color w:val="000000"/>
                <w:sz w:val="16"/>
                <w:szCs w:val="16"/>
              </w:rPr>
            </w:pPr>
            <w:r w:rsidRPr="00F816D0">
              <w:rPr>
                <w:rFonts w:ascii="Times New Roman" w:hAnsi="Times New Roman"/>
                <w:color w:val="000000"/>
                <w:sz w:val="16"/>
                <w:szCs w:val="16"/>
              </w:rPr>
              <w:t>-</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850" w:type="dxa"/>
            <w:vMerge w:val="restart"/>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851" w:type="dxa"/>
            <w:vMerge w:val="restart"/>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r>
      <w:tr>
        <w:tblPrEx>
          <w:tblW w:w="9087" w:type="dxa"/>
          <w:tblInd w:w="55" w:type="dxa"/>
          <w:tblCellMar>
            <w:left w:w="70" w:type="dxa"/>
            <w:right w:w="70" w:type="dxa"/>
          </w:tblCellMar>
          <w:tblLook w:val="04A0"/>
        </w:tblPrEx>
        <w:trPr>
          <w:trHeight w:val="261"/>
        </w:trPr>
        <w:tc>
          <w:tcPr>
            <w:tcW w:w="3276" w:type="dxa"/>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xml:space="preserve">    a z predaja majetk. účastí (FO)</w:t>
            </w:r>
          </w:p>
        </w:tc>
        <w:tc>
          <w:tcPr>
            <w:tcW w:w="708" w:type="dxa"/>
            <w:vMerge/>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p>
        </w:tc>
      </w:tr>
      <w:tr>
        <w:tblPrEx>
          <w:tblW w:w="9087" w:type="dxa"/>
          <w:tblInd w:w="55" w:type="dxa"/>
          <w:tblCellMar>
            <w:left w:w="70" w:type="dxa"/>
            <w:right w:w="70" w:type="dxa"/>
          </w:tblCellMar>
          <w:tblLook w:val="04A0"/>
        </w:tblPrEx>
        <w:trPr>
          <w:trHeight w:val="384"/>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xml:space="preserve">▪   zostatok prostr. z predch.  rokov a prevod     </w:t>
            </w:r>
          </w:p>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xml:space="preserve">    prostriedkov z peňažných fondov a ost.(FO)</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center"/>
              <w:rPr>
                <w:rFonts w:ascii="Times New Roman" w:hAnsi="Times New Roman"/>
                <w:color w:val="000000"/>
                <w:sz w:val="16"/>
                <w:szCs w:val="16"/>
              </w:rPr>
            </w:pPr>
            <w:r w:rsidRPr="00F816D0">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821</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178</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83</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180</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prijaté úvery  (FO)</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center"/>
              <w:rPr>
                <w:rFonts w:ascii="Times New Roman" w:hAnsi="Times New Roman"/>
                <w:color w:val="000000"/>
                <w:sz w:val="16"/>
                <w:szCs w:val="16"/>
              </w:rPr>
            </w:pPr>
            <w:r w:rsidRPr="00F816D0">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34 181</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13 863</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28 211</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11 692</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10 700</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9 644</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rPr>
                <w:rFonts w:ascii="Times New Roman" w:hAnsi="Times New Roman"/>
                <w:b/>
                <w:bCs/>
                <w:color w:val="000000"/>
                <w:sz w:val="16"/>
                <w:szCs w:val="16"/>
              </w:rPr>
            </w:pPr>
            <w:r w:rsidRPr="00F816D0">
              <w:rPr>
                <w:rFonts w:ascii="Times New Roman" w:hAnsi="Times New Roman"/>
                <w:b/>
                <w:bCs/>
                <w:color w:val="000000"/>
                <w:sz w:val="16"/>
                <w:szCs w:val="16"/>
              </w:rPr>
              <w:t>Výdavky dopravných podnikov spolu</w:t>
            </w:r>
          </w:p>
        </w:tc>
        <w:tc>
          <w:tcPr>
            <w:tcW w:w="70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230 933</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394 376</w:t>
            </w:r>
          </w:p>
        </w:tc>
        <w:tc>
          <w:tcPr>
            <w:tcW w:w="85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403 137</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231 360</w:t>
            </w:r>
          </w:p>
        </w:tc>
        <w:tc>
          <w:tcPr>
            <w:tcW w:w="85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204 272</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206 073</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z toho:</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mzdy a odvody</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center"/>
              <w:rPr>
                <w:rFonts w:ascii="Times New Roman" w:hAnsi="Times New Roman"/>
                <w:color w:val="000000"/>
                <w:sz w:val="16"/>
                <w:szCs w:val="16"/>
              </w:rPr>
            </w:pPr>
            <w:r w:rsidRPr="00F816D0">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66 285</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68 190</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67 119</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63 626</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65 484</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67 392</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xml:space="preserve">▪   tovary a služby </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center"/>
              <w:rPr>
                <w:rFonts w:ascii="Times New Roman" w:hAnsi="Times New Roman"/>
                <w:color w:val="000000"/>
                <w:sz w:val="16"/>
                <w:szCs w:val="16"/>
              </w:rPr>
            </w:pPr>
            <w:r w:rsidRPr="00F816D0">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80 175</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89 087</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79 489</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88 448</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86 198</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86 500</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bežné transfery</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center"/>
              <w:rPr>
                <w:rFonts w:ascii="Times New Roman" w:hAnsi="Times New Roman"/>
                <w:color w:val="000000"/>
                <w:sz w:val="16"/>
                <w:szCs w:val="16"/>
              </w:rPr>
            </w:pPr>
            <w:r w:rsidRPr="00F816D0">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308</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142</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298</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129</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130</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130</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xml:space="preserve">▪   splácanie úrokov </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center"/>
              <w:rPr>
                <w:rFonts w:ascii="Times New Roman" w:hAnsi="Times New Roman"/>
                <w:color w:val="000000"/>
                <w:sz w:val="16"/>
                <w:szCs w:val="16"/>
              </w:rPr>
            </w:pPr>
            <w:r w:rsidRPr="00F816D0">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4 833</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4 104</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3 934</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3 662</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2 830</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2 211</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kapitálové výdavky</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center"/>
              <w:rPr>
                <w:rFonts w:ascii="Times New Roman" w:hAnsi="Times New Roman"/>
                <w:color w:val="000000"/>
                <w:sz w:val="16"/>
                <w:szCs w:val="16"/>
              </w:rPr>
            </w:pPr>
            <w:r w:rsidRPr="00F816D0">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68 469</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218 274</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238 941</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59 574</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33 249</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33 000</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xml:space="preserve">▪   úvery a účasť na majetku (FO)  </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center"/>
              <w:rPr>
                <w:rFonts w:ascii="Times New Roman" w:hAnsi="Times New Roman"/>
                <w:color w:val="000000"/>
                <w:sz w:val="16"/>
                <w:szCs w:val="16"/>
              </w:rPr>
            </w:pPr>
            <w:r w:rsidRPr="00F816D0">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splácanie istiny (FO)</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center"/>
              <w:rPr>
                <w:rFonts w:ascii="Times New Roman" w:hAnsi="Times New Roman"/>
                <w:color w:val="000000"/>
                <w:sz w:val="16"/>
                <w:szCs w:val="16"/>
              </w:rPr>
            </w:pPr>
            <w:r w:rsidRPr="00F816D0">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10 863</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14 579</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13 356</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15 921</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16 381</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16 840</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rPr>
                <w:rFonts w:ascii="Times New Roman" w:hAnsi="Times New Roman"/>
                <w:b/>
                <w:bCs/>
                <w:color w:val="000000"/>
                <w:sz w:val="16"/>
                <w:szCs w:val="16"/>
              </w:rPr>
            </w:pPr>
            <w:r w:rsidRPr="00F816D0">
              <w:rPr>
                <w:rFonts w:ascii="Times New Roman" w:hAnsi="Times New Roman"/>
                <w:b/>
                <w:bCs/>
                <w:color w:val="000000"/>
                <w:sz w:val="16"/>
                <w:szCs w:val="16"/>
              </w:rPr>
              <w:t xml:space="preserve">Celkový prebytok doprav. podnikov </w:t>
            </w:r>
          </w:p>
        </w:tc>
        <w:tc>
          <w:tcPr>
            <w:tcW w:w="708"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637</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1 289</w:t>
            </w:r>
          </w:p>
        </w:tc>
        <w:tc>
          <w:tcPr>
            <w:tcW w:w="85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614</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852</w:t>
            </w:r>
          </w:p>
        </w:tc>
        <w:tc>
          <w:tcPr>
            <w:tcW w:w="85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959</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365</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vylúčenie finančných operácií</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center"/>
              <w:rPr>
                <w:rFonts w:ascii="Times New Roman" w:hAnsi="Times New Roman"/>
                <w:b/>
                <w:bCs/>
                <w:i/>
                <w:iCs/>
                <w:color w:val="000000"/>
                <w:sz w:val="16"/>
                <w:szCs w:val="16"/>
              </w:rPr>
            </w:pPr>
            <w:r w:rsidRPr="00F816D0">
              <w:rPr>
                <w:rFonts w:ascii="Times New Roman" w:hAnsi="Times New Roman"/>
                <w:b/>
                <w:bCs/>
                <w:i/>
                <w:iCs/>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-24 139</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538</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-14 938</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4 049</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5 681</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7 196</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z toho:</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xml:space="preserve">▪   vylúčenie príjmových FO </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center"/>
              <w:rPr>
                <w:rFonts w:ascii="Times New Roman" w:hAnsi="Times New Roman"/>
                <w:color w:val="000000"/>
                <w:sz w:val="16"/>
                <w:szCs w:val="16"/>
              </w:rPr>
            </w:pPr>
            <w:r w:rsidRPr="00F816D0">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noWrap/>
            <w:textDirection w:val="lrTb"/>
            <w:vAlign w:val="bottom"/>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-35 002</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-14 041</w:t>
            </w:r>
          </w:p>
        </w:tc>
        <w:tc>
          <w:tcPr>
            <w:tcW w:w="851" w:type="dxa"/>
            <w:tcBorders>
              <w:top w:val="single" w:sz="4" w:space="0" w:color="auto"/>
              <w:left w:val="single" w:sz="4" w:space="0" w:color="auto"/>
              <w:bottom w:val="single" w:sz="4" w:space="0" w:color="auto"/>
              <w:right w:val="single" w:sz="4" w:space="0" w:color="auto"/>
            </w:tcBorders>
            <w:noWrap/>
            <w:textDirection w:val="lrTb"/>
            <w:vAlign w:val="bottom"/>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-28 294</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-11 872</w:t>
            </w:r>
          </w:p>
        </w:tc>
        <w:tc>
          <w:tcPr>
            <w:tcW w:w="851" w:type="dxa"/>
            <w:tcBorders>
              <w:top w:val="single" w:sz="4" w:space="0" w:color="auto"/>
              <w:left w:val="single" w:sz="4" w:space="0" w:color="auto"/>
              <w:bottom w:val="single" w:sz="4" w:space="0" w:color="auto"/>
              <w:right w:val="single" w:sz="4" w:space="0" w:color="auto"/>
            </w:tcBorders>
            <w:noWrap/>
            <w:textDirection w:val="lrTb"/>
            <w:vAlign w:val="bottom"/>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-10 700</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-9 644</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vylúčenie výdavkových FO</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center"/>
              <w:rPr>
                <w:rFonts w:ascii="Times New Roman" w:hAnsi="Times New Roman"/>
                <w:color w:val="000000"/>
                <w:sz w:val="16"/>
                <w:szCs w:val="16"/>
              </w:rPr>
            </w:pPr>
            <w:r w:rsidRPr="00F816D0">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noWrap/>
            <w:textDirection w:val="lrTb"/>
            <w:vAlign w:val="bottom"/>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10 863</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14 579</w:t>
            </w:r>
          </w:p>
        </w:tc>
        <w:tc>
          <w:tcPr>
            <w:tcW w:w="851" w:type="dxa"/>
            <w:tcBorders>
              <w:top w:val="single" w:sz="4" w:space="0" w:color="auto"/>
              <w:left w:val="single" w:sz="4" w:space="0" w:color="auto"/>
              <w:bottom w:val="single" w:sz="4" w:space="0" w:color="auto"/>
              <w:right w:val="single" w:sz="4" w:space="0" w:color="auto"/>
            </w:tcBorders>
            <w:noWrap/>
            <w:textDirection w:val="lrTb"/>
            <w:vAlign w:val="bottom"/>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13 356</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15 921</w:t>
            </w:r>
          </w:p>
        </w:tc>
        <w:tc>
          <w:tcPr>
            <w:tcW w:w="851" w:type="dxa"/>
            <w:tcBorders>
              <w:top w:val="single" w:sz="4" w:space="0" w:color="auto"/>
              <w:left w:val="single" w:sz="4" w:space="0" w:color="auto"/>
              <w:bottom w:val="single" w:sz="4" w:space="0" w:color="auto"/>
              <w:right w:val="single" w:sz="4" w:space="0" w:color="auto"/>
            </w:tcBorders>
            <w:noWrap/>
            <w:textDirection w:val="lrTb"/>
            <w:vAlign w:val="bottom"/>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16 381</w:t>
            </w:r>
          </w:p>
        </w:tc>
        <w:tc>
          <w:tcPr>
            <w:tcW w:w="850" w:type="dxa"/>
            <w:tcBorders>
              <w:top w:val="single" w:sz="4" w:space="0" w:color="auto"/>
              <w:left w:val="single" w:sz="4" w:space="0" w:color="auto"/>
              <w:bottom w:val="single" w:sz="4" w:space="0" w:color="auto"/>
              <w:right w:val="single" w:sz="4" w:space="0" w:color="auto"/>
            </w:tcBorders>
            <w:noWrap/>
            <w:textDirection w:val="lrTb"/>
            <w:vAlign w:val="bottom"/>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16 840</w:t>
            </w:r>
          </w:p>
        </w:tc>
      </w:tr>
      <w:tr>
        <w:tblPrEx>
          <w:tblW w:w="9087" w:type="dxa"/>
          <w:tblInd w:w="55" w:type="dxa"/>
          <w:tblCellMar>
            <w:left w:w="70" w:type="dxa"/>
            <w:right w:w="70" w:type="dxa"/>
          </w:tblCellMar>
          <w:tblLook w:val="04A0"/>
        </w:tblPrEx>
        <w:trPr>
          <w:trHeight w:val="261"/>
        </w:trPr>
        <w:tc>
          <w:tcPr>
            <w:tcW w:w="3276"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zahrnutie časového rozlíšenia  a ostatné úpravy</w:t>
            </w:r>
          </w:p>
        </w:tc>
        <w:tc>
          <w:tcPr>
            <w:tcW w:w="708"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center"/>
              <w:rPr>
                <w:rFonts w:ascii="Times New Roman" w:hAnsi="Times New Roman"/>
                <w:b/>
                <w:bCs/>
                <w:i/>
                <w:iCs/>
                <w:color w:val="000000"/>
                <w:sz w:val="16"/>
                <w:szCs w:val="16"/>
              </w:rPr>
            </w:pPr>
            <w:r w:rsidRPr="00F816D0">
              <w:rPr>
                <w:rFonts w:ascii="Times New Roman" w:hAnsi="Times New Roman"/>
                <w:b/>
                <w:bCs/>
                <w:i/>
                <w:iCs/>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-22 598</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0</w:t>
            </w:r>
          </w:p>
        </w:tc>
        <w:tc>
          <w:tcPr>
            <w:tcW w:w="851" w:type="dxa"/>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0</w:t>
            </w:r>
          </w:p>
        </w:tc>
      </w:tr>
      <w:tr>
        <w:tblPrEx>
          <w:tblW w:w="9087" w:type="dxa"/>
          <w:tblInd w:w="55" w:type="dxa"/>
          <w:tblCellMar>
            <w:left w:w="70" w:type="dxa"/>
            <w:right w:w="70" w:type="dxa"/>
          </w:tblCellMar>
          <w:tblLook w:val="04A0"/>
        </w:tblPrEx>
        <w:trPr>
          <w:trHeight w:val="276"/>
        </w:trPr>
        <w:tc>
          <w:tcPr>
            <w:tcW w:w="3276" w:type="dxa"/>
            <w:tcBorders>
              <w:top w:val="single" w:sz="4" w:space="0" w:color="auto"/>
              <w:left w:val="single" w:sz="4" w:space="0" w:color="auto"/>
              <w:bottom w:val="nil"/>
              <w:right w:val="single" w:sz="4" w:space="0" w:color="auto"/>
            </w:tcBorders>
            <w:shd w:val="clear" w:color="auto" w:fill="C0C0C0"/>
            <w:textDirection w:val="lrTb"/>
            <w:vAlign w:val="center"/>
            <w:hideMark/>
          </w:tcPr>
          <w:p w:rsidR="005E21C8" w:rsidRPr="00F816D0" w:rsidP="008D4822">
            <w:pPr>
              <w:bidi w:val="0"/>
              <w:rPr>
                <w:rFonts w:ascii="Times New Roman" w:hAnsi="Times New Roman"/>
                <w:b/>
                <w:bCs/>
                <w:color w:val="000000"/>
                <w:sz w:val="16"/>
                <w:szCs w:val="16"/>
              </w:rPr>
            </w:pPr>
            <w:r w:rsidRPr="003679CA" w:rsidR="008D4822">
              <w:rPr>
                <w:rFonts w:ascii="Times New Roman" w:hAnsi="Times New Roman"/>
                <w:b/>
                <w:bCs/>
                <w:sz w:val="16"/>
                <w:szCs w:val="16"/>
              </w:rPr>
              <w:t>P</w:t>
            </w:r>
            <w:r w:rsidRPr="003679CA">
              <w:rPr>
                <w:rFonts w:ascii="Times New Roman" w:hAnsi="Times New Roman"/>
                <w:b/>
                <w:bCs/>
                <w:sz w:val="16"/>
                <w:szCs w:val="16"/>
              </w:rPr>
              <w:t>rebytok</w:t>
            </w:r>
            <w:r w:rsidRPr="003679CA" w:rsidR="008D4822">
              <w:rPr>
                <w:rFonts w:ascii="Times New Roman" w:hAnsi="Times New Roman"/>
                <w:b/>
                <w:bCs/>
                <w:sz w:val="16"/>
                <w:szCs w:val="16"/>
              </w:rPr>
              <w:t>(+)/schodok</w:t>
            </w:r>
            <w:r w:rsidRPr="003679CA" w:rsidR="0090374E">
              <w:rPr>
                <w:rFonts w:ascii="Times New Roman" w:hAnsi="Times New Roman"/>
                <w:b/>
                <w:bCs/>
                <w:sz w:val="16"/>
                <w:szCs w:val="16"/>
              </w:rPr>
              <w:t>(-)</w:t>
            </w:r>
            <w:r w:rsidRPr="00F816D0">
              <w:rPr>
                <w:rFonts w:ascii="Times New Roman" w:hAnsi="Times New Roman"/>
                <w:b/>
                <w:bCs/>
                <w:color w:val="000000"/>
                <w:sz w:val="16"/>
                <w:szCs w:val="16"/>
              </w:rPr>
              <w:t xml:space="preserve"> doprav. podnikov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-46 100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1 827</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-14 324</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4 901</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6 640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7 561</w:t>
            </w:r>
          </w:p>
        </w:tc>
      </w:tr>
      <w:tr>
        <w:tblPrEx>
          <w:tblW w:w="9087" w:type="dxa"/>
          <w:tblInd w:w="55" w:type="dxa"/>
          <w:tblCellMar>
            <w:left w:w="70" w:type="dxa"/>
            <w:right w:w="70" w:type="dxa"/>
          </w:tblCellMar>
          <w:tblLook w:val="04A0"/>
        </w:tblPrEx>
        <w:trPr>
          <w:trHeight w:val="156"/>
        </w:trPr>
        <w:tc>
          <w:tcPr>
            <w:tcW w:w="3276" w:type="dxa"/>
            <w:tcBorders>
              <w:top w:val="nil"/>
              <w:left w:val="single" w:sz="4" w:space="0" w:color="auto"/>
              <w:bottom w:val="single" w:sz="4" w:space="0" w:color="auto"/>
              <w:right w:val="single" w:sz="4" w:space="0" w:color="auto"/>
            </w:tcBorders>
            <w:shd w:val="clear" w:color="auto" w:fill="C0C0C0"/>
            <w:textDirection w:val="lrTb"/>
            <w:vAlign w:val="center"/>
            <w:hideMark/>
          </w:tcPr>
          <w:p w:rsidR="005E21C8" w:rsidP="00A02DCA">
            <w:pPr>
              <w:bidi w:val="0"/>
              <w:rPr>
                <w:rFonts w:ascii="Times New Roman" w:hAnsi="Times New Roman"/>
                <w:b/>
                <w:bCs/>
                <w:color w:val="000000"/>
                <w:sz w:val="16"/>
                <w:szCs w:val="16"/>
              </w:rPr>
            </w:pPr>
            <w:r>
              <w:rPr>
                <w:rFonts w:ascii="Times New Roman" w:hAnsi="Times New Roman"/>
                <w:b/>
                <w:bCs/>
                <w:color w:val="000000"/>
                <w:sz w:val="16"/>
                <w:szCs w:val="16"/>
              </w:rPr>
              <w:t>(ESA  2010)</w:t>
            </w:r>
          </w:p>
        </w:tc>
        <w:tc>
          <w:tcPr>
            <w:tcW w:w="708" w:type="dxa"/>
            <w:vMerge/>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rPr>
                <w:rFonts w:ascii="Times New Roman" w:hAnsi="Times New Roman"/>
                <w:b/>
                <w:bCs/>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rPr>
                <w:rFonts w:ascii="Times New Roman" w:hAnsi="Times New Roman"/>
                <w:b/>
                <w:bCs/>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rPr>
                <w:rFonts w:ascii="Times New Roman" w:hAnsi="Times New Roman"/>
                <w:b/>
                <w:bCs/>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rPr>
                <w:rFonts w:ascii="Times New Roman" w:hAnsi="Times New Roman"/>
                <w:b/>
                <w:bCs/>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rPr>
                <w:rFonts w:ascii="Times New Roman" w:hAnsi="Times New Roman"/>
                <w:b/>
                <w:bCs/>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rPr>
                <w:rFonts w:ascii="Times New Roman" w:hAnsi="Times New Roman"/>
                <w:b/>
                <w:bCs/>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textDirection w:val="lrTb"/>
            <w:vAlign w:val="center"/>
            <w:hideMark/>
          </w:tcPr>
          <w:p w:rsidR="005E21C8" w:rsidP="00A02DCA">
            <w:pPr>
              <w:bidi w:val="0"/>
              <w:rPr>
                <w:rFonts w:ascii="Times New Roman" w:hAnsi="Times New Roman"/>
                <w:b/>
                <w:bCs/>
                <w:color w:val="000000"/>
                <w:sz w:val="16"/>
                <w:szCs w:val="16"/>
              </w:rPr>
            </w:pPr>
          </w:p>
        </w:tc>
      </w:tr>
    </w:tbl>
    <w:p w:rsidR="005E21C8" w:rsidRPr="00684526" w:rsidP="005E21C8">
      <w:pPr>
        <w:bidi w:val="0"/>
        <w:jc w:val="both"/>
        <w:rPr>
          <w:rFonts w:ascii="Times New Roman" w:hAnsi="Times New Roman"/>
          <w:i/>
          <w:sz w:val="16"/>
          <w:szCs w:val="16"/>
        </w:rPr>
      </w:pPr>
      <w:r w:rsidRPr="00684526">
        <w:rPr>
          <w:rFonts w:ascii="Times New Roman" w:hAnsi="Times New Roman"/>
          <w:i/>
          <w:sz w:val="16"/>
          <w:szCs w:val="16"/>
        </w:rPr>
        <w:t xml:space="preserve">Poznámka: Údaje o skutočnosti  roka 2013  sa neuvádzajú, nakoľko dopravné podniky boli preradené do sektora verejnej správy až v roku 2014. </w:t>
      </w:r>
    </w:p>
    <w:p w:rsidR="005E21C8" w:rsidRPr="00684526" w:rsidP="005E21C8">
      <w:pPr>
        <w:bidi w:val="0"/>
        <w:jc w:val="both"/>
        <w:rPr>
          <w:rFonts w:ascii="Times New Roman" w:hAnsi="Times New Roman"/>
          <w:sz w:val="16"/>
          <w:szCs w:val="16"/>
        </w:rPr>
      </w:pPr>
    </w:p>
    <w:p w:rsidR="005E21C8" w:rsidP="005E21C8">
      <w:pPr>
        <w:bidi w:val="0"/>
        <w:ind w:firstLine="708"/>
        <w:jc w:val="both"/>
        <w:rPr>
          <w:rFonts w:ascii="Times New Roman" w:hAnsi="Times New Roman"/>
        </w:rPr>
      </w:pPr>
      <w:r>
        <w:rPr>
          <w:rFonts w:ascii="Times New Roman" w:hAnsi="Times New Roman"/>
        </w:rPr>
        <w:t>Celkové príjmy dopravných podnikov sa v roku 2016 oproti rozpočtu verejnej správy</w:t>
      </w:r>
      <w:r w:rsidR="0060040C">
        <w:rPr>
          <w:rFonts w:ascii="Times New Roman" w:hAnsi="Times New Roman"/>
        </w:rPr>
        <w:t xml:space="preserve"> na rok</w:t>
      </w:r>
      <w:r>
        <w:rPr>
          <w:rFonts w:ascii="Times New Roman" w:hAnsi="Times New Roman"/>
        </w:rPr>
        <w:t xml:space="preserve"> 2015 rozpočtujú nižšie o </w:t>
      </w:r>
      <w:r w:rsidRPr="005571B7">
        <w:rPr>
          <w:rFonts w:ascii="Times New Roman" w:hAnsi="Times New Roman"/>
        </w:rPr>
        <w:t>41,3 % najmä z dôvodu očakávaných nižších transferov o 52,7 % (na realizáciu kapitálových aktivít) a nedaňových príjmov o</w:t>
      </w:r>
      <w:r w:rsidR="0048423B">
        <w:rPr>
          <w:rFonts w:ascii="Times New Roman" w:hAnsi="Times New Roman"/>
        </w:rPr>
        <w:t> 5,5</w:t>
      </w:r>
      <w:r w:rsidRPr="005571B7">
        <w:rPr>
          <w:rFonts w:ascii="Times New Roman" w:hAnsi="Times New Roman"/>
        </w:rPr>
        <w:t xml:space="preserve"> %.</w:t>
      </w:r>
      <w:r>
        <w:rPr>
          <w:rFonts w:ascii="Times New Roman" w:hAnsi="Times New Roman"/>
        </w:rPr>
        <w:t xml:space="preserve"> </w:t>
      </w:r>
    </w:p>
    <w:p w:rsidR="005E21C8" w:rsidRPr="00684526" w:rsidP="005E21C8">
      <w:pPr>
        <w:bidi w:val="0"/>
        <w:jc w:val="both"/>
        <w:rPr>
          <w:rFonts w:ascii="Times New Roman" w:hAnsi="Times New Roman"/>
          <w:sz w:val="16"/>
          <w:szCs w:val="16"/>
        </w:rPr>
      </w:pPr>
    </w:p>
    <w:p w:rsidR="005E21C8" w:rsidP="005E21C8">
      <w:pPr>
        <w:bidi w:val="0"/>
        <w:ind w:firstLine="708"/>
        <w:jc w:val="both"/>
        <w:rPr>
          <w:rFonts w:ascii="Times New Roman" w:hAnsi="Times New Roman"/>
        </w:rPr>
      </w:pPr>
      <w:r>
        <w:rPr>
          <w:rFonts w:ascii="Times New Roman" w:hAnsi="Times New Roman"/>
        </w:rPr>
        <w:t xml:space="preserve">V roku 2017 sa oproti roku 2016 predpokladá pokles príjmov o 11,6 % najmä </w:t>
        <w:br/>
        <w:t xml:space="preserve">z dôvodu znížených grantov a transferov a v roku 2018 oproti roku 2017 mierny nárast </w:t>
        <w:br/>
        <w:t>o 0,6 %.</w:t>
      </w:r>
    </w:p>
    <w:p w:rsidR="005E21C8" w:rsidRPr="00684526" w:rsidP="005E21C8">
      <w:pPr>
        <w:bidi w:val="0"/>
        <w:jc w:val="both"/>
        <w:rPr>
          <w:rFonts w:ascii="Times New Roman" w:hAnsi="Times New Roman"/>
          <w:sz w:val="16"/>
          <w:szCs w:val="16"/>
          <w:highlight w:val="yellow"/>
        </w:rPr>
      </w:pPr>
    </w:p>
    <w:p w:rsidR="00684526" w:rsidP="00684526">
      <w:pPr>
        <w:bidi w:val="0"/>
        <w:ind w:firstLine="708"/>
        <w:jc w:val="both"/>
        <w:rPr>
          <w:rFonts w:ascii="Times New Roman" w:hAnsi="Times New Roman"/>
        </w:rPr>
      </w:pPr>
      <w:r w:rsidR="005E21C8">
        <w:rPr>
          <w:rFonts w:ascii="Times New Roman" w:hAnsi="Times New Roman"/>
        </w:rPr>
        <w:t xml:space="preserve">Výdavky sa predpokladajú v roku 2016 oproti rozpočtu verejnej správy </w:t>
      </w:r>
      <w:r w:rsidR="0060040C">
        <w:rPr>
          <w:rFonts w:ascii="Times New Roman" w:hAnsi="Times New Roman"/>
        </w:rPr>
        <w:t xml:space="preserve">na rok </w:t>
      </w:r>
      <w:r w:rsidR="005E21C8">
        <w:rPr>
          <w:rFonts w:ascii="Times New Roman" w:hAnsi="Times New Roman"/>
        </w:rPr>
        <w:t>2015 nižšie o </w:t>
      </w:r>
      <w:r w:rsidRPr="005571B7" w:rsidR="005E21C8">
        <w:rPr>
          <w:rFonts w:ascii="Times New Roman" w:hAnsi="Times New Roman"/>
        </w:rPr>
        <w:t>4</w:t>
      </w:r>
      <w:r w:rsidR="005E21C8">
        <w:rPr>
          <w:rFonts w:ascii="Times New Roman" w:hAnsi="Times New Roman"/>
        </w:rPr>
        <w:t>1,3</w:t>
      </w:r>
      <w:r w:rsidRPr="005571B7" w:rsidR="005E21C8">
        <w:rPr>
          <w:rFonts w:ascii="Times New Roman" w:hAnsi="Times New Roman"/>
        </w:rPr>
        <w:t xml:space="preserve"> %, a to najmä v poklese kapitálových výdavkov o</w:t>
      </w:r>
      <w:r w:rsidR="005E21C8">
        <w:rPr>
          <w:rFonts w:ascii="Times New Roman" w:hAnsi="Times New Roman"/>
        </w:rPr>
        <w:t> </w:t>
      </w:r>
      <w:r w:rsidRPr="005571B7" w:rsidR="005E21C8">
        <w:rPr>
          <w:rFonts w:ascii="Times New Roman" w:hAnsi="Times New Roman"/>
        </w:rPr>
        <w:t>7</w:t>
      </w:r>
      <w:r w:rsidR="005E21C8">
        <w:rPr>
          <w:rFonts w:ascii="Times New Roman" w:hAnsi="Times New Roman"/>
        </w:rPr>
        <w:t>2,7</w:t>
      </w:r>
      <w:r w:rsidRPr="005571B7" w:rsidR="005E21C8">
        <w:rPr>
          <w:rFonts w:ascii="Times New Roman" w:hAnsi="Times New Roman"/>
        </w:rPr>
        <w:t xml:space="preserve"> %</w:t>
      </w:r>
      <w:r w:rsidR="005E21C8">
        <w:rPr>
          <w:rFonts w:ascii="Times New Roman" w:hAnsi="Times New Roman"/>
        </w:rPr>
        <w:t xml:space="preserve"> v súvislosti s ukončením investičných a</w:t>
      </w:r>
      <w:r>
        <w:rPr>
          <w:rFonts w:ascii="Times New Roman" w:hAnsi="Times New Roman"/>
        </w:rPr>
        <w:t>kcií najmä v DP Bratislava a.s.</w:t>
      </w:r>
    </w:p>
    <w:p w:rsidR="00684526" w:rsidP="004850E3">
      <w:pPr>
        <w:bidi w:val="0"/>
        <w:jc w:val="both"/>
        <w:rPr>
          <w:rFonts w:ascii="Times New Roman" w:hAnsi="Times New Roman"/>
        </w:rPr>
      </w:pPr>
    </w:p>
    <w:p w:rsidR="004850E3" w:rsidP="0088420D">
      <w:pPr>
        <w:bidi w:val="0"/>
        <w:jc w:val="both"/>
        <w:rPr>
          <w:rFonts w:ascii="Times New Roman" w:hAnsi="Times New Roman"/>
          <w:b/>
        </w:rPr>
      </w:pPr>
      <w:r w:rsidRPr="004163E7" w:rsidR="005E21C8">
        <w:rPr>
          <w:rFonts w:ascii="Times New Roman" w:hAnsi="Times New Roman"/>
          <w:b/>
        </w:rPr>
        <w:t>1.3.</w:t>
      </w:r>
      <w:r w:rsidR="005E21C8">
        <w:rPr>
          <w:rFonts w:ascii="Times New Roman" w:hAnsi="Times New Roman"/>
          <w:b/>
        </w:rPr>
        <w:t xml:space="preserve"> </w:t>
      </w:r>
      <w:r w:rsidRPr="004163E7" w:rsidR="005E21C8">
        <w:rPr>
          <w:rFonts w:ascii="Times New Roman" w:hAnsi="Times New Roman"/>
          <w:b/>
        </w:rPr>
        <w:t>Vyššie</w:t>
      </w:r>
      <w:r w:rsidR="005E21C8">
        <w:rPr>
          <w:rFonts w:ascii="Times New Roman" w:hAnsi="Times New Roman"/>
          <w:b/>
        </w:rPr>
        <w:t xml:space="preserve"> </w:t>
      </w:r>
      <w:r w:rsidRPr="004163E7" w:rsidR="005E21C8">
        <w:rPr>
          <w:rFonts w:ascii="Times New Roman" w:hAnsi="Times New Roman"/>
          <w:b/>
        </w:rPr>
        <w:t>územné</w:t>
      </w:r>
      <w:r w:rsidR="005E21C8">
        <w:rPr>
          <w:rFonts w:ascii="Times New Roman" w:hAnsi="Times New Roman"/>
          <w:b/>
        </w:rPr>
        <w:t xml:space="preserve"> </w:t>
      </w:r>
      <w:r w:rsidRPr="004163E7" w:rsidR="005E21C8">
        <w:rPr>
          <w:rFonts w:ascii="Times New Roman" w:hAnsi="Times New Roman"/>
          <w:b/>
        </w:rPr>
        <w:t>celky</w:t>
      </w:r>
    </w:p>
    <w:p w:rsidR="004850E3" w:rsidRPr="004850E3" w:rsidP="004850E3">
      <w:pPr>
        <w:bidi w:val="0"/>
        <w:ind w:firstLine="708"/>
        <w:jc w:val="both"/>
        <w:rPr>
          <w:rFonts w:ascii="Times New Roman" w:hAnsi="Times New Roman"/>
          <w:b/>
          <w:sz w:val="16"/>
          <w:szCs w:val="16"/>
        </w:rPr>
      </w:pPr>
    </w:p>
    <w:p w:rsidR="00110761" w:rsidP="00110761">
      <w:pPr>
        <w:bidi w:val="0"/>
        <w:ind w:firstLine="708"/>
        <w:jc w:val="both"/>
        <w:rPr>
          <w:rFonts w:ascii="Times New Roman" w:hAnsi="Times New Roman"/>
          <w:b/>
        </w:rPr>
      </w:pPr>
      <w:r w:rsidRPr="004163E7" w:rsidR="004850E3">
        <w:rPr>
          <w:rFonts w:ascii="Times New Roman" w:hAnsi="Times New Roman"/>
        </w:rPr>
        <w:t>Predpokladá</w:t>
      </w:r>
      <w:r w:rsidR="004850E3">
        <w:rPr>
          <w:rFonts w:ascii="Times New Roman" w:hAnsi="Times New Roman"/>
          <w:color w:val="000000"/>
        </w:rPr>
        <w:t xml:space="preserve"> </w:t>
      </w:r>
      <w:r w:rsidRPr="004163E7" w:rsidR="004850E3">
        <w:rPr>
          <w:rFonts w:ascii="Times New Roman" w:hAnsi="Times New Roman"/>
          <w:color w:val="000000"/>
        </w:rPr>
        <w:t>sa,</w:t>
      </w:r>
      <w:r w:rsidR="004850E3">
        <w:rPr>
          <w:rFonts w:ascii="Times New Roman" w:hAnsi="Times New Roman"/>
          <w:color w:val="000000"/>
        </w:rPr>
        <w:t xml:space="preserve"> </w:t>
      </w:r>
      <w:r w:rsidRPr="004163E7" w:rsidR="004850E3">
        <w:rPr>
          <w:rFonts w:ascii="Times New Roman" w:hAnsi="Times New Roman"/>
          <w:color w:val="000000"/>
        </w:rPr>
        <w:t>že</w:t>
      </w:r>
      <w:r w:rsidR="004850E3">
        <w:rPr>
          <w:rFonts w:ascii="Times New Roman" w:hAnsi="Times New Roman"/>
          <w:color w:val="000000"/>
        </w:rPr>
        <w:t xml:space="preserve"> </w:t>
      </w:r>
      <w:r w:rsidRPr="004163E7" w:rsidR="004850E3">
        <w:rPr>
          <w:rFonts w:ascii="Times New Roman" w:hAnsi="Times New Roman"/>
          <w:color w:val="000000"/>
        </w:rPr>
        <w:t>VÚC</w:t>
      </w:r>
      <w:r w:rsidR="004850E3">
        <w:rPr>
          <w:rFonts w:ascii="Times New Roman" w:hAnsi="Times New Roman"/>
          <w:color w:val="000000"/>
        </w:rPr>
        <w:t xml:space="preserve"> </w:t>
      </w:r>
      <w:r w:rsidRPr="004163E7" w:rsidR="004850E3">
        <w:rPr>
          <w:rFonts w:ascii="Times New Roman" w:hAnsi="Times New Roman"/>
          <w:color w:val="000000"/>
        </w:rPr>
        <w:t>v</w:t>
      </w:r>
      <w:r w:rsidR="004850E3">
        <w:rPr>
          <w:rFonts w:ascii="Times New Roman" w:hAnsi="Times New Roman"/>
          <w:color w:val="000000"/>
        </w:rPr>
        <w:t xml:space="preserve"> </w:t>
      </w:r>
      <w:r w:rsidRPr="004163E7" w:rsidR="004850E3">
        <w:rPr>
          <w:rFonts w:ascii="Times New Roman" w:hAnsi="Times New Roman"/>
          <w:color w:val="000000"/>
        </w:rPr>
        <w:t>roku</w:t>
      </w:r>
      <w:r w:rsidR="004850E3">
        <w:rPr>
          <w:rFonts w:ascii="Times New Roman" w:hAnsi="Times New Roman"/>
          <w:color w:val="000000"/>
        </w:rPr>
        <w:t xml:space="preserve"> </w:t>
      </w:r>
      <w:r w:rsidRPr="004163E7" w:rsidR="004850E3">
        <w:rPr>
          <w:rFonts w:ascii="Times New Roman" w:hAnsi="Times New Roman"/>
          <w:color w:val="000000"/>
        </w:rPr>
        <w:t>2016</w:t>
      </w:r>
      <w:r w:rsidR="004850E3">
        <w:rPr>
          <w:rFonts w:ascii="Times New Roman" w:hAnsi="Times New Roman"/>
          <w:color w:val="000000"/>
        </w:rPr>
        <w:t xml:space="preserve"> </w:t>
      </w:r>
      <w:r w:rsidRPr="004163E7" w:rsidR="004850E3">
        <w:rPr>
          <w:rFonts w:ascii="Times New Roman" w:hAnsi="Times New Roman"/>
          <w:color w:val="000000"/>
        </w:rPr>
        <w:t>dosiahnu</w:t>
      </w:r>
      <w:r w:rsidR="004850E3">
        <w:rPr>
          <w:rFonts w:ascii="Times New Roman" w:hAnsi="Times New Roman"/>
          <w:color w:val="000000"/>
        </w:rPr>
        <w:t xml:space="preserve"> </w:t>
      </w:r>
      <w:r w:rsidRPr="004163E7" w:rsidR="004850E3">
        <w:rPr>
          <w:rFonts w:ascii="Times New Roman" w:hAnsi="Times New Roman"/>
          <w:color w:val="000000"/>
        </w:rPr>
        <w:t>celkové</w:t>
      </w:r>
      <w:r w:rsidR="004850E3">
        <w:rPr>
          <w:rFonts w:ascii="Times New Roman" w:hAnsi="Times New Roman"/>
          <w:color w:val="000000"/>
        </w:rPr>
        <w:t xml:space="preserve"> </w:t>
      </w:r>
      <w:r w:rsidRPr="004163E7" w:rsidR="004850E3">
        <w:rPr>
          <w:rFonts w:ascii="Times New Roman" w:hAnsi="Times New Roman"/>
          <w:color w:val="000000"/>
        </w:rPr>
        <w:t>príjmy</w:t>
      </w:r>
      <w:r w:rsidR="004850E3">
        <w:rPr>
          <w:rFonts w:ascii="Times New Roman" w:hAnsi="Times New Roman"/>
          <w:color w:val="000000"/>
        </w:rPr>
        <w:t xml:space="preserve"> </w:t>
      </w:r>
      <w:r w:rsidRPr="004163E7" w:rsidR="004850E3">
        <w:rPr>
          <w:rFonts w:ascii="Times New Roman" w:hAnsi="Times New Roman"/>
          <w:color w:val="000000"/>
        </w:rPr>
        <w:t>vo</w:t>
      </w:r>
      <w:r w:rsidR="004850E3">
        <w:rPr>
          <w:rFonts w:ascii="Times New Roman" w:hAnsi="Times New Roman"/>
          <w:color w:val="000000"/>
        </w:rPr>
        <w:t xml:space="preserve"> </w:t>
      </w:r>
      <w:r w:rsidRPr="004163E7" w:rsidR="004850E3">
        <w:rPr>
          <w:rFonts w:ascii="Times New Roman" w:hAnsi="Times New Roman"/>
          <w:color w:val="000000"/>
        </w:rPr>
        <w:t>výške</w:t>
      </w:r>
      <w:r w:rsidR="004850E3">
        <w:rPr>
          <w:rFonts w:ascii="Times New Roman" w:hAnsi="Times New Roman"/>
          <w:color w:val="000000"/>
        </w:rPr>
        <w:t xml:space="preserve"> </w:t>
      </w:r>
      <w:r w:rsidRPr="004163E7" w:rsidR="004850E3">
        <w:rPr>
          <w:rFonts w:ascii="Times New Roman" w:hAnsi="Times New Roman"/>
          <w:color w:val="000000"/>
        </w:rPr>
        <w:br/>
        <w:t>1</w:t>
      </w:r>
      <w:r w:rsidR="004850E3">
        <w:rPr>
          <w:rFonts w:ascii="Times New Roman" w:hAnsi="Times New Roman"/>
          <w:color w:val="000000"/>
        </w:rPr>
        <w:t xml:space="preserve"> </w:t>
      </w:r>
      <w:r w:rsidRPr="004163E7" w:rsidR="004850E3">
        <w:rPr>
          <w:rFonts w:ascii="Times New Roman" w:hAnsi="Times New Roman"/>
          <w:color w:val="000000"/>
        </w:rPr>
        <w:t>318</w:t>
      </w:r>
      <w:r w:rsidR="004850E3">
        <w:rPr>
          <w:rFonts w:ascii="Times New Roman" w:hAnsi="Times New Roman"/>
          <w:color w:val="000000"/>
        </w:rPr>
        <w:t xml:space="preserve"> </w:t>
      </w:r>
      <w:r w:rsidRPr="004163E7" w:rsidR="004850E3">
        <w:rPr>
          <w:rFonts w:ascii="Times New Roman" w:hAnsi="Times New Roman"/>
          <w:color w:val="000000"/>
        </w:rPr>
        <w:t>78</w:t>
      </w:r>
      <w:r w:rsidR="003679CA">
        <w:rPr>
          <w:rFonts w:ascii="Times New Roman" w:hAnsi="Times New Roman"/>
          <w:color w:val="000000"/>
        </w:rPr>
        <w:t>7</w:t>
      </w:r>
      <w:r w:rsidR="004850E3">
        <w:rPr>
          <w:rFonts w:ascii="Times New Roman" w:hAnsi="Times New Roman"/>
          <w:color w:val="000000"/>
        </w:rPr>
        <w:t xml:space="preserve"> </w:t>
      </w:r>
      <w:r w:rsidRPr="004163E7" w:rsidR="004850E3">
        <w:rPr>
          <w:rFonts w:ascii="Times New Roman" w:hAnsi="Times New Roman"/>
          <w:color w:val="000000"/>
        </w:rPr>
        <w:t>tis.</w:t>
      </w:r>
      <w:r w:rsidR="004850E3">
        <w:rPr>
          <w:rFonts w:ascii="Times New Roman" w:hAnsi="Times New Roman"/>
          <w:color w:val="000000"/>
        </w:rPr>
        <w:t xml:space="preserve"> </w:t>
      </w:r>
      <w:r w:rsidRPr="004163E7" w:rsidR="004850E3">
        <w:rPr>
          <w:rFonts w:ascii="Times New Roman" w:hAnsi="Times New Roman"/>
          <w:color w:val="000000"/>
        </w:rPr>
        <w:t>eur</w:t>
      </w:r>
      <w:r w:rsidR="004850E3">
        <w:rPr>
          <w:rFonts w:ascii="Times New Roman" w:hAnsi="Times New Roman"/>
          <w:color w:val="000000"/>
        </w:rPr>
        <w:t xml:space="preserve"> </w:t>
      </w:r>
      <w:r w:rsidRPr="004163E7" w:rsidR="004850E3">
        <w:rPr>
          <w:rFonts w:ascii="Times New Roman" w:hAnsi="Times New Roman"/>
          <w:color w:val="000000"/>
        </w:rPr>
        <w:t>a</w:t>
      </w:r>
      <w:r w:rsidR="004850E3">
        <w:rPr>
          <w:rFonts w:ascii="Times New Roman" w:hAnsi="Times New Roman"/>
          <w:color w:val="000000"/>
        </w:rPr>
        <w:t xml:space="preserve"> </w:t>
      </w:r>
      <w:r w:rsidRPr="004163E7" w:rsidR="004850E3">
        <w:rPr>
          <w:rFonts w:ascii="Times New Roman" w:hAnsi="Times New Roman"/>
          <w:color w:val="000000"/>
        </w:rPr>
        <w:t>celkové</w:t>
      </w:r>
      <w:r w:rsidR="004850E3">
        <w:rPr>
          <w:rFonts w:ascii="Times New Roman" w:hAnsi="Times New Roman"/>
          <w:color w:val="000000"/>
        </w:rPr>
        <w:t xml:space="preserve"> </w:t>
      </w:r>
      <w:r w:rsidRPr="004163E7" w:rsidR="004850E3">
        <w:rPr>
          <w:rFonts w:ascii="Times New Roman" w:hAnsi="Times New Roman"/>
          <w:color w:val="000000"/>
        </w:rPr>
        <w:t>výdavky</w:t>
      </w:r>
      <w:r w:rsidR="004850E3">
        <w:rPr>
          <w:rFonts w:ascii="Times New Roman" w:hAnsi="Times New Roman"/>
          <w:color w:val="000000"/>
        </w:rPr>
        <w:t xml:space="preserve"> </w:t>
      </w:r>
      <w:r w:rsidRPr="004163E7" w:rsidR="004850E3">
        <w:rPr>
          <w:rFonts w:ascii="Times New Roman" w:hAnsi="Times New Roman"/>
          <w:color w:val="000000"/>
        </w:rPr>
        <w:t>v</w:t>
      </w:r>
      <w:r w:rsidR="004850E3">
        <w:rPr>
          <w:rFonts w:ascii="Times New Roman" w:hAnsi="Times New Roman"/>
          <w:color w:val="000000"/>
        </w:rPr>
        <w:t xml:space="preserve"> </w:t>
      </w:r>
      <w:r w:rsidRPr="004163E7" w:rsidR="004850E3">
        <w:rPr>
          <w:rFonts w:ascii="Times New Roman" w:hAnsi="Times New Roman"/>
          <w:color w:val="000000"/>
        </w:rPr>
        <w:t>sume</w:t>
      </w:r>
      <w:r w:rsidR="004850E3">
        <w:rPr>
          <w:rFonts w:ascii="Times New Roman" w:hAnsi="Times New Roman"/>
          <w:color w:val="000000"/>
        </w:rPr>
        <w:t xml:space="preserve"> </w:t>
      </w:r>
      <w:r w:rsidRPr="004163E7" w:rsidR="004850E3">
        <w:rPr>
          <w:rFonts w:ascii="Times New Roman" w:hAnsi="Times New Roman"/>
          <w:color w:val="000000"/>
        </w:rPr>
        <w:t>1</w:t>
      </w:r>
      <w:r w:rsidR="004850E3">
        <w:rPr>
          <w:rFonts w:ascii="Times New Roman" w:hAnsi="Times New Roman"/>
          <w:color w:val="000000"/>
        </w:rPr>
        <w:t xml:space="preserve"> </w:t>
      </w:r>
      <w:r w:rsidRPr="004163E7" w:rsidR="004850E3">
        <w:rPr>
          <w:rFonts w:ascii="Times New Roman" w:hAnsi="Times New Roman"/>
          <w:color w:val="000000"/>
        </w:rPr>
        <w:t>166</w:t>
      </w:r>
      <w:r w:rsidR="004850E3">
        <w:rPr>
          <w:rFonts w:ascii="Times New Roman" w:hAnsi="Times New Roman"/>
          <w:color w:val="000000"/>
        </w:rPr>
        <w:t xml:space="preserve"> </w:t>
      </w:r>
      <w:r w:rsidRPr="004163E7" w:rsidR="004850E3">
        <w:rPr>
          <w:rFonts w:ascii="Times New Roman" w:hAnsi="Times New Roman"/>
          <w:color w:val="000000"/>
        </w:rPr>
        <w:t>324</w:t>
      </w:r>
      <w:r w:rsidR="004850E3">
        <w:rPr>
          <w:rFonts w:ascii="Times New Roman" w:hAnsi="Times New Roman"/>
          <w:color w:val="000000"/>
        </w:rPr>
        <w:t xml:space="preserve">  </w:t>
      </w:r>
      <w:r w:rsidRPr="004163E7" w:rsidR="004850E3">
        <w:rPr>
          <w:rFonts w:ascii="Times New Roman" w:hAnsi="Times New Roman"/>
          <w:color w:val="000000"/>
        </w:rPr>
        <w:t>tis.</w:t>
      </w:r>
      <w:r w:rsidR="004850E3">
        <w:rPr>
          <w:rFonts w:ascii="Times New Roman" w:hAnsi="Times New Roman"/>
          <w:color w:val="000000"/>
        </w:rPr>
        <w:t xml:space="preserve"> </w:t>
      </w:r>
      <w:r w:rsidRPr="004163E7" w:rsidR="004850E3">
        <w:rPr>
          <w:rFonts w:ascii="Times New Roman" w:hAnsi="Times New Roman"/>
          <w:color w:val="000000"/>
        </w:rPr>
        <w:t>eur.</w:t>
      </w:r>
      <w:r w:rsidR="004850E3">
        <w:rPr>
          <w:rFonts w:ascii="Times New Roman" w:hAnsi="Times New Roman"/>
          <w:color w:val="000000"/>
        </w:rPr>
        <w:t xml:space="preserve"> </w:t>
      </w:r>
      <w:r w:rsidRPr="004163E7" w:rsidR="004850E3">
        <w:rPr>
          <w:rFonts w:ascii="Times New Roman" w:hAnsi="Times New Roman"/>
          <w:color w:val="000000"/>
        </w:rPr>
        <w:t>Po</w:t>
      </w:r>
      <w:r w:rsidR="004850E3">
        <w:rPr>
          <w:rFonts w:ascii="Times New Roman" w:hAnsi="Times New Roman"/>
          <w:color w:val="000000"/>
        </w:rPr>
        <w:t xml:space="preserve"> </w:t>
      </w:r>
      <w:r w:rsidRPr="004163E7" w:rsidR="004850E3">
        <w:rPr>
          <w:rFonts w:ascii="Times New Roman" w:hAnsi="Times New Roman"/>
          <w:color w:val="000000"/>
        </w:rPr>
        <w:t>odpočítaní</w:t>
      </w:r>
      <w:r w:rsidR="004850E3">
        <w:rPr>
          <w:rFonts w:ascii="Times New Roman" w:hAnsi="Times New Roman"/>
          <w:color w:val="000000"/>
        </w:rPr>
        <w:t xml:space="preserve"> </w:t>
      </w:r>
      <w:r w:rsidRPr="004163E7" w:rsidR="004850E3">
        <w:rPr>
          <w:rFonts w:ascii="Times New Roman" w:hAnsi="Times New Roman"/>
          <w:color w:val="000000"/>
        </w:rPr>
        <w:t>príjmových</w:t>
      </w:r>
      <w:r w:rsidR="004850E3">
        <w:rPr>
          <w:rFonts w:ascii="Times New Roman" w:hAnsi="Times New Roman"/>
          <w:color w:val="000000"/>
        </w:rPr>
        <w:t xml:space="preserve">     </w:t>
      </w:r>
      <w:r w:rsidRPr="004163E7" w:rsidR="004850E3">
        <w:rPr>
          <w:rFonts w:ascii="Times New Roman" w:hAnsi="Times New Roman"/>
          <w:color w:val="000000"/>
        </w:rPr>
        <w:t>a</w:t>
      </w:r>
      <w:r w:rsidR="004850E3">
        <w:rPr>
          <w:rFonts w:ascii="Times New Roman" w:hAnsi="Times New Roman"/>
          <w:color w:val="000000"/>
        </w:rPr>
        <w:t xml:space="preserve"> </w:t>
      </w:r>
      <w:r w:rsidRPr="004163E7" w:rsidR="004850E3">
        <w:rPr>
          <w:rFonts w:ascii="Times New Roman" w:hAnsi="Times New Roman"/>
          <w:color w:val="000000"/>
        </w:rPr>
        <w:t>výdavkových</w:t>
      </w:r>
      <w:r w:rsidR="004850E3">
        <w:rPr>
          <w:rFonts w:ascii="Times New Roman" w:hAnsi="Times New Roman"/>
          <w:color w:val="000000"/>
        </w:rPr>
        <w:t xml:space="preserve"> </w:t>
      </w:r>
      <w:r w:rsidRPr="004163E7" w:rsidR="004850E3">
        <w:rPr>
          <w:rFonts w:ascii="Times New Roman" w:hAnsi="Times New Roman"/>
          <w:color w:val="000000"/>
        </w:rPr>
        <w:t>finančných</w:t>
      </w:r>
      <w:r w:rsidR="004850E3">
        <w:rPr>
          <w:rFonts w:ascii="Times New Roman" w:hAnsi="Times New Roman"/>
          <w:color w:val="000000"/>
        </w:rPr>
        <w:t xml:space="preserve"> </w:t>
      </w:r>
      <w:r w:rsidRPr="004163E7" w:rsidR="004850E3">
        <w:rPr>
          <w:rFonts w:ascii="Times New Roman" w:hAnsi="Times New Roman"/>
          <w:color w:val="000000"/>
        </w:rPr>
        <w:t>operácií</w:t>
      </w:r>
      <w:r w:rsidR="004850E3">
        <w:rPr>
          <w:rFonts w:ascii="Times New Roman" w:hAnsi="Times New Roman"/>
          <w:color w:val="000000"/>
        </w:rPr>
        <w:t xml:space="preserve"> </w:t>
      </w:r>
      <w:r w:rsidRPr="004163E7" w:rsidR="004850E3">
        <w:rPr>
          <w:rFonts w:ascii="Times New Roman" w:hAnsi="Times New Roman"/>
          <w:color w:val="000000"/>
        </w:rPr>
        <w:t>sa</w:t>
      </w:r>
      <w:r w:rsidR="004850E3">
        <w:rPr>
          <w:rFonts w:ascii="Times New Roman" w:hAnsi="Times New Roman"/>
          <w:color w:val="000000"/>
        </w:rPr>
        <w:t xml:space="preserve"> </w:t>
      </w:r>
      <w:r w:rsidRPr="004163E7" w:rsidR="004850E3">
        <w:rPr>
          <w:rFonts w:ascii="Times New Roman" w:hAnsi="Times New Roman"/>
          <w:color w:val="000000"/>
        </w:rPr>
        <w:t>predpokladajú</w:t>
      </w:r>
      <w:r w:rsidR="004850E3">
        <w:rPr>
          <w:rFonts w:ascii="Times New Roman" w:hAnsi="Times New Roman"/>
          <w:color w:val="000000"/>
        </w:rPr>
        <w:t xml:space="preserve"> </w:t>
      </w:r>
      <w:r w:rsidRPr="004163E7" w:rsidR="004850E3">
        <w:rPr>
          <w:rFonts w:ascii="Times New Roman" w:hAnsi="Times New Roman"/>
          <w:color w:val="000000"/>
        </w:rPr>
        <w:t>príjmy</w:t>
      </w:r>
      <w:r w:rsidR="004850E3">
        <w:rPr>
          <w:rFonts w:ascii="Times New Roman" w:hAnsi="Times New Roman"/>
          <w:color w:val="000000"/>
        </w:rPr>
        <w:t xml:space="preserve"> </w:t>
      </w:r>
      <w:r w:rsidRPr="004163E7" w:rsidR="004850E3">
        <w:rPr>
          <w:rFonts w:ascii="Times New Roman" w:hAnsi="Times New Roman"/>
          <w:color w:val="000000"/>
        </w:rPr>
        <w:t>v</w:t>
      </w:r>
      <w:r w:rsidR="004850E3">
        <w:rPr>
          <w:rFonts w:ascii="Times New Roman" w:hAnsi="Times New Roman"/>
          <w:color w:val="000000"/>
        </w:rPr>
        <w:t xml:space="preserve"> </w:t>
      </w:r>
      <w:r w:rsidRPr="004163E7" w:rsidR="004850E3">
        <w:rPr>
          <w:rFonts w:ascii="Times New Roman" w:hAnsi="Times New Roman"/>
          <w:color w:val="000000"/>
        </w:rPr>
        <w:t>sume</w:t>
      </w:r>
      <w:r w:rsidR="004850E3">
        <w:rPr>
          <w:rFonts w:ascii="Times New Roman" w:hAnsi="Times New Roman"/>
          <w:color w:val="000000"/>
        </w:rPr>
        <w:t xml:space="preserve"> </w:t>
      </w:r>
      <w:r w:rsidRPr="004163E7" w:rsidR="004850E3">
        <w:rPr>
          <w:rFonts w:ascii="Times New Roman" w:hAnsi="Times New Roman"/>
          <w:color w:val="000000"/>
        </w:rPr>
        <w:t>1</w:t>
      </w:r>
      <w:r w:rsidR="004850E3">
        <w:rPr>
          <w:rFonts w:ascii="Times New Roman" w:hAnsi="Times New Roman"/>
          <w:color w:val="000000"/>
        </w:rPr>
        <w:t xml:space="preserve"> </w:t>
      </w:r>
      <w:r w:rsidRPr="004163E7" w:rsidR="004850E3">
        <w:rPr>
          <w:rFonts w:ascii="Times New Roman" w:hAnsi="Times New Roman"/>
          <w:color w:val="000000"/>
        </w:rPr>
        <w:t>233</w:t>
      </w:r>
      <w:r w:rsidR="004850E3">
        <w:rPr>
          <w:rFonts w:ascii="Times New Roman" w:hAnsi="Times New Roman"/>
          <w:color w:val="000000"/>
        </w:rPr>
        <w:t xml:space="preserve"> </w:t>
      </w:r>
      <w:r w:rsidRPr="004163E7" w:rsidR="004850E3">
        <w:rPr>
          <w:rFonts w:ascii="Times New Roman" w:hAnsi="Times New Roman"/>
          <w:color w:val="000000"/>
        </w:rPr>
        <w:t>78</w:t>
      </w:r>
      <w:r w:rsidR="003679CA">
        <w:rPr>
          <w:rFonts w:ascii="Times New Roman" w:hAnsi="Times New Roman"/>
          <w:color w:val="000000"/>
        </w:rPr>
        <w:t>7</w:t>
      </w:r>
      <w:r w:rsidR="004850E3">
        <w:rPr>
          <w:rFonts w:ascii="Times New Roman" w:hAnsi="Times New Roman"/>
          <w:color w:val="000000"/>
        </w:rPr>
        <w:t xml:space="preserve"> </w:t>
      </w:r>
      <w:r w:rsidRPr="004163E7" w:rsidR="004850E3">
        <w:rPr>
          <w:rFonts w:ascii="Times New Roman" w:hAnsi="Times New Roman"/>
          <w:color w:val="000000"/>
        </w:rPr>
        <w:t>tis.</w:t>
      </w:r>
      <w:r w:rsidR="004850E3">
        <w:rPr>
          <w:rFonts w:ascii="Times New Roman" w:hAnsi="Times New Roman"/>
          <w:color w:val="000000"/>
        </w:rPr>
        <w:t xml:space="preserve"> </w:t>
      </w:r>
      <w:r w:rsidRPr="004163E7" w:rsidR="004850E3">
        <w:rPr>
          <w:rFonts w:ascii="Times New Roman" w:hAnsi="Times New Roman"/>
          <w:color w:val="000000"/>
        </w:rPr>
        <w:t>eur</w:t>
      </w:r>
      <w:r w:rsidR="004850E3">
        <w:rPr>
          <w:rFonts w:ascii="Times New Roman" w:hAnsi="Times New Roman"/>
          <w:color w:val="000000"/>
        </w:rPr>
        <w:t xml:space="preserve">            </w:t>
      </w:r>
      <w:r w:rsidRPr="004163E7" w:rsidR="004850E3">
        <w:rPr>
          <w:rFonts w:ascii="Times New Roman" w:hAnsi="Times New Roman"/>
          <w:color w:val="000000"/>
        </w:rPr>
        <w:t>a</w:t>
      </w:r>
      <w:r w:rsidR="004850E3">
        <w:rPr>
          <w:rFonts w:ascii="Times New Roman" w:hAnsi="Times New Roman"/>
          <w:color w:val="000000"/>
        </w:rPr>
        <w:t xml:space="preserve"> </w:t>
      </w:r>
      <w:r w:rsidRPr="004163E7" w:rsidR="004850E3">
        <w:rPr>
          <w:rFonts w:ascii="Times New Roman" w:hAnsi="Times New Roman"/>
          <w:color w:val="000000"/>
        </w:rPr>
        <w:t>výdavky</w:t>
      </w:r>
      <w:r w:rsidR="004850E3">
        <w:rPr>
          <w:rFonts w:ascii="Times New Roman" w:hAnsi="Times New Roman"/>
          <w:color w:val="000000"/>
        </w:rPr>
        <w:t xml:space="preserve"> </w:t>
      </w:r>
      <w:r w:rsidRPr="004163E7" w:rsidR="004850E3">
        <w:rPr>
          <w:rFonts w:ascii="Times New Roman" w:hAnsi="Times New Roman"/>
          <w:color w:val="000000"/>
        </w:rPr>
        <w:t>1</w:t>
      </w:r>
      <w:r w:rsidR="004850E3">
        <w:rPr>
          <w:rFonts w:ascii="Times New Roman" w:hAnsi="Times New Roman"/>
          <w:color w:val="000000"/>
        </w:rPr>
        <w:t xml:space="preserve"> </w:t>
      </w:r>
      <w:r w:rsidRPr="004163E7" w:rsidR="004850E3">
        <w:rPr>
          <w:rFonts w:ascii="Times New Roman" w:hAnsi="Times New Roman"/>
          <w:color w:val="000000"/>
        </w:rPr>
        <w:t>130</w:t>
      </w:r>
      <w:r w:rsidR="004850E3">
        <w:rPr>
          <w:rFonts w:ascii="Times New Roman" w:hAnsi="Times New Roman"/>
          <w:color w:val="000000"/>
        </w:rPr>
        <w:t xml:space="preserve"> </w:t>
      </w:r>
      <w:r w:rsidRPr="004163E7" w:rsidR="004850E3">
        <w:rPr>
          <w:rFonts w:ascii="Times New Roman" w:hAnsi="Times New Roman"/>
          <w:color w:val="000000"/>
        </w:rPr>
        <w:t>324</w:t>
      </w:r>
      <w:r w:rsidR="004850E3">
        <w:rPr>
          <w:rFonts w:ascii="Times New Roman" w:hAnsi="Times New Roman"/>
          <w:color w:val="000000"/>
        </w:rPr>
        <w:t xml:space="preserve"> </w:t>
      </w:r>
      <w:r w:rsidRPr="004163E7" w:rsidR="004850E3">
        <w:rPr>
          <w:rFonts w:ascii="Times New Roman" w:hAnsi="Times New Roman"/>
          <w:color w:val="000000"/>
        </w:rPr>
        <w:t>tis.</w:t>
      </w:r>
      <w:r w:rsidR="004850E3">
        <w:rPr>
          <w:rFonts w:ascii="Times New Roman" w:hAnsi="Times New Roman"/>
          <w:color w:val="000000"/>
        </w:rPr>
        <w:t xml:space="preserve"> </w:t>
      </w:r>
      <w:r w:rsidR="0060040C">
        <w:rPr>
          <w:rFonts w:ascii="Times New Roman" w:hAnsi="Times New Roman"/>
          <w:color w:val="000000"/>
        </w:rPr>
        <w:t>e</w:t>
      </w:r>
      <w:r w:rsidRPr="004163E7" w:rsidR="004850E3">
        <w:rPr>
          <w:rFonts w:ascii="Times New Roman" w:hAnsi="Times New Roman"/>
          <w:color w:val="000000"/>
        </w:rPr>
        <w:t>ur</w:t>
      </w:r>
      <w:r w:rsidR="004850E3">
        <w:rPr>
          <w:rFonts w:ascii="Times New Roman" w:hAnsi="Times New Roman"/>
          <w:color w:val="000000"/>
        </w:rPr>
        <w:t>. P</w:t>
      </w:r>
      <w:r w:rsidRPr="004163E7" w:rsidR="004850E3">
        <w:rPr>
          <w:rFonts w:ascii="Times New Roman" w:hAnsi="Times New Roman"/>
          <w:color w:val="000000"/>
        </w:rPr>
        <w:t>rebytok</w:t>
      </w:r>
      <w:r w:rsidR="004850E3">
        <w:rPr>
          <w:rFonts w:ascii="Times New Roman" w:hAnsi="Times New Roman"/>
          <w:color w:val="000000"/>
        </w:rPr>
        <w:t xml:space="preserve"> </w:t>
      </w:r>
      <w:r w:rsidRPr="004163E7" w:rsidR="004850E3">
        <w:rPr>
          <w:rFonts w:ascii="Times New Roman" w:hAnsi="Times New Roman"/>
          <w:color w:val="000000"/>
        </w:rPr>
        <w:t>v</w:t>
      </w:r>
      <w:r w:rsidR="004850E3">
        <w:rPr>
          <w:rFonts w:ascii="Times New Roman" w:hAnsi="Times New Roman"/>
          <w:color w:val="000000"/>
        </w:rPr>
        <w:t xml:space="preserve"> </w:t>
      </w:r>
      <w:r w:rsidRPr="004163E7" w:rsidR="004850E3">
        <w:rPr>
          <w:rFonts w:ascii="Times New Roman" w:hAnsi="Times New Roman"/>
          <w:color w:val="000000"/>
        </w:rPr>
        <w:t>metodike</w:t>
      </w:r>
      <w:r w:rsidR="004850E3">
        <w:rPr>
          <w:rFonts w:ascii="Times New Roman" w:hAnsi="Times New Roman"/>
          <w:color w:val="000000"/>
        </w:rPr>
        <w:t xml:space="preserve"> </w:t>
      </w:r>
      <w:r w:rsidRPr="004163E7" w:rsidR="004850E3">
        <w:rPr>
          <w:rFonts w:ascii="Times New Roman" w:hAnsi="Times New Roman"/>
          <w:color w:val="000000"/>
        </w:rPr>
        <w:t>ESA</w:t>
      </w:r>
      <w:r w:rsidR="004850E3">
        <w:rPr>
          <w:rFonts w:ascii="Times New Roman" w:hAnsi="Times New Roman"/>
          <w:color w:val="000000"/>
        </w:rPr>
        <w:t xml:space="preserve"> </w:t>
      </w:r>
      <w:r w:rsidRPr="004163E7" w:rsidR="004850E3">
        <w:rPr>
          <w:rFonts w:ascii="Times New Roman" w:hAnsi="Times New Roman"/>
          <w:color w:val="000000"/>
        </w:rPr>
        <w:t>2010</w:t>
      </w:r>
      <w:r w:rsidR="004850E3">
        <w:rPr>
          <w:rFonts w:ascii="Times New Roman" w:hAnsi="Times New Roman"/>
          <w:color w:val="000000"/>
        </w:rPr>
        <w:t xml:space="preserve"> je </w:t>
      </w:r>
      <w:r w:rsidRPr="004163E7" w:rsidR="004850E3">
        <w:rPr>
          <w:rFonts w:ascii="Times New Roman" w:hAnsi="Times New Roman"/>
          <w:color w:val="000000"/>
        </w:rPr>
        <w:t>vo</w:t>
      </w:r>
      <w:r w:rsidR="004850E3">
        <w:rPr>
          <w:rFonts w:ascii="Times New Roman" w:hAnsi="Times New Roman"/>
          <w:color w:val="000000"/>
        </w:rPr>
        <w:t xml:space="preserve"> </w:t>
      </w:r>
      <w:r w:rsidRPr="004163E7" w:rsidR="004850E3">
        <w:rPr>
          <w:rFonts w:ascii="Times New Roman" w:hAnsi="Times New Roman"/>
          <w:color w:val="000000"/>
        </w:rPr>
        <w:t>výške</w:t>
      </w:r>
      <w:r w:rsidR="004850E3">
        <w:rPr>
          <w:rFonts w:ascii="Times New Roman" w:hAnsi="Times New Roman"/>
          <w:color w:val="000000"/>
        </w:rPr>
        <w:t xml:space="preserve"> </w:t>
      </w:r>
      <w:r w:rsidRPr="004163E7" w:rsidR="004850E3">
        <w:rPr>
          <w:rFonts w:ascii="Times New Roman" w:hAnsi="Times New Roman"/>
          <w:color w:val="000000"/>
        </w:rPr>
        <w:t>103</w:t>
      </w:r>
      <w:r w:rsidR="004850E3">
        <w:rPr>
          <w:rFonts w:ascii="Times New Roman" w:hAnsi="Times New Roman"/>
          <w:color w:val="000000"/>
        </w:rPr>
        <w:t xml:space="preserve"> </w:t>
      </w:r>
      <w:r w:rsidRPr="004163E7" w:rsidR="004850E3">
        <w:rPr>
          <w:rFonts w:ascii="Times New Roman" w:hAnsi="Times New Roman"/>
          <w:color w:val="000000"/>
        </w:rPr>
        <w:t>46</w:t>
      </w:r>
      <w:r w:rsidR="004850E3">
        <w:rPr>
          <w:rFonts w:ascii="Times New Roman" w:hAnsi="Times New Roman"/>
          <w:color w:val="000000"/>
        </w:rPr>
        <w:t xml:space="preserve">3 </w:t>
      </w:r>
      <w:r w:rsidRPr="004163E7" w:rsidR="004850E3">
        <w:rPr>
          <w:rFonts w:ascii="Times New Roman" w:hAnsi="Times New Roman"/>
          <w:color w:val="000000"/>
        </w:rPr>
        <w:t>tis.</w:t>
      </w:r>
      <w:r w:rsidR="004850E3">
        <w:rPr>
          <w:rFonts w:ascii="Times New Roman" w:hAnsi="Times New Roman"/>
          <w:color w:val="000000"/>
        </w:rPr>
        <w:t xml:space="preserve"> </w:t>
      </w:r>
      <w:r w:rsidRPr="004163E7" w:rsidR="004850E3">
        <w:rPr>
          <w:rFonts w:ascii="Times New Roman" w:hAnsi="Times New Roman"/>
          <w:color w:val="000000"/>
        </w:rPr>
        <w:t>eur</w:t>
      </w:r>
      <w:r w:rsidR="004850E3">
        <w:rPr>
          <w:rFonts w:ascii="Times New Roman" w:hAnsi="Times New Roman"/>
          <w:color w:val="000000"/>
        </w:rPr>
        <w:t>.</w:t>
      </w:r>
    </w:p>
    <w:p w:rsidR="00110761" w:rsidRPr="00110761" w:rsidP="00110761">
      <w:pPr>
        <w:bidi w:val="0"/>
        <w:ind w:firstLine="708"/>
        <w:jc w:val="both"/>
        <w:rPr>
          <w:rFonts w:ascii="Times New Roman" w:hAnsi="Times New Roman"/>
          <w:b/>
          <w:sz w:val="16"/>
          <w:szCs w:val="16"/>
        </w:rPr>
      </w:pPr>
    </w:p>
    <w:p w:rsidR="005E21C8" w:rsidRPr="00110761" w:rsidP="00110761">
      <w:pPr>
        <w:bidi w:val="0"/>
        <w:ind w:firstLine="708"/>
        <w:jc w:val="both"/>
        <w:rPr>
          <w:rFonts w:ascii="Times New Roman" w:hAnsi="Times New Roman"/>
          <w:b/>
        </w:rPr>
      </w:pPr>
      <w:r w:rsidRPr="004163E7">
        <w:rPr>
          <w:rFonts w:ascii="Times New Roman" w:hAnsi="Times New Roman"/>
        </w:rPr>
        <w:t>Daňové</w:t>
      </w:r>
      <w:r>
        <w:rPr>
          <w:rFonts w:ascii="Times New Roman" w:hAnsi="Times New Roman"/>
        </w:rPr>
        <w:t xml:space="preserve"> </w:t>
      </w:r>
      <w:r w:rsidRPr="004163E7">
        <w:rPr>
          <w:rFonts w:ascii="Times New Roman" w:hAnsi="Times New Roman"/>
        </w:rPr>
        <w:t>príjmy</w:t>
      </w:r>
      <w:r>
        <w:rPr>
          <w:rFonts w:ascii="Times New Roman" w:hAnsi="Times New Roman"/>
        </w:rPr>
        <w:t xml:space="preserve"> </w:t>
      </w:r>
      <w:r w:rsidRPr="004163E7">
        <w:rPr>
          <w:rFonts w:ascii="Times New Roman" w:hAnsi="Times New Roman"/>
        </w:rPr>
        <w:t>sa</w:t>
      </w:r>
      <w:r>
        <w:rPr>
          <w:rFonts w:ascii="Times New Roman" w:hAnsi="Times New Roman"/>
        </w:rPr>
        <w:t xml:space="preserve"> </w:t>
      </w:r>
      <w:r w:rsidRPr="004163E7">
        <w:rPr>
          <w:rFonts w:ascii="Times New Roman" w:hAnsi="Times New Roman"/>
        </w:rPr>
        <w:t>očakávajú</w:t>
      </w:r>
      <w:r>
        <w:rPr>
          <w:rFonts w:ascii="Times New Roman" w:hAnsi="Times New Roman"/>
        </w:rPr>
        <w:t xml:space="preserve"> </w:t>
      </w:r>
      <w:r w:rsidRPr="004163E7">
        <w:rPr>
          <w:rFonts w:ascii="Times New Roman" w:hAnsi="Times New Roman"/>
        </w:rPr>
        <w:t>v</w:t>
      </w:r>
      <w:r>
        <w:rPr>
          <w:rFonts w:ascii="Times New Roman" w:hAnsi="Times New Roman"/>
        </w:rPr>
        <w:t xml:space="preserve"> </w:t>
      </w:r>
      <w:r w:rsidRPr="004163E7">
        <w:rPr>
          <w:rFonts w:ascii="Times New Roman" w:hAnsi="Times New Roman"/>
        </w:rPr>
        <w:t>roku</w:t>
      </w:r>
      <w:r>
        <w:rPr>
          <w:rFonts w:ascii="Times New Roman" w:hAnsi="Times New Roman"/>
        </w:rPr>
        <w:t xml:space="preserve"> </w:t>
      </w:r>
      <w:r w:rsidRPr="004163E7">
        <w:rPr>
          <w:rFonts w:ascii="Times New Roman" w:hAnsi="Times New Roman"/>
        </w:rPr>
        <w:t>2016</w:t>
      </w:r>
      <w:r>
        <w:rPr>
          <w:rFonts w:ascii="Times New Roman" w:hAnsi="Times New Roman"/>
        </w:rPr>
        <w:t xml:space="preserve"> </w:t>
      </w:r>
      <w:r w:rsidRPr="004163E7">
        <w:rPr>
          <w:rFonts w:ascii="Times New Roman" w:hAnsi="Times New Roman"/>
        </w:rPr>
        <w:t>v</w:t>
      </w:r>
      <w:r>
        <w:rPr>
          <w:rFonts w:ascii="Times New Roman" w:hAnsi="Times New Roman"/>
        </w:rPr>
        <w:t xml:space="preserve"> </w:t>
      </w:r>
      <w:r w:rsidRPr="004163E7">
        <w:rPr>
          <w:rFonts w:ascii="Times New Roman" w:hAnsi="Times New Roman"/>
        </w:rPr>
        <w:t>celkovej</w:t>
      </w:r>
      <w:r>
        <w:rPr>
          <w:rFonts w:ascii="Times New Roman" w:hAnsi="Times New Roman"/>
        </w:rPr>
        <w:t xml:space="preserve"> </w:t>
      </w:r>
      <w:r w:rsidRPr="004163E7">
        <w:rPr>
          <w:rFonts w:ascii="Times New Roman" w:hAnsi="Times New Roman"/>
        </w:rPr>
        <w:t>sume</w:t>
      </w:r>
      <w:r>
        <w:rPr>
          <w:rFonts w:ascii="Times New Roman" w:hAnsi="Times New Roman"/>
        </w:rPr>
        <w:t xml:space="preserve"> </w:t>
      </w:r>
      <w:r w:rsidRPr="004163E7">
        <w:rPr>
          <w:rFonts w:ascii="Times New Roman" w:hAnsi="Times New Roman"/>
        </w:rPr>
        <w:t>674</w:t>
      </w:r>
      <w:r>
        <w:rPr>
          <w:rFonts w:ascii="Times New Roman" w:hAnsi="Times New Roman"/>
        </w:rPr>
        <w:t xml:space="preserve"> </w:t>
      </w:r>
      <w:r w:rsidRPr="004163E7">
        <w:rPr>
          <w:rFonts w:ascii="Times New Roman" w:hAnsi="Times New Roman"/>
        </w:rPr>
        <w:t>474</w:t>
      </w:r>
      <w:r>
        <w:rPr>
          <w:rFonts w:ascii="Times New Roman" w:hAnsi="Times New Roman"/>
        </w:rPr>
        <w:t xml:space="preserve"> </w:t>
      </w:r>
      <w:r w:rsidRPr="004163E7">
        <w:rPr>
          <w:rFonts w:ascii="Times New Roman" w:hAnsi="Times New Roman"/>
        </w:rPr>
        <w:t>tis.</w:t>
      </w:r>
      <w:r>
        <w:rPr>
          <w:rFonts w:ascii="Times New Roman" w:hAnsi="Times New Roman"/>
        </w:rPr>
        <w:t xml:space="preserve"> </w:t>
      </w:r>
      <w:r w:rsidRPr="004163E7">
        <w:rPr>
          <w:rFonts w:ascii="Times New Roman" w:hAnsi="Times New Roman"/>
        </w:rPr>
        <w:t>eur,</w:t>
      </w:r>
      <w:r>
        <w:rPr>
          <w:rFonts w:ascii="Times New Roman" w:hAnsi="Times New Roman"/>
        </w:rPr>
        <w:t xml:space="preserve"> a </w:t>
      </w:r>
      <w:r w:rsidRPr="004163E7">
        <w:rPr>
          <w:rFonts w:ascii="Times New Roman" w:hAnsi="Times New Roman"/>
        </w:rPr>
        <w:t>to</w:t>
      </w:r>
      <w:r>
        <w:rPr>
          <w:rFonts w:ascii="Times New Roman" w:hAnsi="Times New Roman"/>
        </w:rPr>
        <w:t xml:space="preserve"> </w:t>
        <w:br/>
        <w:t xml:space="preserve">z </w:t>
      </w:r>
      <w:r w:rsidRPr="004163E7">
        <w:rPr>
          <w:rFonts w:ascii="Times New Roman" w:hAnsi="Times New Roman"/>
        </w:rPr>
        <w:t>výnos</w:t>
      </w:r>
      <w:r>
        <w:rPr>
          <w:rFonts w:ascii="Times New Roman" w:hAnsi="Times New Roman"/>
        </w:rPr>
        <w:t xml:space="preserve">u </w:t>
      </w:r>
      <w:r w:rsidRPr="004163E7">
        <w:rPr>
          <w:rFonts w:ascii="Times New Roman" w:hAnsi="Times New Roman"/>
        </w:rPr>
        <w:t>DPFO</w:t>
      </w:r>
      <w:r>
        <w:rPr>
          <w:rFonts w:ascii="Times New Roman" w:hAnsi="Times New Roman"/>
        </w:rPr>
        <w:t xml:space="preserve"> </w:t>
      </w:r>
      <w:r w:rsidRPr="004163E7">
        <w:rPr>
          <w:rFonts w:ascii="Times New Roman" w:hAnsi="Times New Roman"/>
        </w:rPr>
        <w:t>vrátane</w:t>
      </w:r>
      <w:r>
        <w:rPr>
          <w:rFonts w:ascii="Times New Roman" w:hAnsi="Times New Roman"/>
        </w:rPr>
        <w:t xml:space="preserve"> </w:t>
      </w:r>
      <w:r w:rsidRPr="004163E7">
        <w:rPr>
          <w:rFonts w:ascii="Times New Roman" w:hAnsi="Times New Roman"/>
        </w:rPr>
        <w:t>sankcií</w:t>
      </w:r>
      <w:r>
        <w:rPr>
          <w:rFonts w:ascii="Times New Roman" w:hAnsi="Times New Roman"/>
        </w:rPr>
        <w:t xml:space="preserve"> </w:t>
      </w:r>
      <w:r w:rsidRPr="004163E7">
        <w:rPr>
          <w:rFonts w:ascii="Times New Roman" w:hAnsi="Times New Roman"/>
        </w:rPr>
        <w:t>uložených</w:t>
      </w:r>
      <w:r>
        <w:rPr>
          <w:rFonts w:ascii="Times New Roman" w:hAnsi="Times New Roman"/>
        </w:rPr>
        <w:t xml:space="preserve"> </w:t>
      </w:r>
      <w:r w:rsidRPr="004163E7">
        <w:rPr>
          <w:rFonts w:ascii="Times New Roman" w:hAnsi="Times New Roman"/>
        </w:rPr>
        <w:t>v</w:t>
      </w:r>
      <w:r>
        <w:rPr>
          <w:rFonts w:ascii="Times New Roman" w:hAnsi="Times New Roman"/>
        </w:rPr>
        <w:t xml:space="preserve"> </w:t>
      </w:r>
      <w:r w:rsidRPr="004163E7">
        <w:rPr>
          <w:rFonts w:ascii="Times New Roman" w:hAnsi="Times New Roman"/>
        </w:rPr>
        <w:t>daňovom</w:t>
      </w:r>
      <w:r>
        <w:rPr>
          <w:rFonts w:ascii="Times New Roman" w:hAnsi="Times New Roman"/>
        </w:rPr>
        <w:t xml:space="preserve"> </w:t>
      </w:r>
      <w:r w:rsidRPr="004163E7">
        <w:rPr>
          <w:rFonts w:ascii="Times New Roman" w:hAnsi="Times New Roman"/>
        </w:rPr>
        <w:t>konaní</w:t>
      </w:r>
      <w:r>
        <w:rPr>
          <w:rFonts w:ascii="Times New Roman" w:hAnsi="Times New Roman"/>
        </w:rPr>
        <w:t>.</w:t>
      </w:r>
      <w:r>
        <w:rPr>
          <w:rFonts w:ascii="Times New Roman" w:hAnsi="Times New Roman"/>
          <w:color w:val="000000"/>
          <w:sz w:val="16"/>
          <w:szCs w:val="16"/>
          <w:highlight w:val="yellow"/>
        </w:rPr>
        <w:t xml:space="preserve"> </w:t>
      </w:r>
    </w:p>
    <w:p w:rsidR="005E21C8" w:rsidP="002E4E0E">
      <w:pPr>
        <w:bidi w:val="0"/>
        <w:ind w:firstLine="708"/>
        <w:jc w:val="both"/>
        <w:rPr>
          <w:rFonts w:ascii="Times New Roman" w:hAnsi="Times New Roman"/>
        </w:rPr>
      </w:pPr>
      <w:r w:rsidRPr="004163E7">
        <w:rPr>
          <w:rFonts w:ascii="Times New Roman" w:hAnsi="Times New Roman"/>
          <w:color w:val="000000"/>
        </w:rPr>
        <w:t>Predpoklad</w:t>
      </w:r>
      <w:r>
        <w:rPr>
          <w:rFonts w:ascii="Times New Roman" w:hAnsi="Times New Roman"/>
        </w:rPr>
        <w:t xml:space="preserve"> </w:t>
      </w:r>
      <w:r w:rsidRPr="004163E7">
        <w:rPr>
          <w:rFonts w:ascii="Times New Roman" w:hAnsi="Times New Roman"/>
        </w:rPr>
        <w:t>vývoja</w:t>
      </w:r>
      <w:r>
        <w:rPr>
          <w:rFonts w:ascii="Times New Roman" w:hAnsi="Times New Roman"/>
        </w:rPr>
        <w:t xml:space="preserve"> </w:t>
      </w:r>
      <w:r w:rsidRPr="004163E7">
        <w:rPr>
          <w:rFonts w:ascii="Times New Roman" w:hAnsi="Times New Roman"/>
        </w:rPr>
        <w:t>daňových</w:t>
      </w:r>
      <w:r>
        <w:rPr>
          <w:rFonts w:ascii="Times New Roman" w:hAnsi="Times New Roman"/>
        </w:rPr>
        <w:t xml:space="preserve"> </w:t>
      </w:r>
      <w:r w:rsidRPr="004163E7">
        <w:rPr>
          <w:rFonts w:ascii="Times New Roman" w:hAnsi="Times New Roman"/>
        </w:rPr>
        <w:t>príjmov</w:t>
      </w:r>
      <w:r>
        <w:rPr>
          <w:rFonts w:ascii="Times New Roman" w:hAnsi="Times New Roman"/>
        </w:rPr>
        <w:t xml:space="preserve"> </w:t>
      </w:r>
      <w:r w:rsidRPr="004163E7">
        <w:rPr>
          <w:rFonts w:ascii="Times New Roman" w:hAnsi="Times New Roman"/>
        </w:rPr>
        <w:t>VÚC</w:t>
      </w:r>
      <w:r>
        <w:rPr>
          <w:rFonts w:ascii="Times New Roman" w:hAnsi="Times New Roman"/>
        </w:rPr>
        <w:t xml:space="preserve"> </w:t>
      </w:r>
      <w:r w:rsidRPr="004163E7">
        <w:rPr>
          <w:rFonts w:ascii="Times New Roman" w:hAnsi="Times New Roman"/>
        </w:rPr>
        <w:t>v</w:t>
      </w:r>
      <w:r>
        <w:rPr>
          <w:rFonts w:ascii="Times New Roman" w:hAnsi="Times New Roman"/>
        </w:rPr>
        <w:t xml:space="preserve"> </w:t>
      </w:r>
      <w:r w:rsidRPr="004163E7">
        <w:rPr>
          <w:rFonts w:ascii="Times New Roman" w:hAnsi="Times New Roman"/>
        </w:rPr>
        <w:t>rokoch</w:t>
      </w:r>
      <w:r>
        <w:rPr>
          <w:rFonts w:ascii="Times New Roman" w:hAnsi="Times New Roman"/>
        </w:rPr>
        <w:t xml:space="preserve"> </w:t>
      </w:r>
      <w:r w:rsidRPr="004163E7">
        <w:rPr>
          <w:rFonts w:ascii="Times New Roman" w:hAnsi="Times New Roman"/>
        </w:rPr>
        <w:t>2016</w:t>
      </w:r>
      <w:r>
        <w:rPr>
          <w:rFonts w:ascii="Times New Roman" w:hAnsi="Times New Roman"/>
        </w:rPr>
        <w:t xml:space="preserve"> </w:t>
      </w:r>
      <w:r w:rsidRPr="004163E7">
        <w:rPr>
          <w:rFonts w:ascii="Times New Roman" w:hAnsi="Times New Roman"/>
        </w:rPr>
        <w:t>až</w:t>
      </w:r>
      <w:r>
        <w:rPr>
          <w:rFonts w:ascii="Times New Roman" w:hAnsi="Times New Roman"/>
        </w:rPr>
        <w:t xml:space="preserve"> </w:t>
      </w:r>
      <w:r w:rsidRPr="004163E7">
        <w:rPr>
          <w:rFonts w:ascii="Times New Roman" w:hAnsi="Times New Roman"/>
        </w:rPr>
        <w:t>2018</w:t>
      </w:r>
      <w:r>
        <w:rPr>
          <w:rFonts w:ascii="Times New Roman" w:hAnsi="Times New Roman"/>
        </w:rPr>
        <w:t xml:space="preserve"> </w:t>
      </w:r>
      <w:r w:rsidRPr="004163E7">
        <w:rPr>
          <w:rFonts w:ascii="Times New Roman" w:hAnsi="Times New Roman"/>
        </w:rPr>
        <w:t>v</w:t>
      </w:r>
      <w:r>
        <w:rPr>
          <w:rFonts w:ascii="Times New Roman" w:hAnsi="Times New Roman"/>
        </w:rPr>
        <w:t xml:space="preserve"> </w:t>
      </w:r>
      <w:r w:rsidRPr="004163E7">
        <w:rPr>
          <w:rFonts w:ascii="Times New Roman" w:hAnsi="Times New Roman"/>
        </w:rPr>
        <w:t>porovnaní</w:t>
      </w:r>
      <w:r>
        <w:rPr>
          <w:rFonts w:ascii="Times New Roman" w:hAnsi="Times New Roman"/>
        </w:rPr>
        <w:t xml:space="preserve"> </w:t>
        <w:br/>
      </w:r>
      <w:r w:rsidRPr="004163E7">
        <w:rPr>
          <w:rFonts w:ascii="Times New Roman" w:hAnsi="Times New Roman"/>
        </w:rPr>
        <w:t>s</w:t>
      </w:r>
      <w:r>
        <w:rPr>
          <w:rFonts w:ascii="Times New Roman" w:hAnsi="Times New Roman"/>
        </w:rPr>
        <w:t xml:space="preserve"> </w:t>
      </w:r>
      <w:r w:rsidRPr="004163E7">
        <w:rPr>
          <w:rFonts w:ascii="Times New Roman" w:hAnsi="Times New Roman"/>
        </w:rPr>
        <w:t>rozpočtom</w:t>
      </w:r>
      <w:r>
        <w:rPr>
          <w:rFonts w:ascii="Times New Roman" w:hAnsi="Times New Roman"/>
        </w:rPr>
        <w:t xml:space="preserve"> </w:t>
      </w:r>
      <w:r w:rsidRPr="004163E7">
        <w:rPr>
          <w:rFonts w:ascii="Times New Roman" w:hAnsi="Times New Roman"/>
        </w:rPr>
        <w:t>a</w:t>
      </w:r>
      <w:r>
        <w:rPr>
          <w:rFonts w:ascii="Times New Roman" w:hAnsi="Times New Roman"/>
        </w:rPr>
        <w:t xml:space="preserve"> </w:t>
      </w:r>
      <w:r w:rsidRPr="004163E7">
        <w:rPr>
          <w:rFonts w:ascii="Times New Roman" w:hAnsi="Times New Roman"/>
        </w:rPr>
        <w:t>očakávanou</w:t>
      </w:r>
      <w:r>
        <w:rPr>
          <w:rFonts w:ascii="Times New Roman" w:hAnsi="Times New Roman"/>
        </w:rPr>
        <w:t xml:space="preserve"> </w:t>
      </w:r>
      <w:r w:rsidRPr="004163E7">
        <w:rPr>
          <w:rFonts w:ascii="Times New Roman" w:hAnsi="Times New Roman"/>
        </w:rPr>
        <w:t>skutočnosťou</w:t>
      </w:r>
      <w:r>
        <w:rPr>
          <w:rFonts w:ascii="Times New Roman" w:hAnsi="Times New Roman"/>
        </w:rPr>
        <w:t xml:space="preserve"> </w:t>
      </w:r>
      <w:r w:rsidRPr="004163E7">
        <w:rPr>
          <w:rFonts w:ascii="Times New Roman" w:hAnsi="Times New Roman"/>
        </w:rPr>
        <w:t>na</w:t>
      </w:r>
      <w:r>
        <w:rPr>
          <w:rFonts w:ascii="Times New Roman" w:hAnsi="Times New Roman"/>
        </w:rPr>
        <w:t xml:space="preserve"> </w:t>
      </w:r>
      <w:r w:rsidRPr="004163E7">
        <w:rPr>
          <w:rFonts w:ascii="Times New Roman" w:hAnsi="Times New Roman"/>
        </w:rPr>
        <w:t>rok</w:t>
      </w:r>
      <w:r>
        <w:rPr>
          <w:rFonts w:ascii="Times New Roman" w:hAnsi="Times New Roman"/>
        </w:rPr>
        <w:t xml:space="preserve"> </w:t>
      </w:r>
      <w:r w:rsidRPr="004163E7">
        <w:rPr>
          <w:rFonts w:ascii="Times New Roman" w:hAnsi="Times New Roman"/>
        </w:rPr>
        <w:t>201</w:t>
      </w:r>
      <w:r>
        <w:rPr>
          <w:rFonts w:ascii="Times New Roman" w:hAnsi="Times New Roman"/>
        </w:rPr>
        <w:t xml:space="preserve">5 </w:t>
      </w:r>
      <w:r w:rsidRPr="004163E7">
        <w:rPr>
          <w:rFonts w:ascii="Times New Roman" w:hAnsi="Times New Roman"/>
        </w:rPr>
        <w:t>a</w:t>
      </w:r>
      <w:r>
        <w:rPr>
          <w:rFonts w:ascii="Times New Roman" w:hAnsi="Times New Roman"/>
        </w:rPr>
        <w:t xml:space="preserve"> </w:t>
      </w:r>
      <w:r w:rsidRPr="004163E7">
        <w:rPr>
          <w:rFonts w:ascii="Times New Roman" w:hAnsi="Times New Roman"/>
        </w:rPr>
        <w:t>skutočnosťou</w:t>
      </w:r>
      <w:r>
        <w:rPr>
          <w:rFonts w:ascii="Times New Roman" w:hAnsi="Times New Roman"/>
        </w:rPr>
        <w:t xml:space="preserve"> </w:t>
      </w:r>
      <w:r w:rsidRPr="004163E7">
        <w:rPr>
          <w:rFonts w:ascii="Times New Roman" w:hAnsi="Times New Roman"/>
        </w:rPr>
        <w:t>za</w:t>
      </w:r>
      <w:r>
        <w:rPr>
          <w:rFonts w:ascii="Times New Roman" w:hAnsi="Times New Roman"/>
        </w:rPr>
        <w:t xml:space="preserve"> </w:t>
      </w:r>
      <w:r w:rsidRPr="004163E7">
        <w:rPr>
          <w:rFonts w:ascii="Times New Roman" w:hAnsi="Times New Roman"/>
        </w:rPr>
        <w:t>roky</w:t>
      </w:r>
      <w:r>
        <w:rPr>
          <w:rFonts w:ascii="Times New Roman" w:hAnsi="Times New Roman"/>
        </w:rPr>
        <w:t xml:space="preserve"> </w:t>
      </w:r>
      <w:r w:rsidRPr="004163E7">
        <w:rPr>
          <w:rFonts w:ascii="Times New Roman" w:hAnsi="Times New Roman"/>
        </w:rPr>
        <w:t>201</w:t>
      </w:r>
      <w:r>
        <w:rPr>
          <w:rFonts w:ascii="Times New Roman" w:hAnsi="Times New Roman"/>
        </w:rPr>
        <w:t xml:space="preserve">3 </w:t>
      </w:r>
      <w:r w:rsidRPr="004163E7">
        <w:rPr>
          <w:rFonts w:ascii="Times New Roman" w:hAnsi="Times New Roman"/>
        </w:rPr>
        <w:t>a</w:t>
      </w:r>
      <w:r>
        <w:rPr>
          <w:rFonts w:ascii="Times New Roman" w:hAnsi="Times New Roman"/>
        </w:rPr>
        <w:t xml:space="preserve"> </w:t>
      </w:r>
      <w:r w:rsidRPr="004163E7">
        <w:rPr>
          <w:rFonts w:ascii="Times New Roman" w:hAnsi="Times New Roman"/>
        </w:rPr>
        <w:t>201</w:t>
      </w:r>
      <w:r>
        <w:rPr>
          <w:rFonts w:ascii="Times New Roman" w:hAnsi="Times New Roman"/>
        </w:rPr>
        <w:t xml:space="preserve">4 </w:t>
      </w:r>
      <w:r w:rsidRPr="004163E7">
        <w:rPr>
          <w:rFonts w:ascii="Times New Roman" w:hAnsi="Times New Roman"/>
        </w:rPr>
        <w:t>je</w:t>
      </w:r>
      <w:r>
        <w:rPr>
          <w:rFonts w:ascii="Times New Roman" w:hAnsi="Times New Roman"/>
        </w:rPr>
        <w:t xml:space="preserve"> </w:t>
      </w:r>
      <w:r w:rsidRPr="004163E7">
        <w:rPr>
          <w:rFonts w:ascii="Times New Roman" w:hAnsi="Times New Roman"/>
        </w:rPr>
        <w:t>nasledovný:</w:t>
      </w:r>
      <w:r>
        <w:rPr>
          <w:rFonts w:ascii="Times New Roman" w:hAnsi="Times New Roman"/>
        </w:rPr>
        <w:t xml:space="preserve"> </w:t>
      </w:r>
    </w:p>
    <w:p w:rsidR="002E4E0E" w:rsidRPr="002E4E0E" w:rsidP="002E4E0E">
      <w:pPr>
        <w:bidi w:val="0"/>
        <w:ind w:firstLine="708"/>
        <w:jc w:val="both"/>
        <w:rPr>
          <w:rFonts w:ascii="Times New Roman" w:hAnsi="Times New Roman"/>
          <w:sz w:val="16"/>
          <w:szCs w:val="16"/>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33"/>
        <w:gridCol w:w="883"/>
        <w:gridCol w:w="883"/>
        <w:gridCol w:w="883"/>
        <w:gridCol w:w="882"/>
        <w:gridCol w:w="882"/>
        <w:gridCol w:w="882"/>
        <w:gridCol w:w="88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345"/>
        </w:trPr>
        <w:tc>
          <w:tcPr>
            <w:tcW w:w="1645"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E21C8" w:rsidRPr="00F816D0" w:rsidP="00A02DCA">
            <w:pPr>
              <w:bidi w:val="0"/>
              <w:rPr>
                <w:rFonts w:ascii="Times New Roman" w:hAnsi="Times New Roman"/>
                <w:b/>
                <w:bCs/>
                <w:color w:val="000000"/>
                <w:sz w:val="16"/>
                <w:szCs w:val="16"/>
              </w:rPr>
            </w:pPr>
            <w:r w:rsidRPr="00F816D0">
              <w:rPr>
                <w:rFonts w:ascii="Times New Roman" w:hAnsi="Times New Roman"/>
                <w:b/>
                <w:bCs/>
                <w:color w:val="000000"/>
                <w:sz w:val="16"/>
                <w:szCs w:val="16"/>
              </w:rPr>
              <w:t>v tis. eur</w:t>
            </w:r>
          </w:p>
        </w:tc>
        <w:tc>
          <w:tcPr>
            <w:tcW w:w="479"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2013 S</w:t>
            </w:r>
          </w:p>
        </w:tc>
        <w:tc>
          <w:tcPr>
            <w:tcW w:w="479"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2014 S</w:t>
            </w:r>
          </w:p>
        </w:tc>
        <w:tc>
          <w:tcPr>
            <w:tcW w:w="479"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2015 R</w:t>
            </w:r>
          </w:p>
        </w:tc>
        <w:tc>
          <w:tcPr>
            <w:tcW w:w="479"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2015 OS</w:t>
            </w:r>
          </w:p>
        </w:tc>
        <w:tc>
          <w:tcPr>
            <w:tcW w:w="479"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2016 N</w:t>
            </w:r>
          </w:p>
        </w:tc>
        <w:tc>
          <w:tcPr>
            <w:tcW w:w="479"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2017 N</w:t>
            </w:r>
          </w:p>
        </w:tc>
        <w:tc>
          <w:tcPr>
            <w:tcW w:w="479"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2018 N</w:t>
            </w:r>
          </w:p>
        </w:tc>
      </w:tr>
      <w:tr>
        <w:tblPrEx>
          <w:tblW w:w="5000" w:type="pct"/>
          <w:tblCellMar>
            <w:left w:w="70" w:type="dxa"/>
            <w:right w:w="70" w:type="dxa"/>
          </w:tblCellMar>
          <w:tblLook w:val="04A0"/>
        </w:tblPrEx>
        <w:trPr>
          <w:trHeight w:val="345"/>
        </w:trPr>
        <w:tc>
          <w:tcPr>
            <w:tcW w:w="1645" w:type="pct"/>
            <w:tcBorders>
              <w:top w:val="single" w:sz="4" w:space="0" w:color="auto"/>
              <w:left w:val="single" w:sz="4" w:space="0" w:color="auto"/>
              <w:bottom w:val="single" w:sz="4" w:space="0" w:color="auto"/>
              <w:right w:val="single" w:sz="4" w:space="0" w:color="auto"/>
            </w:tcBorders>
            <w:shd w:val="clear" w:color="000000" w:fill="BFBFBF"/>
            <w:textDirection w:val="lrTb"/>
            <w:vAlign w:val="center"/>
            <w:hideMark/>
          </w:tcPr>
          <w:p w:rsidR="005E21C8" w:rsidRPr="00F816D0" w:rsidP="00A02DCA">
            <w:pPr>
              <w:bidi w:val="0"/>
              <w:rPr>
                <w:rFonts w:ascii="Times New Roman" w:hAnsi="Times New Roman"/>
                <w:b/>
                <w:bCs/>
                <w:color w:val="000000"/>
                <w:sz w:val="16"/>
                <w:szCs w:val="16"/>
              </w:rPr>
            </w:pPr>
            <w:r w:rsidRPr="00F816D0">
              <w:rPr>
                <w:rFonts w:ascii="Times New Roman" w:hAnsi="Times New Roman"/>
                <w:b/>
                <w:bCs/>
                <w:color w:val="000000"/>
                <w:sz w:val="16"/>
                <w:szCs w:val="16"/>
              </w:rPr>
              <w:t>Daňové príjmy spolu</w:t>
            </w:r>
          </w:p>
        </w:tc>
        <w:tc>
          <w:tcPr>
            <w:tcW w:w="47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551 061</w:t>
            </w:r>
          </w:p>
        </w:tc>
        <w:tc>
          <w:tcPr>
            <w:tcW w:w="47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577 830</w:t>
            </w:r>
          </w:p>
        </w:tc>
        <w:tc>
          <w:tcPr>
            <w:tcW w:w="47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625 181</w:t>
            </w:r>
          </w:p>
        </w:tc>
        <w:tc>
          <w:tcPr>
            <w:tcW w:w="47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635 069</w:t>
            </w:r>
          </w:p>
        </w:tc>
        <w:tc>
          <w:tcPr>
            <w:tcW w:w="47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674 474</w:t>
            </w:r>
          </w:p>
        </w:tc>
        <w:tc>
          <w:tcPr>
            <w:tcW w:w="47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726 037</w:t>
            </w:r>
          </w:p>
        </w:tc>
        <w:tc>
          <w:tcPr>
            <w:tcW w:w="479" w:type="pc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774 630</w:t>
            </w:r>
          </w:p>
        </w:tc>
      </w:tr>
      <w:tr>
        <w:tblPrEx>
          <w:tblW w:w="5000" w:type="pct"/>
          <w:tblCellMar>
            <w:left w:w="70" w:type="dxa"/>
            <w:right w:w="70" w:type="dxa"/>
          </w:tblCellMar>
          <w:tblLook w:val="04A0"/>
        </w:tblPrEx>
        <w:trPr>
          <w:trHeight w:val="345"/>
        </w:trPr>
        <w:tc>
          <w:tcPr>
            <w:tcW w:w="1645"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z toho: prevod DPFO vrátane sankcií</w:t>
            </w:r>
          </w:p>
        </w:tc>
        <w:tc>
          <w:tcPr>
            <w:tcW w:w="47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410 961</w:t>
            </w:r>
          </w:p>
        </w:tc>
        <w:tc>
          <w:tcPr>
            <w:tcW w:w="47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426 658</w:t>
            </w:r>
          </w:p>
        </w:tc>
        <w:tc>
          <w:tcPr>
            <w:tcW w:w="47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613 590</w:t>
            </w:r>
          </w:p>
        </w:tc>
        <w:tc>
          <w:tcPr>
            <w:tcW w:w="47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621 283</w:t>
            </w:r>
          </w:p>
        </w:tc>
        <w:tc>
          <w:tcPr>
            <w:tcW w:w="47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982137" w:rsidP="00A02DCA">
            <w:pPr>
              <w:bidi w:val="0"/>
              <w:jc w:val="right"/>
              <w:rPr>
                <w:rFonts w:ascii="Times New Roman" w:hAnsi="Times New Roman"/>
                <w:color w:val="000000"/>
                <w:sz w:val="16"/>
                <w:szCs w:val="16"/>
              </w:rPr>
            </w:pPr>
            <w:r w:rsidRPr="00982137">
              <w:rPr>
                <w:rFonts w:ascii="Times New Roman" w:hAnsi="Times New Roman"/>
                <w:color w:val="000000"/>
                <w:sz w:val="16"/>
                <w:szCs w:val="16"/>
              </w:rPr>
              <w:t>674 474</w:t>
            </w:r>
          </w:p>
        </w:tc>
        <w:tc>
          <w:tcPr>
            <w:tcW w:w="47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982137" w:rsidP="00A02DCA">
            <w:pPr>
              <w:bidi w:val="0"/>
              <w:jc w:val="right"/>
              <w:rPr>
                <w:rFonts w:ascii="Times New Roman" w:hAnsi="Times New Roman"/>
                <w:color w:val="000000"/>
                <w:sz w:val="16"/>
                <w:szCs w:val="16"/>
              </w:rPr>
            </w:pPr>
            <w:r w:rsidRPr="00982137">
              <w:rPr>
                <w:rFonts w:ascii="Times New Roman" w:hAnsi="Times New Roman"/>
                <w:color w:val="000000"/>
                <w:sz w:val="16"/>
                <w:szCs w:val="16"/>
              </w:rPr>
              <w:t>726 037</w:t>
            </w:r>
          </w:p>
        </w:tc>
        <w:tc>
          <w:tcPr>
            <w:tcW w:w="47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982137" w:rsidP="00A02DCA">
            <w:pPr>
              <w:bidi w:val="0"/>
              <w:jc w:val="right"/>
              <w:rPr>
                <w:rFonts w:ascii="Times New Roman" w:hAnsi="Times New Roman"/>
                <w:color w:val="000000"/>
                <w:sz w:val="16"/>
                <w:szCs w:val="16"/>
              </w:rPr>
            </w:pPr>
            <w:r w:rsidRPr="00982137">
              <w:rPr>
                <w:rFonts w:ascii="Times New Roman" w:hAnsi="Times New Roman"/>
                <w:color w:val="000000"/>
                <w:sz w:val="16"/>
                <w:szCs w:val="16"/>
              </w:rPr>
              <w:t>774 630</w:t>
            </w:r>
          </w:p>
        </w:tc>
      </w:tr>
      <w:tr>
        <w:tblPrEx>
          <w:tblW w:w="5000" w:type="pct"/>
          <w:tblCellMar>
            <w:left w:w="70" w:type="dxa"/>
            <w:right w:w="70" w:type="dxa"/>
          </w:tblCellMar>
          <w:tblLook w:val="04A0"/>
        </w:tblPrEx>
        <w:trPr>
          <w:trHeight w:val="345"/>
        </w:trPr>
        <w:tc>
          <w:tcPr>
            <w:tcW w:w="1645"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xml:space="preserve">           Daň z  motorových vozidiel </w:t>
            </w:r>
          </w:p>
        </w:tc>
        <w:tc>
          <w:tcPr>
            <w:tcW w:w="47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140 100</w:t>
            </w:r>
          </w:p>
        </w:tc>
        <w:tc>
          <w:tcPr>
            <w:tcW w:w="47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151 172</w:t>
            </w:r>
          </w:p>
        </w:tc>
        <w:tc>
          <w:tcPr>
            <w:tcW w:w="47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11 591</w:t>
            </w:r>
          </w:p>
        </w:tc>
        <w:tc>
          <w:tcPr>
            <w:tcW w:w="47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13 786</w:t>
            </w:r>
          </w:p>
        </w:tc>
        <w:tc>
          <w:tcPr>
            <w:tcW w:w="47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 xml:space="preserve"> -</w:t>
            </w:r>
          </w:p>
        </w:tc>
        <w:tc>
          <w:tcPr>
            <w:tcW w:w="47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 xml:space="preserve"> - </w:t>
            </w:r>
          </w:p>
        </w:tc>
        <w:tc>
          <w:tcPr>
            <w:tcW w:w="479" w:type="pct"/>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 xml:space="preserve"> - </w:t>
            </w:r>
          </w:p>
        </w:tc>
      </w:tr>
    </w:tbl>
    <w:p w:rsidR="005E21C8" w:rsidRPr="00135F7D" w:rsidP="002E4E0E">
      <w:pPr>
        <w:bidi w:val="0"/>
        <w:jc w:val="both"/>
        <w:rPr>
          <w:rFonts w:ascii="Times New Roman" w:hAnsi="Times New Roman"/>
          <w:sz w:val="16"/>
          <w:szCs w:val="16"/>
          <w:highlight w:val="yellow"/>
        </w:rPr>
      </w:pPr>
    </w:p>
    <w:p w:rsidR="005E21C8" w:rsidRPr="00F7503D" w:rsidP="005E21C8">
      <w:pPr>
        <w:bidi w:val="0"/>
        <w:ind w:firstLine="709"/>
        <w:jc w:val="both"/>
        <w:rPr>
          <w:rFonts w:ascii="Times New Roman" w:hAnsi="Times New Roman"/>
          <w:szCs w:val="22"/>
        </w:rPr>
      </w:pPr>
      <w:r w:rsidRPr="00F7503D">
        <w:rPr>
          <w:rFonts w:ascii="Times New Roman" w:hAnsi="Times New Roman"/>
        </w:rPr>
        <w:t>Nedaňové</w:t>
      </w:r>
      <w:r>
        <w:rPr>
          <w:rFonts w:ascii="Times New Roman" w:hAnsi="Times New Roman"/>
        </w:rPr>
        <w:t xml:space="preserve"> </w:t>
      </w:r>
      <w:r w:rsidRPr="00F7503D">
        <w:rPr>
          <w:rFonts w:ascii="Times New Roman" w:hAnsi="Times New Roman"/>
        </w:rPr>
        <w:t>príjmy</w:t>
      </w:r>
      <w:r>
        <w:rPr>
          <w:rFonts w:ascii="Times New Roman" w:hAnsi="Times New Roman"/>
        </w:rPr>
        <w:t xml:space="preserve"> </w:t>
      </w:r>
      <w:r w:rsidRPr="00F7503D">
        <w:rPr>
          <w:rFonts w:ascii="Times New Roman" w:hAnsi="Times New Roman"/>
        </w:rPr>
        <w:t>sa</w:t>
      </w:r>
      <w:r>
        <w:rPr>
          <w:rFonts w:ascii="Times New Roman" w:hAnsi="Times New Roman"/>
        </w:rPr>
        <w:t xml:space="preserve"> </w:t>
      </w:r>
      <w:r w:rsidRPr="00F7503D">
        <w:rPr>
          <w:rFonts w:ascii="Times New Roman" w:hAnsi="Times New Roman"/>
        </w:rPr>
        <w:t>získajú</w:t>
      </w:r>
      <w:r>
        <w:rPr>
          <w:rFonts w:ascii="Times New Roman" w:hAnsi="Times New Roman"/>
        </w:rPr>
        <w:t xml:space="preserve"> </w:t>
      </w:r>
      <w:r w:rsidRPr="00F7503D">
        <w:rPr>
          <w:rFonts w:ascii="Times New Roman" w:hAnsi="Times New Roman"/>
        </w:rPr>
        <w:t>z</w:t>
      </w:r>
      <w:r>
        <w:rPr>
          <w:rFonts w:ascii="Times New Roman" w:hAnsi="Times New Roman"/>
        </w:rPr>
        <w:t xml:space="preserve"> </w:t>
      </w:r>
      <w:r w:rsidRPr="00F7503D">
        <w:rPr>
          <w:rFonts w:ascii="Times New Roman" w:hAnsi="Times New Roman"/>
        </w:rPr>
        <w:t>činnosti</w:t>
      </w:r>
      <w:r>
        <w:rPr>
          <w:rFonts w:ascii="Times New Roman" w:hAnsi="Times New Roman"/>
        </w:rPr>
        <w:t xml:space="preserve"> </w:t>
      </w:r>
      <w:r w:rsidRPr="00F7503D">
        <w:rPr>
          <w:rFonts w:ascii="Times New Roman" w:hAnsi="Times New Roman"/>
        </w:rPr>
        <w:t>organizácií</w:t>
      </w:r>
      <w:r>
        <w:rPr>
          <w:rFonts w:ascii="Times New Roman" w:hAnsi="Times New Roman"/>
        </w:rPr>
        <w:t xml:space="preserve"> </w:t>
      </w:r>
      <w:r w:rsidRPr="00F7503D">
        <w:rPr>
          <w:rFonts w:ascii="Times New Roman" w:hAnsi="Times New Roman"/>
        </w:rPr>
        <w:t>v</w:t>
      </w:r>
      <w:r>
        <w:rPr>
          <w:rFonts w:ascii="Times New Roman" w:hAnsi="Times New Roman"/>
        </w:rPr>
        <w:t xml:space="preserve"> </w:t>
      </w:r>
      <w:r w:rsidRPr="00F7503D">
        <w:rPr>
          <w:rFonts w:ascii="Times New Roman" w:hAnsi="Times New Roman"/>
        </w:rPr>
        <w:t>zriaďovateľskej</w:t>
      </w:r>
      <w:r>
        <w:rPr>
          <w:rFonts w:ascii="Times New Roman" w:hAnsi="Times New Roman"/>
        </w:rPr>
        <w:t xml:space="preserve"> </w:t>
      </w:r>
      <w:r w:rsidRPr="00F7503D">
        <w:rPr>
          <w:rFonts w:ascii="Times New Roman" w:hAnsi="Times New Roman"/>
        </w:rPr>
        <w:t>pôsobnosti</w:t>
      </w:r>
      <w:r>
        <w:rPr>
          <w:rFonts w:ascii="Times New Roman" w:hAnsi="Times New Roman"/>
        </w:rPr>
        <w:t xml:space="preserve"> </w:t>
      </w:r>
      <w:r w:rsidRPr="00F7503D">
        <w:rPr>
          <w:rFonts w:ascii="Times New Roman" w:hAnsi="Times New Roman"/>
        </w:rPr>
        <w:t>VÚC</w:t>
      </w:r>
      <w:r>
        <w:rPr>
          <w:rFonts w:ascii="Times New Roman" w:hAnsi="Times New Roman"/>
        </w:rPr>
        <w:t xml:space="preserve"> </w:t>
      </w:r>
      <w:r w:rsidRPr="00F7503D">
        <w:rPr>
          <w:rFonts w:ascii="Times New Roman" w:hAnsi="Times New Roman"/>
        </w:rPr>
        <w:t>na</w:t>
      </w:r>
      <w:r>
        <w:rPr>
          <w:rFonts w:ascii="Times New Roman" w:hAnsi="Times New Roman"/>
          <w:szCs w:val="22"/>
        </w:rPr>
        <w:t xml:space="preserve"> </w:t>
      </w:r>
      <w:r w:rsidRPr="00F7503D">
        <w:rPr>
          <w:rFonts w:ascii="Times New Roman" w:hAnsi="Times New Roman"/>
          <w:szCs w:val="22"/>
        </w:rPr>
        <w:t>úseku</w:t>
      </w:r>
      <w:r>
        <w:rPr>
          <w:rFonts w:ascii="Times New Roman" w:hAnsi="Times New Roman"/>
          <w:szCs w:val="22"/>
        </w:rPr>
        <w:t xml:space="preserve"> </w:t>
      </w:r>
      <w:r w:rsidRPr="00F7503D">
        <w:rPr>
          <w:rFonts w:ascii="Times New Roman" w:hAnsi="Times New Roman"/>
          <w:szCs w:val="22"/>
        </w:rPr>
        <w:t>sociálneho</w:t>
      </w:r>
      <w:r>
        <w:rPr>
          <w:rFonts w:ascii="Times New Roman" w:hAnsi="Times New Roman"/>
          <w:szCs w:val="22"/>
        </w:rPr>
        <w:t xml:space="preserve"> </w:t>
      </w:r>
      <w:r w:rsidRPr="00F7503D">
        <w:rPr>
          <w:rFonts w:ascii="Times New Roman" w:hAnsi="Times New Roman"/>
          <w:szCs w:val="22"/>
        </w:rPr>
        <w:t>zabezpečenia,</w:t>
      </w:r>
      <w:r>
        <w:rPr>
          <w:rFonts w:ascii="Times New Roman" w:hAnsi="Times New Roman"/>
          <w:szCs w:val="22"/>
        </w:rPr>
        <w:t xml:space="preserve"> </w:t>
      </w:r>
      <w:r w:rsidRPr="00F7503D">
        <w:rPr>
          <w:rFonts w:ascii="Times New Roman" w:hAnsi="Times New Roman"/>
          <w:szCs w:val="22"/>
        </w:rPr>
        <w:t>na</w:t>
      </w:r>
      <w:r>
        <w:rPr>
          <w:rFonts w:ascii="Times New Roman" w:hAnsi="Times New Roman"/>
          <w:szCs w:val="22"/>
        </w:rPr>
        <w:t xml:space="preserve"> </w:t>
      </w:r>
      <w:r w:rsidRPr="00F7503D">
        <w:rPr>
          <w:rFonts w:ascii="Times New Roman" w:hAnsi="Times New Roman"/>
          <w:szCs w:val="22"/>
        </w:rPr>
        <w:t>úseku</w:t>
      </w:r>
      <w:r>
        <w:rPr>
          <w:rFonts w:ascii="Times New Roman" w:hAnsi="Times New Roman"/>
          <w:szCs w:val="22"/>
        </w:rPr>
        <w:t xml:space="preserve"> </w:t>
      </w:r>
      <w:r w:rsidRPr="00F7503D">
        <w:rPr>
          <w:rFonts w:ascii="Times New Roman" w:hAnsi="Times New Roman"/>
          <w:szCs w:val="22"/>
        </w:rPr>
        <w:t>školstva,</w:t>
      </w:r>
      <w:r>
        <w:rPr>
          <w:rFonts w:ascii="Times New Roman" w:hAnsi="Times New Roman"/>
          <w:szCs w:val="22"/>
        </w:rPr>
        <w:t xml:space="preserve"> </w:t>
      </w:r>
      <w:r w:rsidRPr="00F7503D">
        <w:rPr>
          <w:rFonts w:ascii="Times New Roman" w:hAnsi="Times New Roman"/>
          <w:szCs w:val="22"/>
        </w:rPr>
        <w:t>dopravy,</w:t>
      </w:r>
      <w:r>
        <w:rPr>
          <w:rFonts w:ascii="Times New Roman" w:hAnsi="Times New Roman"/>
          <w:szCs w:val="22"/>
        </w:rPr>
        <w:t xml:space="preserve"> </w:t>
      </w:r>
      <w:r w:rsidRPr="00F7503D">
        <w:rPr>
          <w:rFonts w:ascii="Times New Roman" w:hAnsi="Times New Roman"/>
          <w:szCs w:val="22"/>
        </w:rPr>
        <w:t>z</w:t>
      </w:r>
      <w:r>
        <w:rPr>
          <w:rFonts w:ascii="Times New Roman" w:hAnsi="Times New Roman"/>
          <w:szCs w:val="22"/>
        </w:rPr>
        <w:t xml:space="preserve"> </w:t>
      </w:r>
      <w:r w:rsidRPr="00F7503D">
        <w:rPr>
          <w:rFonts w:ascii="Times New Roman" w:hAnsi="Times New Roman"/>
          <w:szCs w:val="22"/>
        </w:rPr>
        <w:t>kapitálových</w:t>
      </w:r>
      <w:r>
        <w:rPr>
          <w:rFonts w:ascii="Times New Roman" w:hAnsi="Times New Roman"/>
          <w:szCs w:val="22"/>
        </w:rPr>
        <w:t xml:space="preserve"> </w:t>
      </w:r>
      <w:r w:rsidRPr="00F7503D">
        <w:rPr>
          <w:rFonts w:ascii="Times New Roman" w:hAnsi="Times New Roman"/>
          <w:szCs w:val="22"/>
        </w:rPr>
        <w:t>príjmov</w:t>
      </w:r>
      <w:r>
        <w:rPr>
          <w:rFonts w:ascii="Times New Roman" w:hAnsi="Times New Roman"/>
          <w:szCs w:val="22"/>
        </w:rPr>
        <w:t xml:space="preserve"> </w:t>
      </w:r>
      <w:r w:rsidRPr="00F7503D">
        <w:rPr>
          <w:rFonts w:ascii="Times New Roman" w:hAnsi="Times New Roman"/>
          <w:szCs w:val="22"/>
        </w:rPr>
        <w:br/>
        <w:t>a</w:t>
      </w:r>
      <w:r>
        <w:rPr>
          <w:rFonts w:ascii="Times New Roman" w:hAnsi="Times New Roman"/>
          <w:szCs w:val="22"/>
        </w:rPr>
        <w:t xml:space="preserve"> </w:t>
      </w:r>
      <w:r w:rsidRPr="00F7503D">
        <w:rPr>
          <w:rFonts w:ascii="Times New Roman" w:hAnsi="Times New Roman"/>
          <w:szCs w:val="22"/>
        </w:rPr>
        <w:t>z</w:t>
      </w:r>
      <w:r>
        <w:rPr>
          <w:rFonts w:ascii="Times New Roman" w:hAnsi="Times New Roman"/>
          <w:szCs w:val="22"/>
        </w:rPr>
        <w:t xml:space="preserve"> </w:t>
      </w:r>
      <w:r w:rsidRPr="00F7503D">
        <w:rPr>
          <w:rFonts w:ascii="Times New Roman" w:hAnsi="Times New Roman"/>
          <w:szCs w:val="22"/>
        </w:rPr>
        <w:t>úrokov</w:t>
      </w:r>
      <w:r>
        <w:rPr>
          <w:rFonts w:ascii="Times New Roman" w:hAnsi="Times New Roman"/>
          <w:szCs w:val="22"/>
        </w:rPr>
        <w:t xml:space="preserve"> </w:t>
      </w:r>
      <w:r w:rsidRPr="00F7503D">
        <w:rPr>
          <w:rFonts w:ascii="Times New Roman" w:hAnsi="Times New Roman"/>
          <w:szCs w:val="22"/>
        </w:rPr>
        <w:t>z</w:t>
      </w:r>
      <w:r>
        <w:rPr>
          <w:rFonts w:ascii="Times New Roman" w:hAnsi="Times New Roman"/>
          <w:szCs w:val="22"/>
        </w:rPr>
        <w:t xml:space="preserve"> </w:t>
      </w:r>
      <w:r w:rsidRPr="00F7503D">
        <w:rPr>
          <w:rFonts w:ascii="Times New Roman" w:hAnsi="Times New Roman"/>
          <w:szCs w:val="22"/>
        </w:rPr>
        <w:t>prostriedkov</w:t>
      </w:r>
      <w:r>
        <w:rPr>
          <w:rFonts w:ascii="Times New Roman" w:hAnsi="Times New Roman"/>
          <w:szCs w:val="22"/>
        </w:rPr>
        <w:t xml:space="preserve"> </w:t>
      </w:r>
      <w:r w:rsidRPr="00F7503D">
        <w:rPr>
          <w:rFonts w:ascii="Times New Roman" w:hAnsi="Times New Roman"/>
          <w:szCs w:val="22"/>
        </w:rPr>
        <w:t>vlastného</w:t>
      </w:r>
      <w:r>
        <w:rPr>
          <w:rFonts w:ascii="Times New Roman" w:hAnsi="Times New Roman"/>
          <w:szCs w:val="22"/>
        </w:rPr>
        <w:t xml:space="preserve"> </w:t>
      </w:r>
      <w:r w:rsidRPr="00F7503D">
        <w:rPr>
          <w:rFonts w:ascii="Times New Roman" w:hAnsi="Times New Roman"/>
          <w:szCs w:val="22"/>
        </w:rPr>
        <w:t>hospodárenia.</w:t>
      </w:r>
      <w:r>
        <w:rPr>
          <w:rFonts w:ascii="Times New Roman" w:hAnsi="Times New Roman"/>
          <w:szCs w:val="22"/>
        </w:rPr>
        <w:t xml:space="preserve"> </w:t>
      </w:r>
      <w:r w:rsidRPr="00F7503D">
        <w:rPr>
          <w:rFonts w:ascii="Times New Roman" w:hAnsi="Times New Roman"/>
          <w:szCs w:val="22"/>
        </w:rPr>
        <w:t>Uvažuje</w:t>
      </w:r>
      <w:r>
        <w:rPr>
          <w:rFonts w:ascii="Times New Roman" w:hAnsi="Times New Roman"/>
          <w:szCs w:val="22"/>
        </w:rPr>
        <w:t xml:space="preserve"> </w:t>
      </w:r>
      <w:r w:rsidRPr="00F7503D">
        <w:rPr>
          <w:rFonts w:ascii="Times New Roman" w:hAnsi="Times New Roman"/>
          <w:szCs w:val="22"/>
        </w:rPr>
        <w:t>sa</w:t>
      </w:r>
      <w:r>
        <w:rPr>
          <w:rFonts w:ascii="Times New Roman" w:hAnsi="Times New Roman"/>
          <w:szCs w:val="22"/>
        </w:rPr>
        <w:t xml:space="preserve"> </w:t>
      </w:r>
      <w:r w:rsidRPr="00F7503D">
        <w:rPr>
          <w:rFonts w:ascii="Times New Roman" w:hAnsi="Times New Roman"/>
          <w:szCs w:val="22"/>
        </w:rPr>
        <w:t>v</w:t>
      </w:r>
      <w:r>
        <w:rPr>
          <w:rFonts w:ascii="Times New Roman" w:hAnsi="Times New Roman"/>
          <w:szCs w:val="22"/>
        </w:rPr>
        <w:t xml:space="preserve"> </w:t>
      </w:r>
      <w:r w:rsidRPr="00F7503D">
        <w:rPr>
          <w:rFonts w:ascii="Times New Roman" w:hAnsi="Times New Roman"/>
          <w:szCs w:val="22"/>
        </w:rPr>
        <w:t>roku</w:t>
      </w:r>
      <w:r>
        <w:rPr>
          <w:rFonts w:ascii="Times New Roman" w:hAnsi="Times New Roman"/>
          <w:szCs w:val="22"/>
        </w:rPr>
        <w:t xml:space="preserve"> </w:t>
      </w:r>
      <w:r w:rsidRPr="00F7503D">
        <w:rPr>
          <w:rFonts w:ascii="Times New Roman" w:hAnsi="Times New Roman"/>
          <w:szCs w:val="22"/>
        </w:rPr>
        <w:t>2016</w:t>
      </w:r>
      <w:r>
        <w:rPr>
          <w:rFonts w:ascii="Times New Roman" w:hAnsi="Times New Roman"/>
          <w:szCs w:val="22"/>
        </w:rPr>
        <w:t xml:space="preserve"> </w:t>
      </w:r>
      <w:r w:rsidRPr="00F7503D">
        <w:rPr>
          <w:rFonts w:ascii="Times New Roman" w:hAnsi="Times New Roman"/>
          <w:szCs w:val="22"/>
        </w:rPr>
        <w:t>s</w:t>
      </w:r>
      <w:r>
        <w:rPr>
          <w:rFonts w:ascii="Times New Roman" w:hAnsi="Times New Roman"/>
          <w:szCs w:val="22"/>
        </w:rPr>
        <w:t xml:space="preserve"> </w:t>
      </w:r>
      <w:r w:rsidRPr="00F7503D">
        <w:rPr>
          <w:rFonts w:ascii="Times New Roman" w:hAnsi="Times New Roman"/>
          <w:szCs w:val="22"/>
        </w:rPr>
        <w:t>ich</w:t>
      </w:r>
      <w:r>
        <w:rPr>
          <w:rFonts w:ascii="Times New Roman" w:hAnsi="Times New Roman"/>
          <w:szCs w:val="22"/>
        </w:rPr>
        <w:t xml:space="preserve"> </w:t>
      </w:r>
      <w:r w:rsidRPr="00F7503D">
        <w:rPr>
          <w:rFonts w:ascii="Times New Roman" w:hAnsi="Times New Roman"/>
          <w:szCs w:val="22"/>
        </w:rPr>
        <w:t>celkovou</w:t>
      </w:r>
      <w:r>
        <w:rPr>
          <w:rFonts w:ascii="Times New Roman" w:hAnsi="Times New Roman"/>
          <w:szCs w:val="22"/>
        </w:rPr>
        <w:t xml:space="preserve"> </w:t>
      </w:r>
      <w:r w:rsidRPr="00F7503D">
        <w:rPr>
          <w:rFonts w:ascii="Times New Roman" w:hAnsi="Times New Roman"/>
          <w:szCs w:val="22"/>
        </w:rPr>
        <w:t>výškou</w:t>
      </w:r>
      <w:r>
        <w:rPr>
          <w:rFonts w:ascii="Times New Roman" w:hAnsi="Times New Roman"/>
          <w:szCs w:val="22"/>
        </w:rPr>
        <w:t xml:space="preserve"> </w:t>
      </w:r>
      <w:r w:rsidRPr="00F7503D">
        <w:rPr>
          <w:rFonts w:ascii="Times New Roman" w:hAnsi="Times New Roman"/>
          <w:szCs w:val="22"/>
        </w:rPr>
        <w:t>122</w:t>
      </w:r>
      <w:r>
        <w:rPr>
          <w:rFonts w:ascii="Times New Roman" w:hAnsi="Times New Roman"/>
          <w:szCs w:val="22"/>
        </w:rPr>
        <w:t xml:space="preserve"> </w:t>
      </w:r>
      <w:r w:rsidRPr="00F7503D">
        <w:rPr>
          <w:rFonts w:ascii="Times New Roman" w:hAnsi="Times New Roman"/>
          <w:szCs w:val="22"/>
        </w:rPr>
        <w:t>500</w:t>
      </w:r>
      <w:r>
        <w:rPr>
          <w:rFonts w:ascii="Times New Roman" w:hAnsi="Times New Roman"/>
          <w:szCs w:val="22"/>
        </w:rPr>
        <w:t xml:space="preserve"> </w:t>
      </w:r>
      <w:r w:rsidRPr="00F7503D">
        <w:rPr>
          <w:rFonts w:ascii="Times New Roman" w:hAnsi="Times New Roman"/>
          <w:szCs w:val="22"/>
        </w:rPr>
        <w:t>tis.</w:t>
      </w:r>
      <w:r>
        <w:rPr>
          <w:rFonts w:ascii="Times New Roman" w:hAnsi="Times New Roman"/>
          <w:szCs w:val="22"/>
        </w:rPr>
        <w:t xml:space="preserve"> </w:t>
      </w:r>
      <w:r w:rsidRPr="00F7503D">
        <w:rPr>
          <w:rFonts w:ascii="Times New Roman" w:hAnsi="Times New Roman"/>
          <w:szCs w:val="22"/>
        </w:rPr>
        <w:t>eur,</w:t>
      </w:r>
      <w:r>
        <w:rPr>
          <w:rFonts w:ascii="Times New Roman" w:hAnsi="Times New Roman"/>
          <w:szCs w:val="22"/>
        </w:rPr>
        <w:t xml:space="preserve"> </w:t>
      </w:r>
      <w:r w:rsidRPr="00F7503D">
        <w:rPr>
          <w:rFonts w:ascii="Times New Roman" w:hAnsi="Times New Roman"/>
          <w:szCs w:val="22"/>
        </w:rPr>
        <w:t>ktorá</w:t>
      </w:r>
      <w:r>
        <w:rPr>
          <w:rFonts w:ascii="Times New Roman" w:hAnsi="Times New Roman"/>
          <w:szCs w:val="22"/>
        </w:rPr>
        <w:t xml:space="preserve"> </w:t>
      </w:r>
      <w:r w:rsidRPr="00F7503D">
        <w:rPr>
          <w:rFonts w:ascii="Times New Roman" w:hAnsi="Times New Roman"/>
          <w:szCs w:val="22"/>
        </w:rPr>
        <w:t>by</w:t>
      </w:r>
      <w:r>
        <w:rPr>
          <w:rFonts w:ascii="Times New Roman" w:hAnsi="Times New Roman"/>
          <w:szCs w:val="22"/>
        </w:rPr>
        <w:t xml:space="preserve"> </w:t>
      </w:r>
      <w:r w:rsidRPr="00F7503D">
        <w:rPr>
          <w:rFonts w:ascii="Times New Roman" w:hAnsi="Times New Roman"/>
          <w:szCs w:val="22"/>
        </w:rPr>
        <w:t>sa</w:t>
      </w:r>
      <w:r>
        <w:rPr>
          <w:rFonts w:ascii="Times New Roman" w:hAnsi="Times New Roman"/>
          <w:szCs w:val="22"/>
        </w:rPr>
        <w:t xml:space="preserve"> </w:t>
      </w:r>
      <w:r w:rsidRPr="00F7503D">
        <w:rPr>
          <w:rFonts w:ascii="Times New Roman" w:hAnsi="Times New Roman"/>
          <w:szCs w:val="22"/>
        </w:rPr>
        <w:t>mala</w:t>
      </w:r>
      <w:r>
        <w:rPr>
          <w:rFonts w:ascii="Times New Roman" w:hAnsi="Times New Roman"/>
          <w:szCs w:val="22"/>
        </w:rPr>
        <w:t xml:space="preserve"> </w:t>
      </w:r>
      <w:r w:rsidRPr="00F7503D">
        <w:rPr>
          <w:rFonts w:ascii="Times New Roman" w:hAnsi="Times New Roman"/>
          <w:szCs w:val="22"/>
        </w:rPr>
        <w:t>dosiahnuť</w:t>
      </w:r>
      <w:r>
        <w:rPr>
          <w:rFonts w:ascii="Times New Roman" w:hAnsi="Times New Roman"/>
          <w:szCs w:val="22"/>
        </w:rPr>
        <w:t xml:space="preserve"> </w:t>
      </w:r>
      <w:r w:rsidRPr="00F7503D">
        <w:rPr>
          <w:rFonts w:ascii="Times New Roman" w:hAnsi="Times New Roman"/>
          <w:szCs w:val="22"/>
        </w:rPr>
        <w:t>z</w:t>
      </w:r>
      <w:r>
        <w:rPr>
          <w:rFonts w:ascii="Times New Roman" w:hAnsi="Times New Roman"/>
          <w:szCs w:val="22"/>
        </w:rPr>
        <w:t xml:space="preserve"> </w:t>
      </w:r>
      <w:r w:rsidRPr="00F7503D">
        <w:rPr>
          <w:rFonts w:ascii="Times New Roman" w:hAnsi="Times New Roman"/>
          <w:szCs w:val="22"/>
        </w:rPr>
        <w:t>administratívnych</w:t>
      </w:r>
      <w:r>
        <w:rPr>
          <w:rFonts w:ascii="Times New Roman" w:hAnsi="Times New Roman"/>
          <w:szCs w:val="22"/>
        </w:rPr>
        <w:t xml:space="preserve"> </w:t>
      </w:r>
      <w:r w:rsidRPr="00F7503D">
        <w:rPr>
          <w:rFonts w:ascii="Times New Roman" w:hAnsi="Times New Roman"/>
          <w:szCs w:val="22"/>
        </w:rPr>
        <w:t>a</w:t>
      </w:r>
      <w:r>
        <w:rPr>
          <w:rFonts w:ascii="Times New Roman" w:hAnsi="Times New Roman"/>
          <w:szCs w:val="22"/>
        </w:rPr>
        <w:t xml:space="preserve"> </w:t>
      </w:r>
      <w:r w:rsidRPr="00F7503D">
        <w:rPr>
          <w:rFonts w:ascii="Times New Roman" w:hAnsi="Times New Roman"/>
          <w:szCs w:val="22"/>
        </w:rPr>
        <w:t>iných</w:t>
      </w:r>
      <w:r>
        <w:rPr>
          <w:rFonts w:ascii="Times New Roman" w:hAnsi="Times New Roman"/>
          <w:szCs w:val="22"/>
        </w:rPr>
        <w:t xml:space="preserve"> </w:t>
      </w:r>
      <w:r w:rsidRPr="00F7503D">
        <w:rPr>
          <w:rFonts w:ascii="Times New Roman" w:hAnsi="Times New Roman"/>
          <w:szCs w:val="22"/>
        </w:rPr>
        <w:t>poplatkov</w:t>
      </w:r>
      <w:r>
        <w:rPr>
          <w:rFonts w:ascii="Times New Roman" w:hAnsi="Times New Roman"/>
          <w:szCs w:val="22"/>
        </w:rPr>
        <w:t xml:space="preserve"> </w:t>
      </w:r>
      <w:r w:rsidR="002E4E0E">
        <w:rPr>
          <w:rFonts w:ascii="Times New Roman" w:hAnsi="Times New Roman"/>
          <w:szCs w:val="22"/>
        </w:rPr>
        <w:t xml:space="preserve">      </w:t>
      </w:r>
      <w:r w:rsidRPr="00F7503D">
        <w:rPr>
          <w:rFonts w:ascii="Times New Roman" w:hAnsi="Times New Roman"/>
          <w:szCs w:val="22"/>
        </w:rPr>
        <w:t>a</w:t>
      </w:r>
      <w:r>
        <w:rPr>
          <w:rFonts w:ascii="Times New Roman" w:hAnsi="Times New Roman"/>
          <w:szCs w:val="22"/>
        </w:rPr>
        <w:t xml:space="preserve"> </w:t>
      </w:r>
      <w:r w:rsidRPr="00F7503D">
        <w:rPr>
          <w:rFonts w:ascii="Times New Roman" w:hAnsi="Times New Roman"/>
          <w:szCs w:val="22"/>
        </w:rPr>
        <w:t>platieb</w:t>
      </w:r>
      <w:r>
        <w:rPr>
          <w:rFonts w:ascii="Times New Roman" w:hAnsi="Times New Roman"/>
          <w:szCs w:val="22"/>
        </w:rPr>
        <w:t xml:space="preserve"> </w:t>
      </w:r>
      <w:r w:rsidRPr="00F7503D">
        <w:rPr>
          <w:rFonts w:ascii="Times New Roman" w:hAnsi="Times New Roman"/>
          <w:szCs w:val="22"/>
        </w:rPr>
        <w:t>v</w:t>
      </w:r>
      <w:r>
        <w:rPr>
          <w:rFonts w:ascii="Times New Roman" w:hAnsi="Times New Roman"/>
          <w:szCs w:val="22"/>
        </w:rPr>
        <w:t xml:space="preserve"> </w:t>
      </w:r>
      <w:r w:rsidRPr="00F7503D">
        <w:rPr>
          <w:rFonts w:ascii="Times New Roman" w:hAnsi="Times New Roman"/>
          <w:szCs w:val="22"/>
        </w:rPr>
        <w:t>sume</w:t>
      </w:r>
      <w:r>
        <w:rPr>
          <w:rFonts w:ascii="Times New Roman" w:hAnsi="Times New Roman"/>
          <w:szCs w:val="22"/>
        </w:rPr>
        <w:t xml:space="preserve"> </w:t>
      </w:r>
      <w:r w:rsidRPr="00F7503D">
        <w:rPr>
          <w:rFonts w:ascii="Times New Roman" w:hAnsi="Times New Roman"/>
          <w:szCs w:val="22"/>
        </w:rPr>
        <w:t>80</w:t>
      </w:r>
      <w:r>
        <w:rPr>
          <w:rFonts w:ascii="Times New Roman" w:hAnsi="Times New Roman"/>
          <w:szCs w:val="22"/>
        </w:rPr>
        <w:t xml:space="preserve"> </w:t>
      </w:r>
      <w:r w:rsidRPr="00F7503D">
        <w:rPr>
          <w:rFonts w:ascii="Times New Roman" w:hAnsi="Times New Roman"/>
          <w:szCs w:val="22"/>
        </w:rPr>
        <w:t>000</w:t>
      </w:r>
      <w:r>
        <w:rPr>
          <w:rFonts w:ascii="Times New Roman" w:hAnsi="Times New Roman"/>
          <w:szCs w:val="22"/>
        </w:rPr>
        <w:t xml:space="preserve"> </w:t>
      </w:r>
      <w:r w:rsidRPr="00F7503D">
        <w:rPr>
          <w:rFonts w:ascii="Times New Roman" w:hAnsi="Times New Roman"/>
          <w:szCs w:val="22"/>
        </w:rPr>
        <w:t>tis.</w:t>
      </w:r>
      <w:r>
        <w:rPr>
          <w:rFonts w:ascii="Times New Roman" w:hAnsi="Times New Roman"/>
          <w:szCs w:val="22"/>
        </w:rPr>
        <w:t xml:space="preserve"> </w:t>
      </w:r>
      <w:r w:rsidRPr="00F7503D">
        <w:rPr>
          <w:rFonts w:ascii="Times New Roman" w:hAnsi="Times New Roman"/>
          <w:szCs w:val="22"/>
        </w:rPr>
        <w:t>eur,</w:t>
      </w:r>
      <w:r>
        <w:rPr>
          <w:rFonts w:ascii="Times New Roman" w:hAnsi="Times New Roman"/>
          <w:szCs w:val="22"/>
        </w:rPr>
        <w:t xml:space="preserve"> </w:t>
      </w:r>
      <w:r w:rsidRPr="00F7503D">
        <w:rPr>
          <w:rFonts w:ascii="Times New Roman" w:hAnsi="Times New Roman"/>
          <w:szCs w:val="22"/>
        </w:rPr>
        <w:t>a</w:t>
      </w:r>
      <w:r>
        <w:rPr>
          <w:rFonts w:ascii="Times New Roman" w:hAnsi="Times New Roman"/>
          <w:szCs w:val="22"/>
        </w:rPr>
        <w:t xml:space="preserve"> </w:t>
      </w:r>
      <w:r w:rsidRPr="00F7503D">
        <w:rPr>
          <w:rFonts w:ascii="Times New Roman" w:hAnsi="Times New Roman"/>
          <w:szCs w:val="22"/>
        </w:rPr>
        <w:t>to</w:t>
      </w:r>
      <w:r>
        <w:rPr>
          <w:rFonts w:ascii="Times New Roman" w:hAnsi="Times New Roman"/>
          <w:szCs w:val="22"/>
        </w:rPr>
        <w:t xml:space="preserve"> </w:t>
      </w:r>
      <w:r w:rsidRPr="00F7503D">
        <w:rPr>
          <w:rFonts w:ascii="Times New Roman" w:hAnsi="Times New Roman"/>
          <w:szCs w:val="22"/>
        </w:rPr>
        <w:t>najmä</w:t>
      </w:r>
      <w:r>
        <w:rPr>
          <w:rFonts w:ascii="Times New Roman" w:hAnsi="Times New Roman"/>
          <w:szCs w:val="22"/>
        </w:rPr>
        <w:t xml:space="preserve"> </w:t>
      </w:r>
      <w:r w:rsidRPr="00F7503D">
        <w:rPr>
          <w:rFonts w:ascii="Times New Roman" w:hAnsi="Times New Roman"/>
          <w:szCs w:val="22"/>
        </w:rPr>
        <w:t>na</w:t>
      </w:r>
      <w:r>
        <w:rPr>
          <w:rFonts w:ascii="Times New Roman" w:hAnsi="Times New Roman"/>
          <w:szCs w:val="22"/>
        </w:rPr>
        <w:t xml:space="preserve"> </w:t>
      </w:r>
      <w:r w:rsidRPr="00F7503D">
        <w:rPr>
          <w:rFonts w:ascii="Times New Roman" w:hAnsi="Times New Roman"/>
          <w:szCs w:val="22"/>
        </w:rPr>
        <w:t>úseku</w:t>
      </w:r>
      <w:r>
        <w:rPr>
          <w:rFonts w:ascii="Times New Roman" w:hAnsi="Times New Roman"/>
          <w:szCs w:val="22"/>
        </w:rPr>
        <w:t xml:space="preserve"> </w:t>
      </w:r>
      <w:r w:rsidRPr="00F7503D">
        <w:rPr>
          <w:rFonts w:ascii="Times New Roman" w:hAnsi="Times New Roman"/>
          <w:szCs w:val="22"/>
        </w:rPr>
        <w:t>sociálneho</w:t>
      </w:r>
      <w:r>
        <w:rPr>
          <w:rFonts w:ascii="Times New Roman" w:hAnsi="Times New Roman"/>
          <w:szCs w:val="22"/>
        </w:rPr>
        <w:t xml:space="preserve"> </w:t>
      </w:r>
      <w:r w:rsidRPr="00F7503D">
        <w:rPr>
          <w:rFonts w:ascii="Times New Roman" w:hAnsi="Times New Roman"/>
          <w:szCs w:val="22"/>
        </w:rPr>
        <w:t>zabezpečenia,</w:t>
      </w:r>
      <w:r>
        <w:rPr>
          <w:rFonts w:ascii="Times New Roman" w:hAnsi="Times New Roman"/>
          <w:szCs w:val="22"/>
        </w:rPr>
        <w:t xml:space="preserve"> </w:t>
      </w:r>
      <w:r w:rsidRPr="00F7503D">
        <w:rPr>
          <w:rFonts w:ascii="Times New Roman" w:hAnsi="Times New Roman"/>
          <w:szCs w:val="22"/>
        </w:rPr>
        <w:t>z</w:t>
      </w:r>
      <w:r>
        <w:rPr>
          <w:rFonts w:ascii="Times New Roman" w:hAnsi="Times New Roman"/>
          <w:szCs w:val="22"/>
        </w:rPr>
        <w:t xml:space="preserve"> </w:t>
      </w:r>
      <w:r w:rsidRPr="00F7503D">
        <w:rPr>
          <w:rFonts w:ascii="Times New Roman" w:hAnsi="Times New Roman"/>
          <w:szCs w:val="22"/>
        </w:rPr>
        <w:t>úhrad</w:t>
      </w:r>
      <w:r>
        <w:rPr>
          <w:rFonts w:ascii="Times New Roman" w:hAnsi="Times New Roman"/>
          <w:szCs w:val="22"/>
        </w:rPr>
        <w:t xml:space="preserve"> </w:t>
      </w:r>
      <w:r w:rsidRPr="00F7503D">
        <w:rPr>
          <w:rFonts w:ascii="Times New Roman" w:hAnsi="Times New Roman"/>
          <w:szCs w:val="22"/>
        </w:rPr>
        <w:t>platených</w:t>
      </w:r>
      <w:r>
        <w:rPr>
          <w:rFonts w:ascii="Times New Roman" w:hAnsi="Times New Roman"/>
          <w:szCs w:val="22"/>
        </w:rPr>
        <w:t xml:space="preserve"> </w:t>
      </w:r>
      <w:r w:rsidRPr="00F7503D">
        <w:rPr>
          <w:rFonts w:ascii="Times New Roman" w:hAnsi="Times New Roman"/>
          <w:szCs w:val="22"/>
        </w:rPr>
        <w:t>občanmi</w:t>
      </w:r>
      <w:r>
        <w:rPr>
          <w:rFonts w:ascii="Times New Roman" w:hAnsi="Times New Roman"/>
          <w:szCs w:val="22"/>
        </w:rPr>
        <w:t xml:space="preserve"> </w:t>
      </w:r>
      <w:r w:rsidRPr="00F7503D">
        <w:rPr>
          <w:rFonts w:ascii="Times New Roman" w:hAnsi="Times New Roman"/>
          <w:szCs w:val="22"/>
        </w:rPr>
        <w:t>umiestnenými</w:t>
      </w:r>
      <w:r>
        <w:rPr>
          <w:rFonts w:ascii="Times New Roman" w:hAnsi="Times New Roman"/>
          <w:szCs w:val="22"/>
        </w:rPr>
        <w:t xml:space="preserve"> </w:t>
      </w:r>
      <w:r w:rsidRPr="00F7503D">
        <w:rPr>
          <w:rFonts w:ascii="Times New Roman" w:hAnsi="Times New Roman"/>
          <w:szCs w:val="22"/>
        </w:rPr>
        <w:t>v</w:t>
      </w:r>
      <w:r>
        <w:rPr>
          <w:rFonts w:ascii="Times New Roman" w:hAnsi="Times New Roman"/>
          <w:szCs w:val="22"/>
        </w:rPr>
        <w:t xml:space="preserve"> </w:t>
      </w:r>
      <w:r w:rsidRPr="00F7503D">
        <w:rPr>
          <w:rFonts w:ascii="Times New Roman" w:hAnsi="Times New Roman"/>
          <w:szCs w:val="22"/>
        </w:rPr>
        <w:t>zariadeniach</w:t>
      </w:r>
      <w:r>
        <w:rPr>
          <w:rFonts w:ascii="Times New Roman" w:hAnsi="Times New Roman"/>
          <w:szCs w:val="22"/>
        </w:rPr>
        <w:t xml:space="preserve"> </w:t>
      </w:r>
      <w:r w:rsidRPr="00F7503D">
        <w:rPr>
          <w:rFonts w:ascii="Times New Roman" w:hAnsi="Times New Roman"/>
          <w:szCs w:val="22"/>
        </w:rPr>
        <w:t>sociálnych</w:t>
      </w:r>
      <w:r>
        <w:rPr>
          <w:rFonts w:ascii="Times New Roman" w:hAnsi="Times New Roman"/>
          <w:szCs w:val="22"/>
        </w:rPr>
        <w:t xml:space="preserve"> </w:t>
      </w:r>
      <w:r w:rsidRPr="00F7503D">
        <w:rPr>
          <w:rFonts w:ascii="Times New Roman" w:hAnsi="Times New Roman"/>
          <w:szCs w:val="22"/>
        </w:rPr>
        <w:t>služieb,</w:t>
      </w:r>
      <w:r>
        <w:rPr>
          <w:rFonts w:ascii="Times New Roman" w:hAnsi="Times New Roman"/>
          <w:szCs w:val="22"/>
        </w:rPr>
        <w:t xml:space="preserve"> </w:t>
      </w:r>
      <w:r w:rsidRPr="00F7503D">
        <w:rPr>
          <w:rFonts w:ascii="Times New Roman" w:hAnsi="Times New Roman"/>
          <w:szCs w:val="22"/>
        </w:rPr>
        <w:t>za</w:t>
      </w:r>
      <w:r>
        <w:rPr>
          <w:rFonts w:ascii="Times New Roman" w:hAnsi="Times New Roman"/>
          <w:szCs w:val="22"/>
        </w:rPr>
        <w:t xml:space="preserve"> </w:t>
      </w:r>
      <w:r w:rsidRPr="00F7503D">
        <w:rPr>
          <w:rFonts w:ascii="Times New Roman" w:hAnsi="Times New Roman"/>
          <w:szCs w:val="22"/>
        </w:rPr>
        <w:t>poskytované</w:t>
      </w:r>
      <w:r>
        <w:rPr>
          <w:rFonts w:ascii="Times New Roman" w:hAnsi="Times New Roman"/>
          <w:szCs w:val="22"/>
        </w:rPr>
        <w:t xml:space="preserve"> </w:t>
      </w:r>
      <w:r w:rsidRPr="00F7503D">
        <w:rPr>
          <w:rFonts w:ascii="Times New Roman" w:hAnsi="Times New Roman"/>
          <w:szCs w:val="22"/>
        </w:rPr>
        <w:t>služby,</w:t>
      </w:r>
      <w:r>
        <w:rPr>
          <w:rFonts w:ascii="Times New Roman" w:hAnsi="Times New Roman"/>
          <w:szCs w:val="22"/>
        </w:rPr>
        <w:t xml:space="preserve"> </w:t>
      </w:r>
      <w:r w:rsidRPr="00F7503D">
        <w:rPr>
          <w:rFonts w:ascii="Times New Roman" w:hAnsi="Times New Roman"/>
          <w:szCs w:val="22"/>
        </w:rPr>
        <w:t>ako</w:t>
      </w:r>
      <w:r>
        <w:rPr>
          <w:rFonts w:ascii="Times New Roman" w:hAnsi="Times New Roman"/>
          <w:szCs w:val="22"/>
        </w:rPr>
        <w:t xml:space="preserve"> </w:t>
      </w:r>
      <w:r w:rsidRPr="00F7503D">
        <w:rPr>
          <w:rFonts w:ascii="Times New Roman" w:hAnsi="Times New Roman"/>
          <w:szCs w:val="22"/>
        </w:rPr>
        <w:t>sú</w:t>
      </w:r>
      <w:r>
        <w:rPr>
          <w:rFonts w:ascii="Times New Roman" w:hAnsi="Times New Roman"/>
          <w:szCs w:val="22"/>
        </w:rPr>
        <w:t xml:space="preserve"> </w:t>
      </w:r>
      <w:r w:rsidRPr="00F7503D">
        <w:rPr>
          <w:rFonts w:ascii="Times New Roman" w:hAnsi="Times New Roman"/>
          <w:szCs w:val="22"/>
        </w:rPr>
        <w:t>stravovanie,</w:t>
      </w:r>
      <w:r>
        <w:rPr>
          <w:rFonts w:ascii="Times New Roman" w:hAnsi="Times New Roman"/>
          <w:szCs w:val="22"/>
        </w:rPr>
        <w:t xml:space="preserve"> </w:t>
      </w:r>
      <w:r w:rsidRPr="00F7503D">
        <w:rPr>
          <w:rFonts w:ascii="Times New Roman" w:hAnsi="Times New Roman"/>
          <w:szCs w:val="22"/>
        </w:rPr>
        <w:t>bývanie</w:t>
      </w:r>
      <w:r>
        <w:rPr>
          <w:rFonts w:ascii="Times New Roman" w:hAnsi="Times New Roman"/>
          <w:szCs w:val="22"/>
        </w:rPr>
        <w:t xml:space="preserve"> </w:t>
      </w:r>
      <w:r w:rsidRPr="00F7503D">
        <w:rPr>
          <w:rFonts w:ascii="Times New Roman" w:hAnsi="Times New Roman"/>
          <w:szCs w:val="22"/>
        </w:rPr>
        <w:t>a</w:t>
      </w:r>
      <w:r>
        <w:rPr>
          <w:rFonts w:ascii="Times New Roman" w:hAnsi="Times New Roman"/>
          <w:szCs w:val="22"/>
        </w:rPr>
        <w:t xml:space="preserve"> </w:t>
      </w:r>
      <w:r w:rsidRPr="00F7503D">
        <w:rPr>
          <w:rFonts w:ascii="Times New Roman" w:hAnsi="Times New Roman"/>
          <w:szCs w:val="22"/>
        </w:rPr>
        <w:t>zaopatrenie,</w:t>
      </w:r>
      <w:r>
        <w:rPr>
          <w:rFonts w:ascii="Times New Roman" w:hAnsi="Times New Roman"/>
          <w:szCs w:val="22"/>
        </w:rPr>
        <w:t xml:space="preserve"> </w:t>
      </w:r>
      <w:r w:rsidRPr="00F7503D">
        <w:rPr>
          <w:rFonts w:ascii="Times New Roman" w:hAnsi="Times New Roman"/>
          <w:szCs w:val="22"/>
        </w:rPr>
        <w:t>na</w:t>
      </w:r>
      <w:r>
        <w:rPr>
          <w:rFonts w:ascii="Times New Roman" w:hAnsi="Times New Roman"/>
          <w:szCs w:val="22"/>
        </w:rPr>
        <w:t xml:space="preserve"> </w:t>
      </w:r>
      <w:r w:rsidRPr="00F7503D">
        <w:rPr>
          <w:rFonts w:ascii="Times New Roman" w:hAnsi="Times New Roman"/>
          <w:szCs w:val="22"/>
        </w:rPr>
        <w:t>úseku</w:t>
      </w:r>
      <w:r>
        <w:rPr>
          <w:rFonts w:ascii="Times New Roman" w:hAnsi="Times New Roman"/>
          <w:szCs w:val="22"/>
        </w:rPr>
        <w:t xml:space="preserve"> </w:t>
      </w:r>
      <w:r w:rsidRPr="00F7503D">
        <w:rPr>
          <w:rFonts w:ascii="Times New Roman" w:hAnsi="Times New Roman"/>
          <w:szCs w:val="22"/>
        </w:rPr>
        <w:t>školstva</w:t>
      </w:r>
      <w:r>
        <w:rPr>
          <w:rFonts w:ascii="Times New Roman" w:hAnsi="Times New Roman"/>
          <w:szCs w:val="22"/>
        </w:rPr>
        <w:t xml:space="preserve"> </w:t>
      </w:r>
      <w:r w:rsidRPr="00F7503D">
        <w:rPr>
          <w:rFonts w:ascii="Times New Roman" w:hAnsi="Times New Roman"/>
          <w:szCs w:val="22"/>
        </w:rPr>
        <w:t>z</w:t>
      </w:r>
      <w:r>
        <w:rPr>
          <w:rFonts w:ascii="Times New Roman" w:hAnsi="Times New Roman"/>
          <w:szCs w:val="22"/>
        </w:rPr>
        <w:t xml:space="preserve"> </w:t>
      </w:r>
      <w:r w:rsidRPr="00F7503D">
        <w:rPr>
          <w:rFonts w:ascii="Times New Roman" w:hAnsi="Times New Roman"/>
          <w:szCs w:val="22"/>
        </w:rPr>
        <w:t>príjmov</w:t>
      </w:r>
      <w:r>
        <w:rPr>
          <w:rFonts w:ascii="Times New Roman" w:hAnsi="Times New Roman"/>
          <w:szCs w:val="22"/>
        </w:rPr>
        <w:t xml:space="preserve"> </w:t>
      </w:r>
      <w:r w:rsidRPr="00F7503D">
        <w:rPr>
          <w:rFonts w:ascii="Times New Roman" w:hAnsi="Times New Roman"/>
          <w:szCs w:val="22"/>
        </w:rPr>
        <w:t>získaných</w:t>
      </w:r>
      <w:r>
        <w:rPr>
          <w:rFonts w:ascii="Times New Roman" w:hAnsi="Times New Roman"/>
          <w:szCs w:val="22"/>
        </w:rPr>
        <w:t xml:space="preserve"> </w:t>
      </w:r>
      <w:r w:rsidRPr="00F7503D">
        <w:rPr>
          <w:rFonts w:ascii="Times New Roman" w:hAnsi="Times New Roman"/>
          <w:szCs w:val="22"/>
        </w:rPr>
        <w:t>z</w:t>
      </w:r>
      <w:r>
        <w:rPr>
          <w:rFonts w:ascii="Times New Roman" w:hAnsi="Times New Roman"/>
          <w:szCs w:val="22"/>
        </w:rPr>
        <w:t xml:space="preserve"> </w:t>
      </w:r>
      <w:r w:rsidRPr="00F7503D">
        <w:rPr>
          <w:rFonts w:ascii="Times New Roman" w:hAnsi="Times New Roman"/>
          <w:szCs w:val="22"/>
        </w:rPr>
        <w:t>poplatkov</w:t>
      </w:r>
      <w:r>
        <w:rPr>
          <w:rFonts w:ascii="Times New Roman" w:hAnsi="Times New Roman"/>
          <w:szCs w:val="22"/>
        </w:rPr>
        <w:t xml:space="preserve"> </w:t>
      </w:r>
      <w:r w:rsidRPr="00F7503D">
        <w:rPr>
          <w:rFonts w:ascii="Times New Roman" w:hAnsi="Times New Roman"/>
          <w:szCs w:val="22"/>
        </w:rPr>
        <w:t>zo</w:t>
      </w:r>
      <w:r>
        <w:rPr>
          <w:rFonts w:ascii="Times New Roman" w:hAnsi="Times New Roman"/>
          <w:szCs w:val="22"/>
        </w:rPr>
        <w:t xml:space="preserve"> </w:t>
      </w:r>
      <w:r w:rsidRPr="00F7503D">
        <w:rPr>
          <w:rFonts w:ascii="Times New Roman" w:hAnsi="Times New Roman"/>
          <w:szCs w:val="22"/>
        </w:rPr>
        <w:t>zápisného</w:t>
      </w:r>
      <w:r>
        <w:rPr>
          <w:rFonts w:ascii="Times New Roman" w:hAnsi="Times New Roman"/>
          <w:szCs w:val="22"/>
        </w:rPr>
        <w:t xml:space="preserve"> </w:t>
      </w:r>
      <w:r w:rsidRPr="00F7503D">
        <w:rPr>
          <w:rFonts w:ascii="Times New Roman" w:hAnsi="Times New Roman"/>
          <w:szCs w:val="22"/>
        </w:rPr>
        <w:t>a</w:t>
      </w:r>
      <w:r>
        <w:rPr>
          <w:rFonts w:ascii="Times New Roman" w:hAnsi="Times New Roman"/>
          <w:szCs w:val="22"/>
        </w:rPr>
        <w:t xml:space="preserve"> </w:t>
      </w:r>
      <w:r w:rsidRPr="00F7503D">
        <w:rPr>
          <w:rFonts w:ascii="Times New Roman" w:hAnsi="Times New Roman"/>
          <w:szCs w:val="22"/>
        </w:rPr>
        <w:t>školného</w:t>
      </w:r>
      <w:r>
        <w:rPr>
          <w:rFonts w:ascii="Times New Roman" w:hAnsi="Times New Roman"/>
          <w:szCs w:val="22"/>
        </w:rPr>
        <w:t xml:space="preserve"> </w:t>
      </w:r>
      <w:r w:rsidRPr="00F7503D">
        <w:rPr>
          <w:rFonts w:ascii="Times New Roman" w:hAnsi="Times New Roman"/>
          <w:szCs w:val="22"/>
        </w:rPr>
        <w:t>v</w:t>
      </w:r>
      <w:r>
        <w:rPr>
          <w:rFonts w:ascii="Times New Roman" w:hAnsi="Times New Roman"/>
          <w:szCs w:val="22"/>
        </w:rPr>
        <w:t xml:space="preserve"> </w:t>
      </w:r>
      <w:r w:rsidRPr="00F7503D">
        <w:rPr>
          <w:rFonts w:ascii="Times New Roman" w:hAnsi="Times New Roman"/>
          <w:szCs w:val="22"/>
        </w:rPr>
        <w:t>základných</w:t>
      </w:r>
      <w:r>
        <w:rPr>
          <w:rFonts w:ascii="Times New Roman" w:hAnsi="Times New Roman"/>
          <w:szCs w:val="22"/>
        </w:rPr>
        <w:t xml:space="preserve"> </w:t>
      </w:r>
      <w:r w:rsidRPr="00F7503D">
        <w:rPr>
          <w:rFonts w:ascii="Times New Roman" w:hAnsi="Times New Roman"/>
          <w:szCs w:val="22"/>
        </w:rPr>
        <w:t>umeleckých</w:t>
      </w:r>
      <w:r>
        <w:rPr>
          <w:rFonts w:ascii="Times New Roman" w:hAnsi="Times New Roman"/>
          <w:szCs w:val="22"/>
        </w:rPr>
        <w:t xml:space="preserve"> </w:t>
      </w:r>
      <w:r w:rsidRPr="00F7503D">
        <w:rPr>
          <w:rFonts w:ascii="Times New Roman" w:hAnsi="Times New Roman"/>
          <w:szCs w:val="22"/>
        </w:rPr>
        <w:t>školách,</w:t>
      </w:r>
      <w:r>
        <w:rPr>
          <w:rFonts w:ascii="Times New Roman" w:hAnsi="Times New Roman"/>
          <w:szCs w:val="22"/>
        </w:rPr>
        <w:t xml:space="preserve"> </w:t>
      </w:r>
      <w:r w:rsidRPr="00F7503D">
        <w:rPr>
          <w:rFonts w:ascii="Times New Roman" w:hAnsi="Times New Roman"/>
          <w:szCs w:val="22"/>
        </w:rPr>
        <w:t>za</w:t>
      </w:r>
      <w:r>
        <w:rPr>
          <w:rFonts w:ascii="Times New Roman" w:hAnsi="Times New Roman"/>
          <w:szCs w:val="22"/>
        </w:rPr>
        <w:t xml:space="preserve"> </w:t>
      </w:r>
      <w:r w:rsidRPr="00F7503D">
        <w:rPr>
          <w:rFonts w:ascii="Times New Roman" w:hAnsi="Times New Roman"/>
          <w:szCs w:val="22"/>
        </w:rPr>
        <w:t>ubytovanie</w:t>
      </w:r>
      <w:r>
        <w:rPr>
          <w:rFonts w:ascii="Times New Roman" w:hAnsi="Times New Roman"/>
          <w:szCs w:val="22"/>
        </w:rPr>
        <w:t xml:space="preserve"> </w:t>
      </w:r>
      <w:r w:rsidRPr="00F7503D">
        <w:rPr>
          <w:rFonts w:ascii="Times New Roman" w:hAnsi="Times New Roman"/>
          <w:szCs w:val="22"/>
        </w:rPr>
        <w:t>v</w:t>
      </w:r>
      <w:r>
        <w:rPr>
          <w:rFonts w:ascii="Times New Roman" w:hAnsi="Times New Roman"/>
          <w:szCs w:val="22"/>
        </w:rPr>
        <w:t xml:space="preserve"> </w:t>
      </w:r>
      <w:r w:rsidRPr="00F7503D">
        <w:rPr>
          <w:rFonts w:ascii="Times New Roman" w:hAnsi="Times New Roman"/>
          <w:szCs w:val="22"/>
        </w:rPr>
        <w:t>domovoch</w:t>
      </w:r>
      <w:r>
        <w:rPr>
          <w:rFonts w:ascii="Times New Roman" w:hAnsi="Times New Roman"/>
          <w:szCs w:val="22"/>
        </w:rPr>
        <w:t xml:space="preserve"> </w:t>
      </w:r>
      <w:r w:rsidRPr="00F7503D">
        <w:rPr>
          <w:rFonts w:ascii="Times New Roman" w:hAnsi="Times New Roman"/>
          <w:szCs w:val="22"/>
        </w:rPr>
        <w:t>mládeže,</w:t>
      </w:r>
      <w:r>
        <w:rPr>
          <w:rFonts w:ascii="Times New Roman" w:hAnsi="Times New Roman"/>
          <w:szCs w:val="22"/>
        </w:rPr>
        <w:t xml:space="preserve"> </w:t>
      </w:r>
      <w:r w:rsidRPr="00F7503D">
        <w:rPr>
          <w:rFonts w:ascii="Times New Roman" w:hAnsi="Times New Roman"/>
          <w:szCs w:val="22"/>
        </w:rPr>
        <w:t>z</w:t>
      </w:r>
      <w:r>
        <w:rPr>
          <w:rFonts w:ascii="Times New Roman" w:hAnsi="Times New Roman"/>
          <w:szCs w:val="22"/>
        </w:rPr>
        <w:t xml:space="preserve"> </w:t>
      </w:r>
      <w:r w:rsidRPr="00F7503D">
        <w:rPr>
          <w:rFonts w:ascii="Times New Roman" w:hAnsi="Times New Roman"/>
          <w:szCs w:val="22"/>
        </w:rPr>
        <w:t>nájomného</w:t>
      </w:r>
      <w:r>
        <w:rPr>
          <w:rFonts w:ascii="Times New Roman" w:hAnsi="Times New Roman"/>
          <w:szCs w:val="22"/>
        </w:rPr>
        <w:t xml:space="preserve"> </w:t>
      </w:r>
      <w:r w:rsidRPr="00F7503D">
        <w:rPr>
          <w:rFonts w:ascii="Times New Roman" w:hAnsi="Times New Roman"/>
          <w:szCs w:val="22"/>
        </w:rPr>
        <w:t>a</w:t>
      </w:r>
      <w:r>
        <w:rPr>
          <w:rFonts w:ascii="Times New Roman" w:hAnsi="Times New Roman"/>
          <w:szCs w:val="22"/>
        </w:rPr>
        <w:t xml:space="preserve"> </w:t>
      </w:r>
      <w:r w:rsidRPr="00F7503D">
        <w:rPr>
          <w:rFonts w:ascii="Times New Roman" w:hAnsi="Times New Roman"/>
          <w:szCs w:val="22"/>
        </w:rPr>
        <w:t>pod.</w:t>
      </w:r>
      <w:r>
        <w:rPr>
          <w:rFonts w:ascii="Times New Roman" w:hAnsi="Times New Roman"/>
          <w:szCs w:val="22"/>
        </w:rPr>
        <w:t xml:space="preserve"> </w:t>
      </w:r>
      <w:r w:rsidRPr="00F7503D">
        <w:rPr>
          <w:rFonts w:ascii="Times New Roman" w:hAnsi="Times New Roman"/>
          <w:szCs w:val="22"/>
        </w:rPr>
        <w:t>Z</w:t>
      </w:r>
      <w:r>
        <w:rPr>
          <w:rFonts w:ascii="Times New Roman" w:hAnsi="Times New Roman"/>
          <w:szCs w:val="22"/>
        </w:rPr>
        <w:t xml:space="preserve"> </w:t>
      </w:r>
      <w:r w:rsidRPr="00F7503D">
        <w:rPr>
          <w:rFonts w:ascii="Times New Roman" w:hAnsi="Times New Roman"/>
          <w:szCs w:val="22"/>
        </w:rPr>
        <w:t>hospodárenia</w:t>
      </w:r>
      <w:r>
        <w:rPr>
          <w:rFonts w:ascii="Times New Roman" w:hAnsi="Times New Roman"/>
          <w:szCs w:val="22"/>
        </w:rPr>
        <w:t xml:space="preserve"> </w:t>
      </w:r>
      <w:r w:rsidRPr="00F7503D">
        <w:rPr>
          <w:rFonts w:ascii="Times New Roman" w:hAnsi="Times New Roman"/>
          <w:szCs w:val="22"/>
        </w:rPr>
        <w:t>s</w:t>
      </w:r>
      <w:r>
        <w:rPr>
          <w:rFonts w:ascii="Times New Roman" w:hAnsi="Times New Roman"/>
          <w:szCs w:val="22"/>
        </w:rPr>
        <w:t xml:space="preserve"> </w:t>
      </w:r>
      <w:r w:rsidRPr="00F7503D">
        <w:rPr>
          <w:rFonts w:ascii="Times New Roman" w:hAnsi="Times New Roman"/>
          <w:szCs w:val="22"/>
        </w:rPr>
        <w:t>majetkom</w:t>
      </w:r>
      <w:r>
        <w:rPr>
          <w:rFonts w:ascii="Times New Roman" w:hAnsi="Times New Roman"/>
          <w:szCs w:val="22"/>
        </w:rPr>
        <w:t xml:space="preserve"> </w:t>
      </w:r>
      <w:r w:rsidRPr="00F7503D">
        <w:rPr>
          <w:rFonts w:ascii="Times New Roman" w:hAnsi="Times New Roman"/>
          <w:szCs w:val="22"/>
        </w:rPr>
        <w:t>samosprávnych</w:t>
      </w:r>
      <w:r>
        <w:rPr>
          <w:rFonts w:ascii="Times New Roman" w:hAnsi="Times New Roman"/>
          <w:szCs w:val="22"/>
        </w:rPr>
        <w:t xml:space="preserve"> </w:t>
      </w:r>
      <w:r w:rsidRPr="00F7503D">
        <w:rPr>
          <w:rFonts w:ascii="Times New Roman" w:hAnsi="Times New Roman"/>
          <w:szCs w:val="22"/>
        </w:rPr>
        <w:t>krajov,</w:t>
      </w:r>
      <w:r>
        <w:rPr>
          <w:rFonts w:ascii="Times New Roman" w:hAnsi="Times New Roman"/>
          <w:szCs w:val="22"/>
        </w:rPr>
        <w:t xml:space="preserve"> </w:t>
      </w:r>
      <w:r w:rsidRPr="00F7503D">
        <w:rPr>
          <w:rFonts w:ascii="Times New Roman" w:hAnsi="Times New Roman"/>
          <w:szCs w:val="22"/>
        </w:rPr>
        <w:t>z</w:t>
      </w:r>
      <w:r>
        <w:rPr>
          <w:rFonts w:ascii="Times New Roman" w:hAnsi="Times New Roman"/>
          <w:szCs w:val="22"/>
        </w:rPr>
        <w:t xml:space="preserve"> </w:t>
      </w:r>
      <w:r w:rsidRPr="00F7503D">
        <w:rPr>
          <w:rFonts w:ascii="Times New Roman" w:hAnsi="Times New Roman"/>
          <w:szCs w:val="22"/>
        </w:rPr>
        <w:t>úrokov</w:t>
      </w:r>
      <w:r>
        <w:rPr>
          <w:rFonts w:ascii="Times New Roman" w:hAnsi="Times New Roman"/>
          <w:szCs w:val="22"/>
        </w:rPr>
        <w:t xml:space="preserve"> </w:t>
        <w:br/>
      </w:r>
      <w:r w:rsidRPr="00F7503D">
        <w:rPr>
          <w:rFonts w:ascii="Times New Roman" w:hAnsi="Times New Roman"/>
          <w:szCs w:val="22"/>
        </w:rPr>
        <w:t>z</w:t>
      </w:r>
      <w:r>
        <w:rPr>
          <w:rFonts w:ascii="Times New Roman" w:hAnsi="Times New Roman"/>
          <w:szCs w:val="22"/>
        </w:rPr>
        <w:t xml:space="preserve"> </w:t>
      </w:r>
      <w:r w:rsidRPr="00F7503D">
        <w:rPr>
          <w:rFonts w:ascii="Times New Roman" w:hAnsi="Times New Roman"/>
          <w:szCs w:val="22"/>
        </w:rPr>
        <w:t>vlastných</w:t>
      </w:r>
      <w:r>
        <w:rPr>
          <w:rFonts w:ascii="Times New Roman" w:hAnsi="Times New Roman"/>
          <w:szCs w:val="22"/>
        </w:rPr>
        <w:t xml:space="preserve"> </w:t>
      </w:r>
      <w:r w:rsidRPr="00F7503D">
        <w:rPr>
          <w:rFonts w:ascii="Times New Roman" w:hAnsi="Times New Roman"/>
          <w:szCs w:val="22"/>
        </w:rPr>
        <w:t>prostriedkov,</w:t>
      </w:r>
      <w:r>
        <w:rPr>
          <w:rFonts w:ascii="Times New Roman" w:hAnsi="Times New Roman"/>
          <w:szCs w:val="22"/>
        </w:rPr>
        <w:t xml:space="preserve"> </w:t>
      </w:r>
      <w:r w:rsidRPr="00F7503D">
        <w:rPr>
          <w:rFonts w:ascii="Times New Roman" w:hAnsi="Times New Roman"/>
          <w:szCs w:val="22"/>
        </w:rPr>
        <w:t>z</w:t>
      </w:r>
      <w:r>
        <w:rPr>
          <w:rFonts w:ascii="Times New Roman" w:hAnsi="Times New Roman"/>
          <w:szCs w:val="22"/>
        </w:rPr>
        <w:t xml:space="preserve"> </w:t>
      </w:r>
      <w:r w:rsidRPr="00F7503D">
        <w:rPr>
          <w:rFonts w:ascii="Times New Roman" w:hAnsi="Times New Roman"/>
          <w:szCs w:val="22"/>
        </w:rPr>
        <w:t>vkladov,</w:t>
      </w:r>
      <w:r>
        <w:rPr>
          <w:rFonts w:ascii="Times New Roman" w:hAnsi="Times New Roman"/>
          <w:szCs w:val="22"/>
        </w:rPr>
        <w:t xml:space="preserve"> </w:t>
      </w:r>
      <w:r w:rsidRPr="00F7503D">
        <w:rPr>
          <w:rFonts w:ascii="Times New Roman" w:hAnsi="Times New Roman"/>
          <w:szCs w:val="22"/>
        </w:rPr>
        <w:t>z</w:t>
      </w:r>
      <w:r>
        <w:rPr>
          <w:rFonts w:ascii="Times New Roman" w:hAnsi="Times New Roman"/>
          <w:szCs w:val="22"/>
        </w:rPr>
        <w:t xml:space="preserve"> </w:t>
      </w:r>
      <w:r w:rsidRPr="00F7503D">
        <w:rPr>
          <w:rFonts w:ascii="Times New Roman" w:hAnsi="Times New Roman"/>
          <w:szCs w:val="22"/>
        </w:rPr>
        <w:t>hospodárenia</w:t>
      </w:r>
      <w:r>
        <w:rPr>
          <w:rFonts w:ascii="Times New Roman" w:hAnsi="Times New Roman"/>
          <w:szCs w:val="22"/>
        </w:rPr>
        <w:t xml:space="preserve"> </w:t>
      </w:r>
      <w:r w:rsidRPr="00F7503D">
        <w:rPr>
          <w:rFonts w:ascii="Times New Roman" w:hAnsi="Times New Roman"/>
          <w:szCs w:val="22"/>
        </w:rPr>
        <w:t>s</w:t>
      </w:r>
      <w:r>
        <w:rPr>
          <w:rFonts w:ascii="Times New Roman" w:hAnsi="Times New Roman"/>
          <w:szCs w:val="22"/>
        </w:rPr>
        <w:t xml:space="preserve"> </w:t>
      </w:r>
      <w:r w:rsidRPr="00F7503D">
        <w:rPr>
          <w:rFonts w:ascii="Times New Roman" w:hAnsi="Times New Roman"/>
          <w:szCs w:val="22"/>
        </w:rPr>
        <w:t>vlastnými</w:t>
      </w:r>
      <w:r>
        <w:rPr>
          <w:rFonts w:ascii="Times New Roman" w:hAnsi="Times New Roman"/>
          <w:szCs w:val="22"/>
        </w:rPr>
        <w:t xml:space="preserve"> </w:t>
      </w:r>
      <w:r w:rsidRPr="00F7503D">
        <w:rPr>
          <w:rFonts w:ascii="Times New Roman" w:hAnsi="Times New Roman"/>
          <w:szCs w:val="22"/>
        </w:rPr>
        <w:t>prostriedkami</w:t>
      </w:r>
      <w:r>
        <w:rPr>
          <w:rFonts w:ascii="Times New Roman" w:hAnsi="Times New Roman"/>
          <w:szCs w:val="22"/>
        </w:rPr>
        <w:t xml:space="preserve"> </w:t>
      </w:r>
      <w:r w:rsidRPr="00F7503D">
        <w:rPr>
          <w:rFonts w:ascii="Times New Roman" w:hAnsi="Times New Roman"/>
          <w:szCs w:val="22"/>
        </w:rPr>
        <w:t>sa</w:t>
      </w:r>
      <w:r>
        <w:rPr>
          <w:rFonts w:ascii="Times New Roman" w:hAnsi="Times New Roman"/>
          <w:szCs w:val="22"/>
        </w:rPr>
        <w:t xml:space="preserve"> </w:t>
      </w:r>
      <w:r w:rsidRPr="00F7503D">
        <w:rPr>
          <w:rFonts w:ascii="Times New Roman" w:hAnsi="Times New Roman"/>
          <w:szCs w:val="22"/>
        </w:rPr>
        <w:t>predpokladajú</w:t>
      </w:r>
      <w:r>
        <w:rPr>
          <w:rFonts w:ascii="Times New Roman" w:hAnsi="Times New Roman"/>
          <w:szCs w:val="22"/>
        </w:rPr>
        <w:t xml:space="preserve"> </w:t>
      </w:r>
      <w:r w:rsidRPr="00F7503D">
        <w:rPr>
          <w:rFonts w:ascii="Times New Roman" w:hAnsi="Times New Roman"/>
          <w:szCs w:val="22"/>
        </w:rPr>
        <w:t>príjmy</w:t>
      </w:r>
      <w:r>
        <w:rPr>
          <w:rFonts w:ascii="Times New Roman" w:hAnsi="Times New Roman"/>
          <w:szCs w:val="22"/>
        </w:rPr>
        <w:t xml:space="preserve"> </w:t>
      </w:r>
      <w:r w:rsidRPr="00F7503D">
        <w:rPr>
          <w:rFonts w:ascii="Times New Roman" w:hAnsi="Times New Roman"/>
          <w:szCs w:val="22"/>
        </w:rPr>
        <w:t>v</w:t>
      </w:r>
      <w:r>
        <w:rPr>
          <w:rFonts w:ascii="Times New Roman" w:hAnsi="Times New Roman"/>
          <w:szCs w:val="22"/>
        </w:rPr>
        <w:t xml:space="preserve"> </w:t>
      </w:r>
      <w:r w:rsidRPr="00F7503D">
        <w:rPr>
          <w:rFonts w:ascii="Times New Roman" w:hAnsi="Times New Roman"/>
          <w:szCs w:val="22"/>
        </w:rPr>
        <w:t>sume</w:t>
      </w:r>
      <w:r>
        <w:rPr>
          <w:rFonts w:ascii="Times New Roman" w:hAnsi="Times New Roman"/>
          <w:szCs w:val="22"/>
        </w:rPr>
        <w:t xml:space="preserve"> </w:t>
      </w:r>
      <w:r w:rsidRPr="00F7503D">
        <w:rPr>
          <w:rFonts w:ascii="Times New Roman" w:hAnsi="Times New Roman"/>
          <w:szCs w:val="22"/>
        </w:rPr>
        <w:t>8</w:t>
      </w:r>
      <w:r>
        <w:rPr>
          <w:rFonts w:ascii="Times New Roman" w:hAnsi="Times New Roman"/>
          <w:szCs w:val="22"/>
        </w:rPr>
        <w:t xml:space="preserve"> </w:t>
      </w:r>
      <w:r w:rsidRPr="00F7503D">
        <w:rPr>
          <w:rFonts w:ascii="Times New Roman" w:hAnsi="Times New Roman"/>
          <w:szCs w:val="22"/>
        </w:rPr>
        <w:t>500</w:t>
      </w:r>
      <w:r>
        <w:rPr>
          <w:rFonts w:ascii="Times New Roman" w:hAnsi="Times New Roman"/>
          <w:szCs w:val="22"/>
        </w:rPr>
        <w:t xml:space="preserve"> </w:t>
      </w:r>
      <w:r w:rsidRPr="00F7503D">
        <w:rPr>
          <w:rFonts w:ascii="Times New Roman" w:hAnsi="Times New Roman"/>
          <w:szCs w:val="22"/>
        </w:rPr>
        <w:t>tis.</w:t>
      </w:r>
      <w:r>
        <w:rPr>
          <w:rFonts w:ascii="Times New Roman" w:hAnsi="Times New Roman"/>
          <w:szCs w:val="22"/>
        </w:rPr>
        <w:t xml:space="preserve"> </w:t>
      </w:r>
      <w:r w:rsidRPr="00F7503D">
        <w:rPr>
          <w:rFonts w:ascii="Times New Roman" w:hAnsi="Times New Roman"/>
          <w:szCs w:val="22"/>
        </w:rPr>
        <w:t>eur</w:t>
      </w:r>
      <w:r>
        <w:rPr>
          <w:rFonts w:ascii="Times New Roman" w:hAnsi="Times New Roman"/>
          <w:szCs w:val="22"/>
        </w:rPr>
        <w:t xml:space="preserve"> </w:t>
      </w:r>
      <w:r w:rsidRPr="00F7503D">
        <w:rPr>
          <w:rFonts w:ascii="Times New Roman" w:hAnsi="Times New Roman"/>
          <w:szCs w:val="22"/>
        </w:rPr>
        <w:t>a</w:t>
      </w:r>
      <w:r>
        <w:rPr>
          <w:rFonts w:ascii="Times New Roman" w:hAnsi="Times New Roman"/>
          <w:szCs w:val="22"/>
        </w:rPr>
        <w:t xml:space="preserve"> </w:t>
      </w:r>
      <w:r w:rsidRPr="00F7503D">
        <w:rPr>
          <w:rFonts w:ascii="Times New Roman" w:hAnsi="Times New Roman"/>
          <w:szCs w:val="22"/>
        </w:rPr>
        <w:t>iné</w:t>
      </w:r>
      <w:r>
        <w:rPr>
          <w:rFonts w:ascii="Times New Roman" w:hAnsi="Times New Roman"/>
          <w:szCs w:val="22"/>
        </w:rPr>
        <w:t xml:space="preserve"> </w:t>
      </w:r>
      <w:r w:rsidRPr="00F7503D">
        <w:rPr>
          <w:rFonts w:ascii="Times New Roman" w:hAnsi="Times New Roman"/>
          <w:szCs w:val="22"/>
        </w:rPr>
        <w:t>nedaňové</w:t>
      </w:r>
      <w:r>
        <w:rPr>
          <w:rFonts w:ascii="Times New Roman" w:hAnsi="Times New Roman"/>
          <w:szCs w:val="22"/>
        </w:rPr>
        <w:t xml:space="preserve"> </w:t>
      </w:r>
      <w:r w:rsidRPr="00F7503D">
        <w:rPr>
          <w:rFonts w:ascii="Times New Roman" w:hAnsi="Times New Roman"/>
          <w:szCs w:val="22"/>
        </w:rPr>
        <w:t>príjmy</w:t>
      </w:r>
      <w:r>
        <w:rPr>
          <w:rFonts w:ascii="Times New Roman" w:hAnsi="Times New Roman"/>
          <w:szCs w:val="22"/>
        </w:rPr>
        <w:t xml:space="preserve"> </w:t>
      </w:r>
      <w:r w:rsidRPr="00F7503D">
        <w:rPr>
          <w:rFonts w:ascii="Times New Roman" w:hAnsi="Times New Roman"/>
          <w:szCs w:val="22"/>
        </w:rPr>
        <w:t>v</w:t>
      </w:r>
      <w:r>
        <w:rPr>
          <w:rFonts w:ascii="Times New Roman" w:hAnsi="Times New Roman"/>
          <w:szCs w:val="22"/>
        </w:rPr>
        <w:t xml:space="preserve"> </w:t>
      </w:r>
      <w:r w:rsidRPr="00F7503D">
        <w:rPr>
          <w:rFonts w:ascii="Times New Roman" w:hAnsi="Times New Roman"/>
          <w:szCs w:val="22"/>
        </w:rPr>
        <w:t>sume</w:t>
      </w:r>
      <w:r>
        <w:rPr>
          <w:rFonts w:ascii="Times New Roman" w:hAnsi="Times New Roman"/>
          <w:szCs w:val="22"/>
        </w:rPr>
        <w:t xml:space="preserve"> </w:t>
      </w:r>
      <w:r w:rsidRPr="00F7503D">
        <w:rPr>
          <w:rFonts w:ascii="Times New Roman" w:hAnsi="Times New Roman"/>
          <w:szCs w:val="22"/>
        </w:rPr>
        <w:t>26</w:t>
      </w:r>
      <w:r>
        <w:rPr>
          <w:rFonts w:ascii="Times New Roman" w:hAnsi="Times New Roman"/>
          <w:szCs w:val="22"/>
        </w:rPr>
        <w:t xml:space="preserve"> </w:t>
      </w:r>
      <w:r w:rsidRPr="00F7503D">
        <w:rPr>
          <w:rFonts w:ascii="Times New Roman" w:hAnsi="Times New Roman"/>
          <w:szCs w:val="22"/>
        </w:rPr>
        <w:t>000</w:t>
      </w:r>
      <w:r>
        <w:rPr>
          <w:rFonts w:ascii="Times New Roman" w:hAnsi="Times New Roman"/>
          <w:szCs w:val="22"/>
        </w:rPr>
        <w:t xml:space="preserve"> </w:t>
      </w:r>
      <w:r w:rsidRPr="00F7503D">
        <w:rPr>
          <w:rFonts w:ascii="Times New Roman" w:hAnsi="Times New Roman"/>
          <w:szCs w:val="22"/>
        </w:rPr>
        <w:t>tis.</w:t>
      </w:r>
      <w:r>
        <w:rPr>
          <w:rFonts w:ascii="Times New Roman" w:hAnsi="Times New Roman"/>
          <w:szCs w:val="22"/>
        </w:rPr>
        <w:t xml:space="preserve"> </w:t>
      </w:r>
      <w:r w:rsidRPr="00F7503D">
        <w:rPr>
          <w:rFonts w:ascii="Times New Roman" w:hAnsi="Times New Roman"/>
          <w:szCs w:val="22"/>
        </w:rPr>
        <w:t>eur.</w:t>
      </w:r>
      <w:r>
        <w:rPr>
          <w:rFonts w:ascii="Times New Roman" w:hAnsi="Times New Roman"/>
          <w:szCs w:val="22"/>
        </w:rPr>
        <w:t xml:space="preserve"> </w:t>
        <w:br/>
      </w:r>
      <w:r w:rsidRPr="00F7503D">
        <w:rPr>
          <w:rFonts w:ascii="Times New Roman" w:hAnsi="Times New Roman"/>
          <w:szCs w:val="22"/>
        </w:rPr>
        <w:t>Z</w:t>
      </w:r>
      <w:r>
        <w:rPr>
          <w:rFonts w:ascii="Times New Roman" w:hAnsi="Times New Roman"/>
          <w:szCs w:val="22"/>
        </w:rPr>
        <w:t xml:space="preserve"> </w:t>
      </w:r>
      <w:r w:rsidRPr="00F7503D">
        <w:rPr>
          <w:rFonts w:ascii="Times New Roman" w:hAnsi="Times New Roman"/>
          <w:szCs w:val="22"/>
        </w:rPr>
        <w:t>kapitálových</w:t>
      </w:r>
      <w:r>
        <w:rPr>
          <w:rFonts w:ascii="Times New Roman" w:hAnsi="Times New Roman"/>
          <w:szCs w:val="22"/>
        </w:rPr>
        <w:t xml:space="preserve"> </w:t>
      </w:r>
      <w:r w:rsidRPr="00F7503D">
        <w:rPr>
          <w:rFonts w:ascii="Times New Roman" w:hAnsi="Times New Roman"/>
          <w:szCs w:val="22"/>
        </w:rPr>
        <w:t>príjmov</w:t>
      </w:r>
      <w:r>
        <w:rPr>
          <w:rFonts w:ascii="Times New Roman" w:hAnsi="Times New Roman"/>
          <w:szCs w:val="22"/>
        </w:rPr>
        <w:t xml:space="preserve"> </w:t>
      </w:r>
      <w:r w:rsidRPr="00F7503D">
        <w:rPr>
          <w:rFonts w:ascii="Times New Roman" w:hAnsi="Times New Roman"/>
          <w:szCs w:val="22"/>
        </w:rPr>
        <w:t>(z</w:t>
      </w:r>
      <w:r>
        <w:rPr>
          <w:rFonts w:ascii="Times New Roman" w:hAnsi="Times New Roman"/>
          <w:szCs w:val="22"/>
        </w:rPr>
        <w:t xml:space="preserve"> </w:t>
      </w:r>
      <w:r w:rsidRPr="00F7503D">
        <w:rPr>
          <w:rFonts w:ascii="Times New Roman" w:hAnsi="Times New Roman"/>
          <w:szCs w:val="22"/>
        </w:rPr>
        <w:t>predaja</w:t>
      </w:r>
      <w:r>
        <w:rPr>
          <w:rFonts w:ascii="Times New Roman" w:hAnsi="Times New Roman"/>
          <w:szCs w:val="22"/>
        </w:rPr>
        <w:t xml:space="preserve"> </w:t>
      </w:r>
      <w:r w:rsidRPr="00F7503D">
        <w:rPr>
          <w:rFonts w:ascii="Times New Roman" w:hAnsi="Times New Roman"/>
          <w:szCs w:val="22"/>
        </w:rPr>
        <w:t>majetku)</w:t>
      </w:r>
      <w:r>
        <w:rPr>
          <w:rFonts w:ascii="Times New Roman" w:hAnsi="Times New Roman"/>
          <w:szCs w:val="22"/>
        </w:rPr>
        <w:t xml:space="preserve"> </w:t>
      </w:r>
      <w:r w:rsidRPr="00F7503D">
        <w:rPr>
          <w:rFonts w:ascii="Times New Roman" w:hAnsi="Times New Roman"/>
          <w:szCs w:val="22"/>
        </w:rPr>
        <w:t>sa</w:t>
      </w:r>
      <w:r>
        <w:rPr>
          <w:rFonts w:ascii="Times New Roman" w:hAnsi="Times New Roman"/>
          <w:szCs w:val="22"/>
        </w:rPr>
        <w:t xml:space="preserve"> </w:t>
      </w:r>
      <w:r w:rsidRPr="00F7503D">
        <w:rPr>
          <w:rFonts w:ascii="Times New Roman" w:hAnsi="Times New Roman"/>
          <w:szCs w:val="22"/>
        </w:rPr>
        <w:t>predpokladá</w:t>
      </w:r>
      <w:r>
        <w:rPr>
          <w:rFonts w:ascii="Times New Roman" w:hAnsi="Times New Roman"/>
          <w:szCs w:val="22"/>
        </w:rPr>
        <w:t xml:space="preserve"> </w:t>
      </w:r>
      <w:r w:rsidRPr="00F7503D">
        <w:rPr>
          <w:rFonts w:ascii="Times New Roman" w:hAnsi="Times New Roman"/>
          <w:szCs w:val="22"/>
        </w:rPr>
        <w:t>získať</w:t>
      </w:r>
      <w:r>
        <w:rPr>
          <w:rFonts w:ascii="Times New Roman" w:hAnsi="Times New Roman"/>
          <w:szCs w:val="22"/>
        </w:rPr>
        <w:t xml:space="preserve"> </w:t>
      </w:r>
      <w:r w:rsidRPr="00F7503D">
        <w:rPr>
          <w:rFonts w:ascii="Times New Roman" w:hAnsi="Times New Roman"/>
          <w:szCs w:val="22"/>
        </w:rPr>
        <w:t>8</w:t>
      </w:r>
      <w:r>
        <w:rPr>
          <w:rFonts w:ascii="Times New Roman" w:hAnsi="Times New Roman"/>
          <w:szCs w:val="22"/>
        </w:rPr>
        <w:t xml:space="preserve"> </w:t>
      </w:r>
      <w:r w:rsidRPr="00F7503D">
        <w:rPr>
          <w:rFonts w:ascii="Times New Roman" w:hAnsi="Times New Roman"/>
          <w:szCs w:val="22"/>
        </w:rPr>
        <w:t>000</w:t>
      </w:r>
      <w:r>
        <w:rPr>
          <w:rFonts w:ascii="Times New Roman" w:hAnsi="Times New Roman"/>
          <w:szCs w:val="22"/>
        </w:rPr>
        <w:t xml:space="preserve"> </w:t>
      </w:r>
      <w:r w:rsidRPr="00F7503D">
        <w:rPr>
          <w:rFonts w:ascii="Times New Roman" w:hAnsi="Times New Roman"/>
          <w:szCs w:val="22"/>
        </w:rPr>
        <w:t>tis.</w:t>
      </w:r>
      <w:r>
        <w:rPr>
          <w:rFonts w:ascii="Times New Roman" w:hAnsi="Times New Roman"/>
          <w:szCs w:val="22"/>
        </w:rPr>
        <w:t xml:space="preserve"> </w:t>
      </w:r>
      <w:r w:rsidRPr="00F7503D">
        <w:rPr>
          <w:rFonts w:ascii="Times New Roman" w:hAnsi="Times New Roman"/>
          <w:szCs w:val="22"/>
        </w:rPr>
        <w:t>eur.</w:t>
      </w:r>
      <w:r>
        <w:rPr>
          <w:rFonts w:ascii="Times New Roman" w:hAnsi="Times New Roman"/>
          <w:szCs w:val="22"/>
        </w:rPr>
        <w:t xml:space="preserve">   </w:t>
      </w:r>
    </w:p>
    <w:p w:rsidR="005E21C8" w:rsidP="002E4E0E">
      <w:pPr>
        <w:bidi w:val="0"/>
        <w:jc w:val="both"/>
        <w:rPr>
          <w:rFonts w:ascii="Times New Roman" w:hAnsi="Times New Roman"/>
          <w:szCs w:val="22"/>
          <w:highlight w:val="yellow"/>
        </w:rPr>
      </w:pPr>
    </w:p>
    <w:p w:rsidR="005E21C8" w:rsidRPr="00F7503D" w:rsidP="005E21C8">
      <w:pPr>
        <w:bidi w:val="0"/>
        <w:ind w:firstLine="709"/>
        <w:jc w:val="both"/>
        <w:rPr>
          <w:rFonts w:ascii="Times New Roman" w:hAnsi="Times New Roman"/>
          <w:szCs w:val="22"/>
        </w:rPr>
      </w:pPr>
      <w:r w:rsidRPr="00F7503D">
        <w:rPr>
          <w:rFonts w:ascii="Times New Roman" w:hAnsi="Times New Roman"/>
          <w:szCs w:val="22"/>
        </w:rPr>
        <w:t>Transfery</w:t>
      </w:r>
      <w:r>
        <w:rPr>
          <w:rFonts w:ascii="Times New Roman" w:hAnsi="Times New Roman"/>
          <w:szCs w:val="22"/>
        </w:rPr>
        <w:t xml:space="preserve"> </w:t>
      </w:r>
      <w:r w:rsidRPr="00F7503D">
        <w:rPr>
          <w:rFonts w:ascii="Times New Roman" w:hAnsi="Times New Roman"/>
          <w:szCs w:val="22"/>
        </w:rPr>
        <w:t>zo</w:t>
      </w:r>
      <w:r>
        <w:rPr>
          <w:rFonts w:ascii="Times New Roman" w:hAnsi="Times New Roman"/>
          <w:szCs w:val="22"/>
        </w:rPr>
        <w:t xml:space="preserve"> </w:t>
      </w:r>
      <w:r w:rsidRPr="00F7503D">
        <w:rPr>
          <w:rFonts w:ascii="Times New Roman" w:hAnsi="Times New Roman"/>
          <w:szCs w:val="22"/>
        </w:rPr>
        <w:t>štátneho</w:t>
      </w:r>
      <w:r>
        <w:rPr>
          <w:rFonts w:ascii="Times New Roman" w:hAnsi="Times New Roman"/>
          <w:szCs w:val="22"/>
        </w:rPr>
        <w:t xml:space="preserve"> </w:t>
      </w:r>
      <w:r w:rsidRPr="00F7503D">
        <w:rPr>
          <w:rFonts w:ascii="Times New Roman" w:hAnsi="Times New Roman"/>
          <w:szCs w:val="22"/>
        </w:rPr>
        <w:t>rozpočtu</w:t>
      </w:r>
      <w:r>
        <w:rPr>
          <w:rFonts w:ascii="Times New Roman" w:hAnsi="Times New Roman"/>
          <w:szCs w:val="22"/>
        </w:rPr>
        <w:t xml:space="preserve"> </w:t>
      </w:r>
      <w:r w:rsidRPr="00F7503D">
        <w:rPr>
          <w:rFonts w:ascii="Times New Roman" w:hAnsi="Times New Roman"/>
          <w:szCs w:val="22"/>
        </w:rPr>
        <w:t>do</w:t>
      </w:r>
      <w:r>
        <w:rPr>
          <w:rFonts w:ascii="Times New Roman" w:hAnsi="Times New Roman"/>
          <w:szCs w:val="22"/>
        </w:rPr>
        <w:t xml:space="preserve"> </w:t>
      </w:r>
      <w:r w:rsidRPr="00F7503D">
        <w:rPr>
          <w:rFonts w:ascii="Times New Roman" w:hAnsi="Times New Roman"/>
          <w:szCs w:val="22"/>
        </w:rPr>
        <w:t>rozpočtov</w:t>
      </w:r>
      <w:r>
        <w:rPr>
          <w:rFonts w:ascii="Times New Roman" w:hAnsi="Times New Roman"/>
          <w:szCs w:val="22"/>
        </w:rPr>
        <w:t xml:space="preserve"> </w:t>
      </w:r>
      <w:r w:rsidRPr="00F7503D">
        <w:rPr>
          <w:rFonts w:ascii="Times New Roman" w:hAnsi="Times New Roman"/>
          <w:szCs w:val="22"/>
        </w:rPr>
        <w:t>VÚC</w:t>
      </w:r>
      <w:r>
        <w:rPr>
          <w:rFonts w:ascii="Times New Roman" w:hAnsi="Times New Roman"/>
          <w:szCs w:val="22"/>
        </w:rPr>
        <w:t xml:space="preserve"> </w:t>
      </w:r>
      <w:r w:rsidRPr="00F7503D">
        <w:rPr>
          <w:rFonts w:ascii="Times New Roman" w:hAnsi="Times New Roman"/>
          <w:szCs w:val="22"/>
        </w:rPr>
        <w:t>sa</w:t>
      </w:r>
      <w:r>
        <w:rPr>
          <w:rFonts w:ascii="Times New Roman" w:hAnsi="Times New Roman"/>
          <w:szCs w:val="22"/>
        </w:rPr>
        <w:t xml:space="preserve"> </w:t>
      </w:r>
      <w:r w:rsidRPr="00F7503D">
        <w:rPr>
          <w:rFonts w:ascii="Times New Roman" w:hAnsi="Times New Roman"/>
          <w:szCs w:val="22"/>
        </w:rPr>
        <w:t>očakávajú</w:t>
      </w:r>
      <w:r>
        <w:rPr>
          <w:rFonts w:ascii="Times New Roman" w:hAnsi="Times New Roman"/>
          <w:szCs w:val="22"/>
        </w:rPr>
        <w:t xml:space="preserve"> </w:t>
      </w:r>
      <w:r w:rsidRPr="00F7503D">
        <w:rPr>
          <w:rFonts w:ascii="Times New Roman" w:hAnsi="Times New Roman"/>
          <w:szCs w:val="22"/>
        </w:rPr>
        <w:t>z</w:t>
      </w:r>
      <w:r>
        <w:rPr>
          <w:rFonts w:ascii="Times New Roman" w:hAnsi="Times New Roman"/>
          <w:szCs w:val="22"/>
        </w:rPr>
        <w:t xml:space="preserve"> </w:t>
      </w:r>
      <w:r w:rsidRPr="00F7503D">
        <w:rPr>
          <w:rFonts w:ascii="Times New Roman" w:hAnsi="Times New Roman"/>
          <w:szCs w:val="22"/>
        </w:rPr>
        <w:t>kapitoly:</w:t>
      </w:r>
    </w:p>
    <w:p w:rsidR="005E21C8" w:rsidRPr="00135F7D" w:rsidP="005E21C8">
      <w:pPr>
        <w:bidi w:val="0"/>
        <w:ind w:firstLine="708"/>
        <w:jc w:val="both"/>
        <w:rPr>
          <w:rFonts w:ascii="Times New Roman" w:hAnsi="Times New Roman"/>
          <w:sz w:val="16"/>
          <w:szCs w:val="16"/>
          <w:highlight w:val="yellow"/>
        </w:rPr>
      </w:pPr>
    </w:p>
    <w:p w:rsidR="005E21C8" w:rsidRPr="00F7503D" w:rsidP="005E21C8">
      <w:pPr>
        <w:pStyle w:val="ListParagraph"/>
        <w:numPr>
          <w:numId w:val="3"/>
        </w:numPr>
        <w:bidi w:val="0"/>
        <w:jc w:val="both"/>
        <w:rPr>
          <w:rFonts w:ascii="Times New Roman" w:hAnsi="Times New Roman"/>
          <w:sz w:val="24"/>
          <w:szCs w:val="24"/>
        </w:rPr>
      </w:pPr>
      <w:r w:rsidRPr="00F7503D">
        <w:rPr>
          <w:rFonts w:ascii="Times New Roman" w:hAnsi="Times New Roman"/>
          <w:sz w:val="24"/>
          <w:szCs w:val="24"/>
          <w:u w:val="single"/>
        </w:rPr>
        <w:t>Ministerstva</w:t>
      </w:r>
      <w:r>
        <w:rPr>
          <w:rFonts w:ascii="Times New Roman" w:hAnsi="Times New Roman"/>
          <w:sz w:val="24"/>
          <w:szCs w:val="24"/>
          <w:u w:val="single"/>
        </w:rPr>
        <w:t xml:space="preserve"> </w:t>
      </w:r>
      <w:r w:rsidRPr="00F7503D">
        <w:rPr>
          <w:rFonts w:ascii="Times New Roman" w:hAnsi="Times New Roman"/>
          <w:sz w:val="24"/>
          <w:szCs w:val="24"/>
          <w:u w:val="single"/>
        </w:rPr>
        <w:t>školstva,</w:t>
      </w:r>
      <w:r>
        <w:rPr>
          <w:rFonts w:ascii="Times New Roman" w:hAnsi="Times New Roman"/>
          <w:sz w:val="24"/>
          <w:szCs w:val="24"/>
          <w:u w:val="single"/>
        </w:rPr>
        <w:t xml:space="preserve"> </w:t>
      </w:r>
      <w:r w:rsidRPr="00F7503D">
        <w:rPr>
          <w:rFonts w:ascii="Times New Roman" w:hAnsi="Times New Roman"/>
          <w:sz w:val="24"/>
          <w:szCs w:val="24"/>
          <w:u w:val="single"/>
        </w:rPr>
        <w:t>vedy,</w:t>
      </w:r>
      <w:r>
        <w:rPr>
          <w:rFonts w:ascii="Times New Roman" w:hAnsi="Times New Roman"/>
          <w:sz w:val="24"/>
          <w:szCs w:val="24"/>
          <w:u w:val="single"/>
        </w:rPr>
        <w:t xml:space="preserve"> </w:t>
      </w:r>
      <w:r w:rsidRPr="00F7503D">
        <w:rPr>
          <w:rFonts w:ascii="Times New Roman" w:hAnsi="Times New Roman"/>
          <w:sz w:val="24"/>
          <w:szCs w:val="24"/>
          <w:u w:val="single"/>
        </w:rPr>
        <w:t>výskumu</w:t>
      </w:r>
      <w:r>
        <w:rPr>
          <w:rFonts w:ascii="Times New Roman" w:hAnsi="Times New Roman"/>
          <w:sz w:val="24"/>
          <w:szCs w:val="24"/>
          <w:u w:val="single"/>
        </w:rPr>
        <w:t xml:space="preserve"> </w:t>
      </w:r>
      <w:r w:rsidRPr="00F7503D">
        <w:rPr>
          <w:rFonts w:ascii="Times New Roman" w:hAnsi="Times New Roman"/>
          <w:sz w:val="24"/>
          <w:szCs w:val="24"/>
          <w:u w:val="single"/>
        </w:rPr>
        <w:t>a</w:t>
      </w:r>
      <w:r>
        <w:rPr>
          <w:rFonts w:ascii="Times New Roman" w:hAnsi="Times New Roman"/>
          <w:sz w:val="24"/>
          <w:szCs w:val="24"/>
          <w:u w:val="single"/>
        </w:rPr>
        <w:t xml:space="preserve"> </w:t>
      </w:r>
      <w:r w:rsidRPr="00F7503D">
        <w:rPr>
          <w:rFonts w:ascii="Times New Roman" w:hAnsi="Times New Roman"/>
          <w:sz w:val="24"/>
          <w:szCs w:val="24"/>
          <w:u w:val="single"/>
        </w:rPr>
        <w:t>športu</w:t>
      </w:r>
      <w:r>
        <w:rPr>
          <w:rFonts w:ascii="Times New Roman" w:hAnsi="Times New Roman"/>
          <w:sz w:val="24"/>
          <w:szCs w:val="24"/>
          <w:u w:val="single"/>
        </w:rPr>
        <w:t xml:space="preserve"> </w:t>
      </w:r>
      <w:r w:rsidRPr="00F7503D">
        <w:rPr>
          <w:rFonts w:ascii="Times New Roman" w:hAnsi="Times New Roman"/>
          <w:sz w:val="24"/>
          <w:szCs w:val="24"/>
          <w:u w:val="single"/>
        </w:rPr>
        <w:t>SR</w:t>
      </w:r>
      <w:r>
        <w:rPr>
          <w:rFonts w:ascii="Times New Roman" w:hAnsi="Times New Roman"/>
          <w:sz w:val="24"/>
          <w:szCs w:val="24"/>
          <w:u w:val="single"/>
        </w:rPr>
        <w:t xml:space="preserve"> </w:t>
      </w:r>
      <w:r w:rsidRPr="00F7503D">
        <w:rPr>
          <w:rFonts w:ascii="Times New Roman" w:hAnsi="Times New Roman"/>
          <w:sz w:val="24"/>
          <w:szCs w:val="24"/>
        </w:rPr>
        <w:t>v</w:t>
      </w:r>
      <w:r>
        <w:rPr>
          <w:rFonts w:ascii="Times New Roman" w:hAnsi="Times New Roman"/>
          <w:sz w:val="24"/>
          <w:szCs w:val="24"/>
        </w:rPr>
        <w:t xml:space="preserve"> </w:t>
      </w:r>
      <w:r w:rsidRPr="00F7503D">
        <w:rPr>
          <w:rFonts w:ascii="Times New Roman" w:hAnsi="Times New Roman"/>
          <w:sz w:val="24"/>
          <w:szCs w:val="24"/>
        </w:rPr>
        <w:t>sume</w:t>
      </w:r>
      <w:r>
        <w:rPr>
          <w:rFonts w:ascii="Times New Roman" w:hAnsi="Times New Roman"/>
          <w:sz w:val="24"/>
          <w:szCs w:val="24"/>
        </w:rPr>
        <w:t xml:space="preserve"> </w:t>
      </w:r>
      <w:r w:rsidRPr="00F7503D">
        <w:rPr>
          <w:rFonts w:ascii="Times New Roman" w:hAnsi="Times New Roman"/>
          <w:sz w:val="24"/>
          <w:szCs w:val="24"/>
        </w:rPr>
        <w:t>434</w:t>
      </w:r>
      <w:r>
        <w:rPr>
          <w:rFonts w:ascii="Times New Roman" w:hAnsi="Times New Roman"/>
          <w:sz w:val="24"/>
          <w:szCs w:val="24"/>
        </w:rPr>
        <w:t xml:space="preserve"> </w:t>
      </w:r>
      <w:r w:rsidRPr="00F7503D">
        <w:rPr>
          <w:rFonts w:ascii="Times New Roman" w:hAnsi="Times New Roman"/>
          <w:sz w:val="24"/>
          <w:szCs w:val="24"/>
        </w:rPr>
        <w:t>581</w:t>
      </w:r>
      <w:r>
        <w:rPr>
          <w:rFonts w:ascii="Times New Roman" w:hAnsi="Times New Roman"/>
          <w:sz w:val="24"/>
          <w:szCs w:val="24"/>
        </w:rPr>
        <w:t xml:space="preserve"> </w:t>
      </w:r>
      <w:r w:rsidRPr="00F7503D">
        <w:rPr>
          <w:rFonts w:ascii="Times New Roman" w:hAnsi="Times New Roman"/>
          <w:sz w:val="24"/>
          <w:szCs w:val="24"/>
        </w:rPr>
        <w:t>tis.</w:t>
      </w:r>
      <w:r>
        <w:rPr>
          <w:rFonts w:ascii="Times New Roman" w:hAnsi="Times New Roman"/>
          <w:sz w:val="24"/>
          <w:szCs w:val="24"/>
        </w:rPr>
        <w:t xml:space="preserve"> </w:t>
      </w:r>
      <w:r w:rsidRPr="00F7503D">
        <w:rPr>
          <w:rFonts w:ascii="Times New Roman" w:hAnsi="Times New Roman"/>
          <w:sz w:val="24"/>
          <w:szCs w:val="24"/>
        </w:rPr>
        <w:t>eur,</w:t>
      </w:r>
      <w:r>
        <w:rPr>
          <w:rFonts w:ascii="Times New Roman" w:hAnsi="Times New Roman"/>
          <w:sz w:val="24"/>
          <w:szCs w:val="24"/>
        </w:rPr>
        <w:t xml:space="preserve"> </w:t>
      </w:r>
      <w:r w:rsidRPr="00F7503D">
        <w:rPr>
          <w:rFonts w:ascii="Times New Roman" w:hAnsi="Times New Roman"/>
          <w:sz w:val="24"/>
          <w:szCs w:val="24"/>
        </w:rPr>
        <w:t>z</w:t>
      </w:r>
      <w:r>
        <w:rPr>
          <w:rFonts w:ascii="Times New Roman" w:hAnsi="Times New Roman"/>
          <w:sz w:val="24"/>
          <w:szCs w:val="24"/>
        </w:rPr>
        <w:t xml:space="preserve"> </w:t>
      </w:r>
      <w:r w:rsidRPr="00F7503D">
        <w:rPr>
          <w:rFonts w:ascii="Times New Roman" w:hAnsi="Times New Roman"/>
          <w:sz w:val="24"/>
          <w:szCs w:val="24"/>
        </w:rPr>
        <w:t>toho</w:t>
      </w:r>
      <w:r>
        <w:rPr>
          <w:rFonts w:ascii="Times New Roman" w:hAnsi="Times New Roman"/>
          <w:sz w:val="24"/>
          <w:szCs w:val="24"/>
        </w:rPr>
        <w:t xml:space="preserve"> </w:t>
      </w:r>
      <w:r w:rsidRPr="00F7503D">
        <w:rPr>
          <w:rFonts w:ascii="Times New Roman" w:hAnsi="Times New Roman"/>
          <w:sz w:val="24"/>
          <w:szCs w:val="24"/>
        </w:rPr>
        <w:t>na</w:t>
      </w:r>
      <w:r>
        <w:rPr>
          <w:rFonts w:ascii="Times New Roman" w:hAnsi="Times New Roman"/>
          <w:sz w:val="24"/>
          <w:szCs w:val="24"/>
        </w:rPr>
        <w:t xml:space="preserve"> </w:t>
      </w:r>
      <w:r w:rsidRPr="00F7503D">
        <w:rPr>
          <w:rFonts w:ascii="Times New Roman" w:hAnsi="Times New Roman"/>
          <w:sz w:val="24"/>
          <w:szCs w:val="24"/>
        </w:rPr>
        <w:t>financovanie</w:t>
      </w:r>
      <w:r>
        <w:rPr>
          <w:rFonts w:ascii="Times New Roman" w:hAnsi="Times New Roman"/>
          <w:sz w:val="24"/>
          <w:szCs w:val="24"/>
        </w:rPr>
        <w:t xml:space="preserve"> </w:t>
      </w:r>
      <w:r w:rsidRPr="00F7503D">
        <w:rPr>
          <w:rFonts w:ascii="Times New Roman" w:hAnsi="Times New Roman"/>
          <w:sz w:val="24"/>
          <w:szCs w:val="24"/>
        </w:rPr>
        <w:t>preneseného</w:t>
      </w:r>
      <w:r>
        <w:rPr>
          <w:rFonts w:ascii="Times New Roman" w:hAnsi="Times New Roman"/>
          <w:sz w:val="24"/>
          <w:szCs w:val="24"/>
        </w:rPr>
        <w:t xml:space="preserve"> </w:t>
      </w:r>
      <w:r w:rsidRPr="00F7503D">
        <w:rPr>
          <w:rFonts w:ascii="Times New Roman" w:hAnsi="Times New Roman"/>
          <w:sz w:val="24"/>
          <w:szCs w:val="24"/>
        </w:rPr>
        <w:t>výkonu</w:t>
      </w:r>
      <w:r>
        <w:rPr>
          <w:rFonts w:ascii="Times New Roman" w:hAnsi="Times New Roman"/>
          <w:sz w:val="24"/>
          <w:szCs w:val="24"/>
        </w:rPr>
        <w:t xml:space="preserve"> </w:t>
      </w:r>
      <w:r w:rsidRPr="00F7503D">
        <w:rPr>
          <w:rFonts w:ascii="Times New Roman" w:hAnsi="Times New Roman"/>
          <w:sz w:val="24"/>
          <w:szCs w:val="24"/>
        </w:rPr>
        <w:t>štátnej</w:t>
      </w:r>
      <w:r>
        <w:rPr>
          <w:rFonts w:ascii="Times New Roman" w:hAnsi="Times New Roman"/>
          <w:sz w:val="24"/>
          <w:szCs w:val="24"/>
        </w:rPr>
        <w:t xml:space="preserve"> </w:t>
      </w:r>
      <w:r w:rsidRPr="00F7503D">
        <w:rPr>
          <w:rFonts w:ascii="Times New Roman" w:hAnsi="Times New Roman"/>
          <w:sz w:val="24"/>
          <w:szCs w:val="24"/>
        </w:rPr>
        <w:t>správy</w:t>
      </w:r>
      <w:r>
        <w:rPr>
          <w:rFonts w:ascii="Times New Roman" w:hAnsi="Times New Roman"/>
          <w:sz w:val="24"/>
          <w:szCs w:val="24"/>
        </w:rPr>
        <w:t xml:space="preserve"> </w:t>
      </w:r>
      <w:r w:rsidRPr="00F7503D">
        <w:rPr>
          <w:rFonts w:ascii="Times New Roman" w:hAnsi="Times New Roman"/>
          <w:sz w:val="24"/>
          <w:szCs w:val="24"/>
        </w:rPr>
        <w:t>na</w:t>
      </w:r>
      <w:r>
        <w:rPr>
          <w:rFonts w:ascii="Times New Roman" w:hAnsi="Times New Roman"/>
          <w:sz w:val="24"/>
          <w:szCs w:val="24"/>
        </w:rPr>
        <w:t xml:space="preserve"> </w:t>
      </w:r>
      <w:r w:rsidRPr="00F7503D">
        <w:rPr>
          <w:rFonts w:ascii="Times New Roman" w:hAnsi="Times New Roman"/>
          <w:sz w:val="24"/>
          <w:szCs w:val="24"/>
        </w:rPr>
        <w:t>úseku</w:t>
      </w:r>
      <w:r>
        <w:rPr>
          <w:rFonts w:ascii="Times New Roman" w:hAnsi="Times New Roman"/>
          <w:sz w:val="24"/>
          <w:szCs w:val="24"/>
        </w:rPr>
        <w:t xml:space="preserve"> </w:t>
      </w:r>
      <w:r w:rsidRPr="00F7503D">
        <w:rPr>
          <w:rFonts w:ascii="Times New Roman" w:hAnsi="Times New Roman"/>
          <w:sz w:val="24"/>
          <w:szCs w:val="24"/>
        </w:rPr>
        <w:t>stredných</w:t>
      </w:r>
      <w:r>
        <w:rPr>
          <w:rFonts w:ascii="Times New Roman" w:hAnsi="Times New Roman"/>
          <w:sz w:val="24"/>
          <w:szCs w:val="24"/>
        </w:rPr>
        <w:t xml:space="preserve"> </w:t>
      </w:r>
      <w:r w:rsidRPr="00F7503D">
        <w:rPr>
          <w:rFonts w:ascii="Times New Roman" w:hAnsi="Times New Roman"/>
          <w:sz w:val="24"/>
          <w:szCs w:val="24"/>
        </w:rPr>
        <w:t>škôl,</w:t>
      </w:r>
      <w:r>
        <w:rPr>
          <w:rFonts w:ascii="Times New Roman" w:hAnsi="Times New Roman"/>
          <w:sz w:val="24"/>
          <w:szCs w:val="24"/>
        </w:rPr>
        <w:t xml:space="preserve"> </w:t>
      </w:r>
      <w:r w:rsidRPr="00F7503D">
        <w:rPr>
          <w:rFonts w:ascii="Times New Roman" w:hAnsi="Times New Roman"/>
          <w:sz w:val="24"/>
          <w:szCs w:val="24"/>
        </w:rPr>
        <w:t>ku</w:t>
      </w:r>
      <w:r>
        <w:rPr>
          <w:rFonts w:ascii="Times New Roman" w:hAnsi="Times New Roman"/>
          <w:sz w:val="24"/>
          <w:szCs w:val="24"/>
        </w:rPr>
        <w:t xml:space="preserve"> </w:t>
      </w:r>
      <w:r w:rsidRPr="00F7503D">
        <w:rPr>
          <w:rFonts w:ascii="Times New Roman" w:hAnsi="Times New Roman"/>
          <w:sz w:val="24"/>
          <w:szCs w:val="24"/>
        </w:rPr>
        <w:t>ktorým</w:t>
      </w:r>
      <w:r>
        <w:rPr>
          <w:rFonts w:ascii="Times New Roman" w:hAnsi="Times New Roman"/>
          <w:sz w:val="24"/>
          <w:szCs w:val="24"/>
        </w:rPr>
        <w:t xml:space="preserve"> </w:t>
      </w:r>
      <w:r w:rsidRPr="00F7503D">
        <w:rPr>
          <w:rFonts w:ascii="Times New Roman" w:hAnsi="Times New Roman"/>
          <w:sz w:val="24"/>
          <w:szCs w:val="24"/>
        </w:rPr>
        <w:t>zriaďovateľskú</w:t>
      </w:r>
      <w:r>
        <w:rPr>
          <w:rFonts w:ascii="Times New Roman" w:hAnsi="Times New Roman"/>
          <w:sz w:val="24"/>
          <w:szCs w:val="24"/>
        </w:rPr>
        <w:t xml:space="preserve"> </w:t>
      </w:r>
      <w:r w:rsidRPr="00F7503D">
        <w:rPr>
          <w:rFonts w:ascii="Times New Roman" w:hAnsi="Times New Roman"/>
          <w:sz w:val="24"/>
          <w:szCs w:val="24"/>
        </w:rPr>
        <w:t>funkciu</w:t>
      </w:r>
      <w:r>
        <w:rPr>
          <w:rFonts w:ascii="Times New Roman" w:hAnsi="Times New Roman"/>
          <w:sz w:val="24"/>
          <w:szCs w:val="24"/>
        </w:rPr>
        <w:t xml:space="preserve"> </w:t>
      </w:r>
      <w:r w:rsidRPr="00F7503D">
        <w:rPr>
          <w:rFonts w:ascii="Times New Roman" w:hAnsi="Times New Roman"/>
          <w:sz w:val="24"/>
          <w:szCs w:val="24"/>
        </w:rPr>
        <w:t>plnia</w:t>
      </w:r>
      <w:r>
        <w:rPr>
          <w:rFonts w:ascii="Times New Roman" w:hAnsi="Times New Roman"/>
          <w:sz w:val="24"/>
          <w:szCs w:val="24"/>
        </w:rPr>
        <w:t xml:space="preserve"> </w:t>
      </w:r>
      <w:r w:rsidRPr="00F7503D">
        <w:rPr>
          <w:rFonts w:ascii="Times New Roman" w:hAnsi="Times New Roman"/>
          <w:sz w:val="24"/>
          <w:szCs w:val="24"/>
        </w:rPr>
        <w:t>VÚC</w:t>
      </w:r>
      <w:r w:rsidR="0060040C">
        <w:rPr>
          <w:rFonts w:ascii="Times New Roman" w:hAnsi="Times New Roman"/>
          <w:sz w:val="24"/>
          <w:szCs w:val="24"/>
        </w:rPr>
        <w:t>,</w:t>
      </w:r>
      <w:r>
        <w:rPr>
          <w:rFonts w:ascii="Times New Roman" w:hAnsi="Times New Roman"/>
          <w:sz w:val="24"/>
          <w:szCs w:val="24"/>
        </w:rPr>
        <w:t xml:space="preserve"> </w:t>
      </w:r>
      <w:r w:rsidRPr="00F7503D">
        <w:rPr>
          <w:rFonts w:ascii="Times New Roman" w:hAnsi="Times New Roman"/>
          <w:sz w:val="24"/>
          <w:szCs w:val="24"/>
        </w:rPr>
        <w:t>v</w:t>
      </w:r>
      <w:r>
        <w:rPr>
          <w:rFonts w:ascii="Times New Roman" w:hAnsi="Times New Roman"/>
          <w:sz w:val="24"/>
          <w:szCs w:val="24"/>
        </w:rPr>
        <w:t xml:space="preserve"> </w:t>
      </w:r>
      <w:r w:rsidRPr="00F7503D">
        <w:rPr>
          <w:rFonts w:ascii="Times New Roman" w:hAnsi="Times New Roman"/>
          <w:sz w:val="24"/>
          <w:szCs w:val="24"/>
        </w:rPr>
        <w:t>sume</w:t>
      </w:r>
      <w:r>
        <w:rPr>
          <w:rFonts w:ascii="Times New Roman" w:hAnsi="Times New Roman"/>
          <w:sz w:val="24"/>
          <w:szCs w:val="24"/>
        </w:rPr>
        <w:t xml:space="preserve"> </w:t>
      </w:r>
      <w:r w:rsidRPr="00F7503D">
        <w:rPr>
          <w:rFonts w:ascii="Times New Roman" w:hAnsi="Times New Roman"/>
          <w:sz w:val="24"/>
          <w:szCs w:val="24"/>
        </w:rPr>
        <w:t>432</w:t>
      </w:r>
      <w:r>
        <w:rPr>
          <w:rFonts w:ascii="Times New Roman" w:hAnsi="Times New Roman"/>
          <w:sz w:val="24"/>
          <w:szCs w:val="24"/>
        </w:rPr>
        <w:t xml:space="preserve"> </w:t>
      </w:r>
      <w:r w:rsidRPr="00F7503D">
        <w:rPr>
          <w:rFonts w:ascii="Times New Roman" w:hAnsi="Times New Roman"/>
          <w:sz w:val="24"/>
          <w:szCs w:val="24"/>
        </w:rPr>
        <w:t>882</w:t>
      </w:r>
      <w:r>
        <w:rPr>
          <w:rFonts w:ascii="Times New Roman" w:hAnsi="Times New Roman"/>
          <w:sz w:val="24"/>
          <w:szCs w:val="24"/>
        </w:rPr>
        <w:t xml:space="preserve"> </w:t>
      </w:r>
      <w:r w:rsidRPr="00F7503D">
        <w:rPr>
          <w:rFonts w:ascii="Times New Roman" w:hAnsi="Times New Roman"/>
          <w:sz w:val="24"/>
          <w:szCs w:val="24"/>
        </w:rPr>
        <w:t>tis.</w:t>
      </w:r>
      <w:r>
        <w:rPr>
          <w:rFonts w:ascii="Times New Roman" w:hAnsi="Times New Roman"/>
          <w:sz w:val="24"/>
          <w:szCs w:val="24"/>
        </w:rPr>
        <w:t xml:space="preserve"> </w:t>
      </w:r>
      <w:r w:rsidRPr="00F7503D">
        <w:rPr>
          <w:rFonts w:ascii="Times New Roman" w:hAnsi="Times New Roman"/>
          <w:sz w:val="24"/>
          <w:szCs w:val="24"/>
        </w:rPr>
        <w:t>eur,</w:t>
      </w:r>
      <w:r>
        <w:rPr>
          <w:rFonts w:ascii="Times New Roman" w:hAnsi="Times New Roman"/>
          <w:sz w:val="24"/>
          <w:szCs w:val="24"/>
        </w:rPr>
        <w:t xml:space="preserve"> </w:t>
      </w:r>
      <w:r w:rsidRPr="00F7503D">
        <w:rPr>
          <w:rFonts w:ascii="Times New Roman" w:hAnsi="Times New Roman"/>
          <w:sz w:val="24"/>
          <w:szCs w:val="24"/>
        </w:rPr>
        <w:t>na</w:t>
      </w:r>
      <w:r>
        <w:rPr>
          <w:rFonts w:ascii="Times New Roman" w:hAnsi="Times New Roman"/>
          <w:sz w:val="24"/>
          <w:szCs w:val="24"/>
        </w:rPr>
        <w:t xml:space="preserve"> </w:t>
      </w:r>
      <w:r w:rsidRPr="00F7503D">
        <w:rPr>
          <w:rFonts w:ascii="Times New Roman" w:hAnsi="Times New Roman"/>
          <w:sz w:val="24"/>
          <w:szCs w:val="24"/>
        </w:rPr>
        <w:t>financovanie</w:t>
      </w:r>
      <w:r>
        <w:rPr>
          <w:rFonts w:ascii="Times New Roman" w:hAnsi="Times New Roman"/>
          <w:sz w:val="24"/>
          <w:szCs w:val="24"/>
        </w:rPr>
        <w:t xml:space="preserve"> </w:t>
      </w:r>
      <w:r w:rsidRPr="00F7503D">
        <w:rPr>
          <w:rFonts w:ascii="Times New Roman" w:hAnsi="Times New Roman"/>
          <w:sz w:val="24"/>
          <w:szCs w:val="24"/>
        </w:rPr>
        <w:t>aktivít</w:t>
      </w:r>
      <w:r>
        <w:rPr>
          <w:rFonts w:ascii="Times New Roman" w:hAnsi="Times New Roman"/>
          <w:sz w:val="24"/>
          <w:szCs w:val="24"/>
        </w:rPr>
        <w:t xml:space="preserve"> regionálneho školstva </w:t>
      </w:r>
      <w:r w:rsidRPr="00F7503D">
        <w:rPr>
          <w:rFonts w:ascii="Times New Roman" w:hAnsi="Times New Roman"/>
          <w:sz w:val="24"/>
          <w:szCs w:val="24"/>
        </w:rPr>
        <w:t>v</w:t>
      </w:r>
      <w:r>
        <w:rPr>
          <w:rFonts w:ascii="Times New Roman" w:hAnsi="Times New Roman"/>
          <w:sz w:val="24"/>
          <w:szCs w:val="24"/>
        </w:rPr>
        <w:t xml:space="preserve"> </w:t>
      </w:r>
      <w:r w:rsidRPr="00F7503D">
        <w:rPr>
          <w:rFonts w:ascii="Times New Roman" w:hAnsi="Times New Roman"/>
          <w:sz w:val="24"/>
          <w:szCs w:val="24"/>
        </w:rPr>
        <w:t>sume</w:t>
      </w:r>
      <w:r>
        <w:rPr>
          <w:rFonts w:ascii="Times New Roman" w:hAnsi="Times New Roman"/>
          <w:sz w:val="24"/>
          <w:szCs w:val="24"/>
        </w:rPr>
        <w:t xml:space="preserve"> </w:t>
      </w:r>
      <w:r w:rsidRPr="00F7503D">
        <w:rPr>
          <w:rFonts w:ascii="Times New Roman" w:hAnsi="Times New Roman"/>
          <w:sz w:val="24"/>
          <w:szCs w:val="24"/>
        </w:rPr>
        <w:t>199</w:t>
      </w:r>
      <w:r>
        <w:rPr>
          <w:rFonts w:ascii="Times New Roman" w:hAnsi="Times New Roman"/>
          <w:sz w:val="24"/>
          <w:szCs w:val="24"/>
        </w:rPr>
        <w:t xml:space="preserve"> </w:t>
      </w:r>
      <w:r w:rsidRPr="00F7503D">
        <w:rPr>
          <w:rFonts w:ascii="Times New Roman" w:hAnsi="Times New Roman"/>
          <w:sz w:val="24"/>
          <w:szCs w:val="24"/>
        </w:rPr>
        <w:t>tis.</w:t>
      </w:r>
      <w:r>
        <w:rPr>
          <w:rFonts w:ascii="Times New Roman" w:hAnsi="Times New Roman"/>
          <w:sz w:val="24"/>
          <w:szCs w:val="24"/>
        </w:rPr>
        <w:t xml:space="preserve"> </w:t>
      </w:r>
      <w:r w:rsidRPr="00F7503D">
        <w:rPr>
          <w:rFonts w:ascii="Times New Roman" w:hAnsi="Times New Roman"/>
          <w:sz w:val="24"/>
          <w:szCs w:val="24"/>
        </w:rPr>
        <w:t>eur</w:t>
      </w:r>
      <w:r>
        <w:rPr>
          <w:rFonts w:ascii="Times New Roman" w:hAnsi="Times New Roman"/>
          <w:sz w:val="24"/>
          <w:szCs w:val="24"/>
        </w:rPr>
        <w:t xml:space="preserve"> </w:t>
      </w:r>
      <w:r w:rsidRPr="00F7503D">
        <w:rPr>
          <w:rFonts w:ascii="Times New Roman" w:hAnsi="Times New Roman"/>
          <w:sz w:val="24"/>
          <w:szCs w:val="24"/>
        </w:rPr>
        <w:t>a</w:t>
      </w:r>
      <w:r>
        <w:rPr>
          <w:rFonts w:ascii="Times New Roman" w:hAnsi="Times New Roman"/>
          <w:sz w:val="24"/>
          <w:szCs w:val="24"/>
        </w:rPr>
        <w:t xml:space="preserve"> </w:t>
      </w:r>
      <w:r w:rsidRPr="00F7503D">
        <w:rPr>
          <w:rFonts w:ascii="Times New Roman" w:hAnsi="Times New Roman"/>
          <w:sz w:val="24"/>
          <w:szCs w:val="24"/>
        </w:rPr>
        <w:t>na</w:t>
      </w:r>
      <w:r>
        <w:rPr>
          <w:rFonts w:ascii="Times New Roman" w:hAnsi="Times New Roman"/>
          <w:sz w:val="24"/>
          <w:szCs w:val="24"/>
        </w:rPr>
        <w:t xml:space="preserve"> </w:t>
      </w:r>
      <w:r w:rsidRPr="00F7503D">
        <w:rPr>
          <w:rFonts w:ascii="Times New Roman" w:hAnsi="Times New Roman"/>
          <w:sz w:val="24"/>
          <w:szCs w:val="24"/>
        </w:rPr>
        <w:t>riešenie</w:t>
      </w:r>
      <w:r>
        <w:rPr>
          <w:rFonts w:ascii="Times New Roman" w:hAnsi="Times New Roman"/>
          <w:sz w:val="24"/>
          <w:szCs w:val="24"/>
        </w:rPr>
        <w:t xml:space="preserve"> </w:t>
      </w:r>
      <w:r w:rsidRPr="00F7503D">
        <w:rPr>
          <w:rFonts w:ascii="Times New Roman" w:hAnsi="Times New Roman"/>
          <w:sz w:val="24"/>
          <w:szCs w:val="24"/>
        </w:rPr>
        <w:t>havarijných</w:t>
      </w:r>
      <w:r>
        <w:rPr>
          <w:rFonts w:ascii="Times New Roman" w:hAnsi="Times New Roman"/>
          <w:sz w:val="24"/>
          <w:szCs w:val="24"/>
        </w:rPr>
        <w:t xml:space="preserve"> </w:t>
      </w:r>
      <w:r w:rsidRPr="00F7503D">
        <w:rPr>
          <w:rFonts w:ascii="Times New Roman" w:hAnsi="Times New Roman"/>
          <w:sz w:val="24"/>
          <w:szCs w:val="24"/>
        </w:rPr>
        <w:t>stavov</w:t>
      </w:r>
      <w:r>
        <w:rPr>
          <w:rFonts w:ascii="Times New Roman" w:hAnsi="Times New Roman"/>
          <w:sz w:val="24"/>
          <w:szCs w:val="24"/>
        </w:rPr>
        <w:t xml:space="preserve"> </w:t>
      </w:r>
      <w:r w:rsidRPr="00F7503D">
        <w:rPr>
          <w:rFonts w:ascii="Times New Roman" w:hAnsi="Times New Roman"/>
          <w:sz w:val="24"/>
          <w:szCs w:val="24"/>
        </w:rPr>
        <w:t>škôl</w:t>
      </w:r>
      <w:r>
        <w:rPr>
          <w:rFonts w:ascii="Times New Roman" w:hAnsi="Times New Roman"/>
          <w:sz w:val="24"/>
          <w:szCs w:val="24"/>
        </w:rPr>
        <w:t xml:space="preserve"> </w:t>
        <w:br/>
      </w:r>
      <w:r w:rsidRPr="00F7503D">
        <w:rPr>
          <w:rFonts w:ascii="Times New Roman" w:hAnsi="Times New Roman"/>
          <w:sz w:val="24"/>
          <w:szCs w:val="24"/>
        </w:rPr>
        <w:t>v</w:t>
      </w:r>
      <w:r>
        <w:rPr>
          <w:rFonts w:ascii="Times New Roman" w:hAnsi="Times New Roman"/>
          <w:sz w:val="24"/>
          <w:szCs w:val="24"/>
        </w:rPr>
        <w:t xml:space="preserve"> </w:t>
      </w:r>
      <w:r w:rsidRPr="00F7503D">
        <w:rPr>
          <w:rFonts w:ascii="Times New Roman" w:hAnsi="Times New Roman"/>
          <w:sz w:val="24"/>
          <w:szCs w:val="24"/>
        </w:rPr>
        <w:t>sume</w:t>
      </w:r>
      <w:r>
        <w:rPr>
          <w:rFonts w:ascii="Times New Roman" w:hAnsi="Times New Roman"/>
          <w:sz w:val="24"/>
          <w:szCs w:val="24"/>
        </w:rPr>
        <w:t xml:space="preserve"> </w:t>
      </w:r>
      <w:r w:rsidRPr="00F7503D">
        <w:rPr>
          <w:rFonts w:ascii="Times New Roman" w:hAnsi="Times New Roman"/>
          <w:sz w:val="24"/>
          <w:szCs w:val="24"/>
        </w:rPr>
        <w:t>1</w:t>
      </w:r>
      <w:r>
        <w:rPr>
          <w:rFonts w:ascii="Times New Roman" w:hAnsi="Times New Roman"/>
          <w:sz w:val="24"/>
          <w:szCs w:val="24"/>
        </w:rPr>
        <w:t xml:space="preserve"> </w:t>
      </w:r>
      <w:r w:rsidRPr="00F7503D">
        <w:rPr>
          <w:rFonts w:ascii="Times New Roman" w:hAnsi="Times New Roman"/>
          <w:sz w:val="24"/>
          <w:szCs w:val="24"/>
        </w:rPr>
        <w:t>500</w:t>
      </w:r>
      <w:r>
        <w:rPr>
          <w:rFonts w:ascii="Times New Roman" w:hAnsi="Times New Roman"/>
          <w:sz w:val="24"/>
          <w:szCs w:val="24"/>
        </w:rPr>
        <w:t xml:space="preserve"> </w:t>
      </w:r>
      <w:r w:rsidRPr="00F7503D">
        <w:rPr>
          <w:rFonts w:ascii="Times New Roman" w:hAnsi="Times New Roman"/>
          <w:sz w:val="24"/>
          <w:szCs w:val="24"/>
        </w:rPr>
        <w:t>tis.</w:t>
      </w:r>
      <w:r>
        <w:rPr>
          <w:rFonts w:ascii="Times New Roman" w:hAnsi="Times New Roman"/>
          <w:sz w:val="24"/>
          <w:szCs w:val="24"/>
        </w:rPr>
        <w:t xml:space="preserve"> </w:t>
      </w:r>
      <w:r w:rsidRPr="00F7503D">
        <w:rPr>
          <w:rFonts w:ascii="Times New Roman" w:hAnsi="Times New Roman"/>
          <w:sz w:val="24"/>
          <w:szCs w:val="24"/>
        </w:rPr>
        <w:t>eur</w:t>
      </w:r>
      <w:r>
        <w:rPr>
          <w:rFonts w:ascii="Times New Roman" w:hAnsi="Times New Roman"/>
          <w:sz w:val="24"/>
          <w:szCs w:val="24"/>
        </w:rPr>
        <w:t>.</w:t>
      </w:r>
    </w:p>
    <w:p w:rsidR="005E21C8" w:rsidRPr="002E4E0E" w:rsidP="005E21C8">
      <w:pPr>
        <w:tabs>
          <w:tab w:val="num" w:pos="709"/>
        </w:tabs>
        <w:bidi w:val="0"/>
        <w:jc w:val="both"/>
        <w:rPr>
          <w:rFonts w:ascii="Times New Roman" w:hAnsi="Times New Roman"/>
          <w:sz w:val="16"/>
          <w:szCs w:val="16"/>
          <w:highlight w:val="yellow"/>
        </w:rPr>
      </w:pPr>
    </w:p>
    <w:p w:rsidR="005E21C8" w:rsidRPr="001D2B05" w:rsidP="005E21C8">
      <w:pPr>
        <w:pStyle w:val="ListParagraph"/>
        <w:numPr>
          <w:numId w:val="3"/>
        </w:numPr>
        <w:bidi w:val="0"/>
        <w:jc w:val="both"/>
        <w:rPr>
          <w:rFonts w:ascii="Times New Roman" w:hAnsi="Times New Roman"/>
        </w:rPr>
      </w:pPr>
      <w:r w:rsidRPr="00F7503D">
        <w:rPr>
          <w:rFonts w:ascii="Times New Roman" w:hAnsi="Times New Roman"/>
          <w:sz w:val="24"/>
          <w:szCs w:val="24"/>
          <w:u w:val="single"/>
        </w:rPr>
        <w:t>Úradu</w:t>
      </w:r>
      <w:r>
        <w:rPr>
          <w:rFonts w:ascii="Times New Roman" w:hAnsi="Times New Roman"/>
          <w:sz w:val="24"/>
          <w:szCs w:val="24"/>
          <w:u w:val="single"/>
        </w:rPr>
        <w:t xml:space="preserve"> </w:t>
      </w:r>
      <w:r w:rsidRPr="00F7503D">
        <w:rPr>
          <w:rFonts w:ascii="Times New Roman" w:hAnsi="Times New Roman"/>
          <w:sz w:val="24"/>
          <w:szCs w:val="24"/>
          <w:u w:val="single"/>
        </w:rPr>
        <w:t>vlády</w:t>
      </w:r>
      <w:r>
        <w:rPr>
          <w:rFonts w:ascii="Times New Roman" w:hAnsi="Times New Roman"/>
          <w:sz w:val="24"/>
          <w:szCs w:val="24"/>
          <w:u w:val="single"/>
        </w:rPr>
        <w:t xml:space="preserve"> </w:t>
      </w:r>
      <w:r w:rsidRPr="00F7503D">
        <w:rPr>
          <w:rFonts w:ascii="Times New Roman" w:hAnsi="Times New Roman"/>
          <w:sz w:val="24"/>
          <w:szCs w:val="24"/>
          <w:u w:val="single"/>
        </w:rPr>
        <w:t>SR</w:t>
      </w:r>
      <w:r>
        <w:rPr>
          <w:rFonts w:ascii="Times New Roman" w:hAnsi="Times New Roman"/>
          <w:sz w:val="24"/>
          <w:szCs w:val="24"/>
        </w:rPr>
        <w:t xml:space="preserve"> </w:t>
      </w:r>
      <w:r w:rsidRPr="00F7503D">
        <w:rPr>
          <w:rFonts w:ascii="Times New Roman" w:hAnsi="Times New Roman"/>
          <w:sz w:val="24"/>
          <w:szCs w:val="24"/>
        </w:rPr>
        <w:t>v</w:t>
      </w:r>
      <w:r>
        <w:rPr>
          <w:rFonts w:ascii="Times New Roman" w:hAnsi="Times New Roman"/>
          <w:sz w:val="24"/>
          <w:szCs w:val="24"/>
        </w:rPr>
        <w:t xml:space="preserve"> </w:t>
      </w:r>
      <w:r w:rsidRPr="00F7503D">
        <w:rPr>
          <w:rFonts w:ascii="Times New Roman" w:hAnsi="Times New Roman"/>
          <w:sz w:val="24"/>
          <w:szCs w:val="24"/>
        </w:rPr>
        <w:t>sume</w:t>
      </w:r>
      <w:r>
        <w:rPr>
          <w:rFonts w:ascii="Times New Roman" w:hAnsi="Times New Roman"/>
          <w:sz w:val="24"/>
          <w:szCs w:val="24"/>
        </w:rPr>
        <w:t xml:space="preserve"> </w:t>
      </w:r>
      <w:r w:rsidRPr="00F7503D">
        <w:rPr>
          <w:rFonts w:ascii="Times New Roman" w:hAnsi="Times New Roman"/>
          <w:sz w:val="24"/>
          <w:szCs w:val="24"/>
        </w:rPr>
        <w:t>10</w:t>
      </w:r>
      <w:r>
        <w:rPr>
          <w:rFonts w:ascii="Times New Roman" w:hAnsi="Times New Roman"/>
          <w:sz w:val="24"/>
          <w:szCs w:val="24"/>
        </w:rPr>
        <w:t xml:space="preserve"> </w:t>
      </w:r>
      <w:r w:rsidRPr="00F7503D">
        <w:rPr>
          <w:rFonts w:ascii="Times New Roman" w:hAnsi="Times New Roman"/>
          <w:sz w:val="24"/>
          <w:szCs w:val="24"/>
        </w:rPr>
        <w:t>tis.</w:t>
      </w:r>
      <w:r>
        <w:rPr>
          <w:rFonts w:ascii="Times New Roman" w:hAnsi="Times New Roman"/>
          <w:sz w:val="24"/>
          <w:szCs w:val="24"/>
        </w:rPr>
        <w:t xml:space="preserve"> </w:t>
      </w:r>
      <w:r w:rsidRPr="00F7503D">
        <w:rPr>
          <w:rFonts w:ascii="Times New Roman" w:hAnsi="Times New Roman"/>
          <w:sz w:val="24"/>
          <w:szCs w:val="24"/>
        </w:rPr>
        <w:t>eur</w:t>
      </w:r>
      <w:r>
        <w:rPr>
          <w:rFonts w:ascii="Times New Roman" w:hAnsi="Times New Roman"/>
          <w:sz w:val="24"/>
          <w:szCs w:val="24"/>
        </w:rPr>
        <w:t xml:space="preserve"> </w:t>
      </w:r>
      <w:r w:rsidRPr="00F7503D">
        <w:rPr>
          <w:rFonts w:ascii="Times New Roman" w:hAnsi="Times New Roman"/>
          <w:sz w:val="24"/>
          <w:szCs w:val="24"/>
        </w:rPr>
        <w:t>ako</w:t>
      </w:r>
      <w:r>
        <w:rPr>
          <w:rFonts w:ascii="Times New Roman" w:hAnsi="Times New Roman"/>
          <w:sz w:val="24"/>
          <w:szCs w:val="24"/>
        </w:rPr>
        <w:t xml:space="preserve"> </w:t>
      </w:r>
      <w:r w:rsidRPr="00F7503D">
        <w:rPr>
          <w:rFonts w:ascii="Times New Roman" w:hAnsi="Times New Roman"/>
          <w:sz w:val="24"/>
          <w:szCs w:val="24"/>
        </w:rPr>
        <w:t>kapitálový</w:t>
      </w:r>
      <w:r>
        <w:rPr>
          <w:rFonts w:ascii="Times New Roman" w:hAnsi="Times New Roman"/>
          <w:sz w:val="24"/>
          <w:szCs w:val="24"/>
        </w:rPr>
        <w:t xml:space="preserve"> </w:t>
      </w:r>
      <w:r w:rsidRPr="00F7503D">
        <w:rPr>
          <w:rFonts w:ascii="Times New Roman" w:hAnsi="Times New Roman"/>
          <w:sz w:val="24"/>
          <w:szCs w:val="24"/>
        </w:rPr>
        <w:t>transfer</w:t>
      </w:r>
      <w:r>
        <w:rPr>
          <w:rFonts w:ascii="Times New Roman" w:hAnsi="Times New Roman"/>
          <w:sz w:val="24"/>
          <w:szCs w:val="24"/>
        </w:rPr>
        <w:t xml:space="preserve"> </w:t>
      </w:r>
      <w:r w:rsidRPr="00F7503D">
        <w:rPr>
          <w:rFonts w:ascii="Times New Roman" w:hAnsi="Times New Roman"/>
          <w:sz w:val="24"/>
          <w:szCs w:val="24"/>
        </w:rPr>
        <w:t>na</w:t>
      </w:r>
      <w:r>
        <w:rPr>
          <w:rFonts w:ascii="Times New Roman" w:hAnsi="Times New Roman"/>
          <w:sz w:val="24"/>
          <w:szCs w:val="24"/>
        </w:rPr>
        <w:t xml:space="preserve"> </w:t>
      </w:r>
      <w:r w:rsidRPr="00F7503D">
        <w:rPr>
          <w:rFonts w:ascii="Times New Roman" w:hAnsi="Times New Roman"/>
          <w:sz w:val="24"/>
          <w:szCs w:val="24"/>
        </w:rPr>
        <w:t>podporu</w:t>
      </w:r>
      <w:r>
        <w:rPr>
          <w:rFonts w:ascii="Times New Roman" w:hAnsi="Times New Roman"/>
          <w:sz w:val="24"/>
          <w:szCs w:val="24"/>
        </w:rPr>
        <w:t xml:space="preserve"> </w:t>
      </w:r>
      <w:r w:rsidRPr="00F7503D">
        <w:rPr>
          <w:rFonts w:ascii="Times New Roman" w:hAnsi="Times New Roman"/>
          <w:sz w:val="24"/>
          <w:szCs w:val="24"/>
        </w:rPr>
        <w:t>VÚC</w:t>
      </w:r>
      <w:r>
        <w:rPr>
          <w:rFonts w:ascii="Times New Roman" w:hAnsi="Times New Roman"/>
          <w:sz w:val="24"/>
          <w:szCs w:val="24"/>
        </w:rPr>
        <w:t>.</w:t>
      </w:r>
    </w:p>
    <w:p w:rsidR="005E21C8" w:rsidRPr="002E4E0E" w:rsidP="005E21C8">
      <w:pPr>
        <w:pStyle w:val="ListParagraph"/>
        <w:bidi w:val="0"/>
        <w:rPr>
          <w:rFonts w:ascii="Times New Roman" w:hAnsi="Times New Roman"/>
          <w:sz w:val="16"/>
          <w:szCs w:val="16"/>
        </w:rPr>
      </w:pPr>
    </w:p>
    <w:p w:rsidR="005E21C8" w:rsidP="005E21C8">
      <w:pPr>
        <w:bidi w:val="0"/>
        <w:ind w:firstLine="709"/>
        <w:jc w:val="both"/>
        <w:rPr>
          <w:rFonts w:ascii="Times New Roman" w:hAnsi="Times New Roman"/>
          <w:szCs w:val="22"/>
          <w:highlight w:val="yellow"/>
        </w:rPr>
      </w:pPr>
      <w:r w:rsidRPr="00F7503D">
        <w:rPr>
          <w:rFonts w:ascii="Times New Roman" w:hAnsi="Times New Roman"/>
          <w:szCs w:val="22"/>
        </w:rPr>
        <w:t>Transfery</w:t>
      </w:r>
      <w:r>
        <w:rPr>
          <w:rFonts w:ascii="Times New Roman" w:hAnsi="Times New Roman"/>
          <w:szCs w:val="22"/>
        </w:rPr>
        <w:t xml:space="preserve"> </w:t>
      </w:r>
      <w:r w:rsidRPr="00E71838">
        <w:rPr>
          <w:rFonts w:ascii="Times New Roman" w:hAnsi="Times New Roman"/>
          <w:szCs w:val="22"/>
        </w:rPr>
        <w:t>z</w:t>
      </w:r>
      <w:r>
        <w:rPr>
          <w:rFonts w:ascii="Times New Roman" w:hAnsi="Times New Roman"/>
          <w:szCs w:val="22"/>
        </w:rPr>
        <w:t xml:space="preserve"> </w:t>
      </w:r>
      <w:r w:rsidRPr="00E71838">
        <w:rPr>
          <w:rFonts w:ascii="Times New Roman" w:hAnsi="Times New Roman"/>
          <w:szCs w:val="22"/>
          <w:u w:val="single"/>
        </w:rPr>
        <w:t>Fondu</w:t>
      </w:r>
      <w:r>
        <w:rPr>
          <w:rFonts w:ascii="Times New Roman" w:hAnsi="Times New Roman"/>
          <w:szCs w:val="22"/>
          <w:u w:val="single"/>
        </w:rPr>
        <w:t xml:space="preserve"> </w:t>
      </w:r>
      <w:r w:rsidRPr="00E71838">
        <w:rPr>
          <w:rFonts w:ascii="Times New Roman" w:hAnsi="Times New Roman"/>
          <w:szCs w:val="22"/>
          <w:u w:val="single"/>
        </w:rPr>
        <w:t>na</w:t>
      </w:r>
      <w:r>
        <w:rPr>
          <w:rFonts w:ascii="Times New Roman" w:hAnsi="Times New Roman"/>
          <w:szCs w:val="22"/>
          <w:u w:val="single"/>
        </w:rPr>
        <w:t xml:space="preserve"> </w:t>
      </w:r>
      <w:r w:rsidRPr="00E71838">
        <w:rPr>
          <w:rFonts w:ascii="Times New Roman" w:hAnsi="Times New Roman"/>
          <w:szCs w:val="22"/>
          <w:u w:val="single"/>
        </w:rPr>
        <w:t>podporu</w:t>
      </w:r>
      <w:r>
        <w:rPr>
          <w:rFonts w:ascii="Times New Roman" w:hAnsi="Times New Roman"/>
          <w:szCs w:val="22"/>
          <w:u w:val="single"/>
        </w:rPr>
        <w:t xml:space="preserve"> </w:t>
      </w:r>
      <w:r w:rsidRPr="00E71838">
        <w:rPr>
          <w:rFonts w:ascii="Times New Roman" w:hAnsi="Times New Roman"/>
          <w:szCs w:val="22"/>
          <w:u w:val="single"/>
        </w:rPr>
        <w:t>umenia</w:t>
      </w:r>
      <w:r>
        <w:rPr>
          <w:rFonts w:ascii="Times New Roman" w:hAnsi="Times New Roman"/>
          <w:szCs w:val="22"/>
        </w:rPr>
        <w:t xml:space="preserve"> sa rozpočtujú vo výške </w:t>
      </w:r>
      <w:r w:rsidRPr="00E71838">
        <w:rPr>
          <w:rFonts w:ascii="Times New Roman" w:hAnsi="Times New Roman"/>
          <w:szCs w:val="22"/>
        </w:rPr>
        <w:t>2</w:t>
      </w:r>
      <w:r>
        <w:rPr>
          <w:rFonts w:ascii="Times New Roman" w:hAnsi="Times New Roman"/>
          <w:szCs w:val="22"/>
        </w:rPr>
        <w:t xml:space="preserve"> 222 </w:t>
      </w:r>
      <w:r w:rsidRPr="00E71838">
        <w:rPr>
          <w:rFonts w:ascii="Times New Roman" w:hAnsi="Times New Roman"/>
          <w:szCs w:val="22"/>
        </w:rPr>
        <w:t>tis.</w:t>
      </w:r>
      <w:r>
        <w:rPr>
          <w:rFonts w:ascii="Times New Roman" w:hAnsi="Times New Roman"/>
          <w:szCs w:val="22"/>
        </w:rPr>
        <w:t xml:space="preserve"> </w:t>
      </w:r>
      <w:r w:rsidRPr="00F7503D">
        <w:rPr>
          <w:rFonts w:ascii="Times New Roman" w:hAnsi="Times New Roman"/>
          <w:szCs w:val="22"/>
        </w:rPr>
        <w:t>eur.</w:t>
      </w:r>
    </w:p>
    <w:p w:rsidR="005E21C8" w:rsidRPr="00F7503D" w:rsidP="005E21C8">
      <w:pPr>
        <w:bidi w:val="0"/>
        <w:jc w:val="both"/>
        <w:rPr>
          <w:rFonts w:ascii="Times New Roman" w:hAnsi="Times New Roman"/>
          <w:sz w:val="16"/>
          <w:szCs w:val="16"/>
        </w:rPr>
      </w:pPr>
    </w:p>
    <w:p w:rsidR="005E21C8" w:rsidP="0060040C">
      <w:pPr>
        <w:bidi w:val="0"/>
        <w:ind w:firstLine="708"/>
        <w:jc w:val="both"/>
        <w:rPr>
          <w:rFonts w:ascii="Times New Roman" w:hAnsi="Times New Roman"/>
        </w:rPr>
      </w:pPr>
      <w:r w:rsidRPr="00F7503D">
        <w:rPr>
          <w:rFonts w:ascii="Times New Roman" w:hAnsi="Times New Roman"/>
        </w:rPr>
        <w:t>Príjmové</w:t>
      </w:r>
      <w:r>
        <w:rPr>
          <w:rFonts w:ascii="Times New Roman" w:hAnsi="Times New Roman"/>
        </w:rPr>
        <w:t xml:space="preserve"> </w:t>
      </w:r>
      <w:r w:rsidRPr="00F7503D">
        <w:rPr>
          <w:rFonts w:ascii="Times New Roman" w:hAnsi="Times New Roman"/>
        </w:rPr>
        <w:t>finančné</w:t>
      </w:r>
      <w:r>
        <w:rPr>
          <w:rFonts w:ascii="Times New Roman" w:hAnsi="Times New Roman"/>
        </w:rPr>
        <w:t xml:space="preserve"> </w:t>
      </w:r>
      <w:r w:rsidRPr="00F7503D">
        <w:rPr>
          <w:rFonts w:ascii="Times New Roman" w:hAnsi="Times New Roman"/>
        </w:rPr>
        <w:t>operácie</w:t>
      </w:r>
      <w:r>
        <w:rPr>
          <w:rFonts w:ascii="Times New Roman" w:hAnsi="Times New Roman"/>
        </w:rPr>
        <w:t xml:space="preserve"> </w:t>
      </w:r>
      <w:r w:rsidRPr="00F7503D">
        <w:rPr>
          <w:rFonts w:ascii="Times New Roman" w:hAnsi="Times New Roman"/>
        </w:rPr>
        <w:t>sa</w:t>
      </w:r>
      <w:r>
        <w:rPr>
          <w:rFonts w:ascii="Times New Roman" w:hAnsi="Times New Roman"/>
        </w:rPr>
        <w:t xml:space="preserve"> </w:t>
      </w:r>
      <w:r w:rsidRPr="00F7503D">
        <w:rPr>
          <w:rFonts w:ascii="Times New Roman" w:hAnsi="Times New Roman"/>
        </w:rPr>
        <w:t>predpokladajú</w:t>
      </w:r>
      <w:r>
        <w:rPr>
          <w:rFonts w:ascii="Times New Roman" w:hAnsi="Times New Roman"/>
        </w:rPr>
        <w:t xml:space="preserve"> </w:t>
      </w:r>
      <w:r w:rsidRPr="00F7503D">
        <w:rPr>
          <w:rFonts w:ascii="Times New Roman" w:hAnsi="Times New Roman"/>
        </w:rPr>
        <w:t>v</w:t>
      </w:r>
      <w:r>
        <w:rPr>
          <w:rFonts w:ascii="Times New Roman" w:hAnsi="Times New Roman"/>
        </w:rPr>
        <w:t xml:space="preserve"> </w:t>
      </w:r>
      <w:r w:rsidRPr="00F7503D">
        <w:rPr>
          <w:rFonts w:ascii="Times New Roman" w:hAnsi="Times New Roman"/>
        </w:rPr>
        <w:t>sume</w:t>
      </w:r>
      <w:r>
        <w:rPr>
          <w:rFonts w:ascii="Times New Roman" w:hAnsi="Times New Roman"/>
        </w:rPr>
        <w:t xml:space="preserve"> </w:t>
      </w:r>
      <w:r w:rsidRPr="00F7503D">
        <w:rPr>
          <w:rFonts w:ascii="Times New Roman" w:hAnsi="Times New Roman"/>
        </w:rPr>
        <w:t>85</w:t>
      </w:r>
      <w:r>
        <w:rPr>
          <w:rFonts w:ascii="Times New Roman" w:hAnsi="Times New Roman"/>
        </w:rPr>
        <w:t xml:space="preserve"> </w:t>
      </w:r>
      <w:r w:rsidRPr="00F7503D">
        <w:rPr>
          <w:rFonts w:ascii="Times New Roman" w:hAnsi="Times New Roman"/>
        </w:rPr>
        <w:t>000</w:t>
      </w:r>
      <w:r>
        <w:rPr>
          <w:rFonts w:ascii="Times New Roman" w:hAnsi="Times New Roman"/>
        </w:rPr>
        <w:t xml:space="preserve"> </w:t>
      </w:r>
      <w:r w:rsidRPr="00F7503D">
        <w:rPr>
          <w:rFonts w:ascii="Times New Roman" w:hAnsi="Times New Roman"/>
        </w:rPr>
        <w:t>tis.</w:t>
      </w:r>
      <w:r>
        <w:rPr>
          <w:rFonts w:ascii="Times New Roman" w:hAnsi="Times New Roman"/>
        </w:rPr>
        <w:t xml:space="preserve"> </w:t>
      </w:r>
      <w:r w:rsidRPr="00F7503D">
        <w:rPr>
          <w:rFonts w:ascii="Times New Roman" w:hAnsi="Times New Roman"/>
        </w:rPr>
        <w:t>eur,</w:t>
      </w:r>
      <w:r>
        <w:rPr>
          <w:rFonts w:ascii="Times New Roman" w:hAnsi="Times New Roman"/>
        </w:rPr>
        <w:t xml:space="preserve"> </w:t>
      </w:r>
      <w:r w:rsidRPr="00F7503D">
        <w:rPr>
          <w:rFonts w:ascii="Times New Roman" w:hAnsi="Times New Roman"/>
        </w:rPr>
        <w:t>a</w:t>
      </w:r>
      <w:r>
        <w:rPr>
          <w:rFonts w:ascii="Times New Roman" w:hAnsi="Times New Roman"/>
        </w:rPr>
        <w:t xml:space="preserve"> </w:t>
      </w:r>
      <w:r w:rsidRPr="00F7503D">
        <w:rPr>
          <w:rFonts w:ascii="Times New Roman" w:hAnsi="Times New Roman"/>
        </w:rPr>
        <w:t>to</w:t>
      </w:r>
      <w:r>
        <w:rPr>
          <w:rFonts w:ascii="Times New Roman" w:hAnsi="Times New Roman"/>
        </w:rPr>
        <w:t xml:space="preserve"> </w:t>
      </w:r>
      <w:r w:rsidRPr="00F7503D">
        <w:rPr>
          <w:rFonts w:ascii="Times New Roman" w:hAnsi="Times New Roman"/>
        </w:rPr>
        <w:t>z</w:t>
      </w:r>
      <w:r>
        <w:rPr>
          <w:rFonts w:ascii="Times New Roman" w:hAnsi="Times New Roman"/>
        </w:rPr>
        <w:t xml:space="preserve"> </w:t>
      </w:r>
      <w:r w:rsidRPr="00F7503D">
        <w:rPr>
          <w:rFonts w:ascii="Times New Roman" w:hAnsi="Times New Roman"/>
        </w:rPr>
        <w:t>prevodov</w:t>
      </w:r>
      <w:r>
        <w:rPr>
          <w:rFonts w:ascii="Times New Roman" w:hAnsi="Times New Roman"/>
        </w:rPr>
        <w:t xml:space="preserve"> </w:t>
      </w:r>
      <w:r w:rsidRPr="00F7503D">
        <w:rPr>
          <w:rFonts w:ascii="Times New Roman" w:hAnsi="Times New Roman"/>
        </w:rPr>
        <w:t>prostriedkov</w:t>
      </w:r>
      <w:r>
        <w:rPr>
          <w:rFonts w:ascii="Times New Roman" w:hAnsi="Times New Roman"/>
        </w:rPr>
        <w:t xml:space="preserve"> </w:t>
      </w:r>
      <w:r w:rsidRPr="00F7503D">
        <w:rPr>
          <w:rFonts w:ascii="Times New Roman" w:hAnsi="Times New Roman"/>
        </w:rPr>
        <w:t>z</w:t>
      </w:r>
      <w:r>
        <w:rPr>
          <w:rFonts w:ascii="Times New Roman" w:hAnsi="Times New Roman"/>
        </w:rPr>
        <w:t xml:space="preserve"> </w:t>
      </w:r>
      <w:r w:rsidRPr="00F7503D">
        <w:rPr>
          <w:rFonts w:ascii="Times New Roman" w:hAnsi="Times New Roman"/>
        </w:rPr>
        <w:t>peňažných</w:t>
      </w:r>
      <w:r>
        <w:rPr>
          <w:rFonts w:ascii="Times New Roman" w:hAnsi="Times New Roman"/>
        </w:rPr>
        <w:t xml:space="preserve"> </w:t>
      </w:r>
      <w:r w:rsidRPr="00F7503D">
        <w:rPr>
          <w:rFonts w:ascii="Times New Roman" w:hAnsi="Times New Roman"/>
        </w:rPr>
        <w:t>fondov</w:t>
      </w:r>
      <w:r>
        <w:rPr>
          <w:rFonts w:ascii="Times New Roman" w:hAnsi="Times New Roman"/>
        </w:rPr>
        <w:t xml:space="preserve"> </w:t>
      </w:r>
      <w:r w:rsidRPr="00F7503D">
        <w:rPr>
          <w:rFonts w:ascii="Times New Roman" w:hAnsi="Times New Roman"/>
        </w:rPr>
        <w:t>v</w:t>
      </w:r>
      <w:r>
        <w:rPr>
          <w:rFonts w:ascii="Times New Roman" w:hAnsi="Times New Roman"/>
        </w:rPr>
        <w:t xml:space="preserve"> </w:t>
      </w:r>
      <w:r w:rsidRPr="00F7503D">
        <w:rPr>
          <w:rFonts w:ascii="Times New Roman" w:hAnsi="Times New Roman"/>
        </w:rPr>
        <w:t>sume</w:t>
      </w:r>
      <w:r>
        <w:rPr>
          <w:rFonts w:ascii="Times New Roman" w:hAnsi="Times New Roman"/>
        </w:rPr>
        <w:t xml:space="preserve"> </w:t>
      </w:r>
      <w:r w:rsidRPr="00F7503D">
        <w:rPr>
          <w:rFonts w:ascii="Times New Roman" w:hAnsi="Times New Roman"/>
        </w:rPr>
        <w:t>35</w:t>
      </w:r>
      <w:r>
        <w:rPr>
          <w:rFonts w:ascii="Times New Roman" w:hAnsi="Times New Roman"/>
        </w:rPr>
        <w:t xml:space="preserve"> </w:t>
      </w:r>
      <w:r w:rsidRPr="00F7503D">
        <w:rPr>
          <w:rFonts w:ascii="Times New Roman" w:hAnsi="Times New Roman"/>
        </w:rPr>
        <w:t>000</w:t>
      </w:r>
      <w:r>
        <w:rPr>
          <w:rFonts w:ascii="Times New Roman" w:hAnsi="Times New Roman"/>
        </w:rPr>
        <w:t xml:space="preserve"> </w:t>
      </w:r>
      <w:r w:rsidRPr="00F7503D">
        <w:rPr>
          <w:rFonts w:ascii="Times New Roman" w:hAnsi="Times New Roman"/>
        </w:rPr>
        <w:t>tis.</w:t>
      </w:r>
      <w:r>
        <w:rPr>
          <w:rFonts w:ascii="Times New Roman" w:hAnsi="Times New Roman"/>
        </w:rPr>
        <w:t xml:space="preserve"> </w:t>
      </w:r>
      <w:r w:rsidRPr="00F7503D">
        <w:rPr>
          <w:rFonts w:ascii="Times New Roman" w:hAnsi="Times New Roman"/>
        </w:rPr>
        <w:t>eur,</w:t>
      </w:r>
      <w:r>
        <w:rPr>
          <w:rFonts w:ascii="Times New Roman" w:hAnsi="Times New Roman"/>
        </w:rPr>
        <w:t xml:space="preserve"> </w:t>
      </w:r>
      <w:r w:rsidRPr="00F7503D">
        <w:rPr>
          <w:rFonts w:ascii="Times New Roman" w:hAnsi="Times New Roman"/>
        </w:rPr>
        <w:t>zo</w:t>
      </w:r>
      <w:r>
        <w:rPr>
          <w:rFonts w:ascii="Times New Roman" w:hAnsi="Times New Roman"/>
        </w:rPr>
        <w:t xml:space="preserve"> </w:t>
      </w:r>
      <w:r w:rsidRPr="00F7503D">
        <w:rPr>
          <w:rFonts w:ascii="Times New Roman" w:hAnsi="Times New Roman"/>
        </w:rPr>
        <w:t>zostatku</w:t>
      </w:r>
      <w:r>
        <w:rPr>
          <w:rFonts w:ascii="Times New Roman" w:hAnsi="Times New Roman"/>
        </w:rPr>
        <w:t xml:space="preserve"> </w:t>
      </w:r>
      <w:r w:rsidRPr="00F7503D">
        <w:rPr>
          <w:rFonts w:ascii="Times New Roman" w:hAnsi="Times New Roman"/>
        </w:rPr>
        <w:t>prostriedkov</w:t>
      </w:r>
      <w:r>
        <w:rPr>
          <w:rFonts w:ascii="Times New Roman" w:hAnsi="Times New Roman"/>
        </w:rPr>
        <w:t xml:space="preserve"> </w:t>
        <w:br/>
      </w:r>
      <w:r w:rsidRPr="00F7503D">
        <w:rPr>
          <w:rFonts w:ascii="Times New Roman" w:hAnsi="Times New Roman"/>
        </w:rPr>
        <w:t>z</w:t>
      </w:r>
      <w:r>
        <w:rPr>
          <w:rFonts w:ascii="Times New Roman" w:hAnsi="Times New Roman"/>
        </w:rPr>
        <w:t xml:space="preserve"> </w:t>
      </w:r>
      <w:r w:rsidRPr="00F7503D">
        <w:rPr>
          <w:rFonts w:ascii="Times New Roman" w:hAnsi="Times New Roman"/>
        </w:rPr>
        <w:t>predchádzajúcich</w:t>
      </w:r>
      <w:r>
        <w:rPr>
          <w:rFonts w:ascii="Times New Roman" w:hAnsi="Times New Roman"/>
        </w:rPr>
        <w:t xml:space="preserve"> </w:t>
      </w:r>
      <w:r w:rsidRPr="00F7503D">
        <w:rPr>
          <w:rFonts w:ascii="Times New Roman" w:hAnsi="Times New Roman"/>
        </w:rPr>
        <w:t>rokov</w:t>
      </w:r>
      <w:r>
        <w:rPr>
          <w:rFonts w:ascii="Times New Roman" w:hAnsi="Times New Roman"/>
        </w:rPr>
        <w:t xml:space="preserve"> </w:t>
      </w:r>
      <w:r w:rsidRPr="00F7503D">
        <w:rPr>
          <w:rFonts w:ascii="Times New Roman" w:hAnsi="Times New Roman"/>
        </w:rPr>
        <w:t>v</w:t>
      </w:r>
      <w:r>
        <w:rPr>
          <w:rFonts w:ascii="Times New Roman" w:hAnsi="Times New Roman"/>
        </w:rPr>
        <w:t xml:space="preserve"> </w:t>
      </w:r>
      <w:r w:rsidRPr="00F7503D">
        <w:rPr>
          <w:rFonts w:ascii="Times New Roman" w:hAnsi="Times New Roman"/>
        </w:rPr>
        <w:t>sume</w:t>
      </w:r>
      <w:r>
        <w:rPr>
          <w:rFonts w:ascii="Times New Roman" w:hAnsi="Times New Roman"/>
        </w:rPr>
        <w:t xml:space="preserve"> </w:t>
      </w:r>
      <w:r w:rsidRPr="00F7503D">
        <w:rPr>
          <w:rFonts w:ascii="Times New Roman" w:hAnsi="Times New Roman"/>
        </w:rPr>
        <w:t>15</w:t>
      </w:r>
      <w:r>
        <w:rPr>
          <w:rFonts w:ascii="Times New Roman" w:hAnsi="Times New Roman"/>
        </w:rPr>
        <w:t xml:space="preserve"> </w:t>
      </w:r>
      <w:r w:rsidRPr="00F7503D">
        <w:rPr>
          <w:rFonts w:ascii="Times New Roman" w:hAnsi="Times New Roman"/>
        </w:rPr>
        <w:t>000</w:t>
      </w:r>
      <w:r>
        <w:rPr>
          <w:rFonts w:ascii="Times New Roman" w:hAnsi="Times New Roman"/>
        </w:rPr>
        <w:t xml:space="preserve"> </w:t>
      </w:r>
      <w:r w:rsidRPr="00F7503D">
        <w:rPr>
          <w:rFonts w:ascii="Times New Roman" w:hAnsi="Times New Roman"/>
        </w:rPr>
        <w:t>tis.</w:t>
      </w:r>
      <w:r>
        <w:rPr>
          <w:rFonts w:ascii="Times New Roman" w:hAnsi="Times New Roman"/>
        </w:rPr>
        <w:t xml:space="preserve"> </w:t>
      </w:r>
      <w:r w:rsidRPr="00F7503D">
        <w:rPr>
          <w:rFonts w:ascii="Times New Roman" w:hAnsi="Times New Roman"/>
        </w:rPr>
        <w:t>eur</w:t>
      </w:r>
      <w:r>
        <w:rPr>
          <w:rFonts w:ascii="Times New Roman" w:hAnsi="Times New Roman"/>
        </w:rPr>
        <w:t xml:space="preserve"> </w:t>
      </w:r>
      <w:r w:rsidRPr="00F7503D">
        <w:rPr>
          <w:rFonts w:ascii="Times New Roman" w:hAnsi="Times New Roman"/>
        </w:rPr>
        <w:t>a</w:t>
      </w:r>
      <w:r>
        <w:rPr>
          <w:rFonts w:ascii="Times New Roman" w:hAnsi="Times New Roman"/>
        </w:rPr>
        <w:t xml:space="preserve"> </w:t>
      </w:r>
      <w:r w:rsidRPr="00F7503D">
        <w:rPr>
          <w:rFonts w:ascii="Times New Roman" w:hAnsi="Times New Roman"/>
        </w:rPr>
        <w:t>z</w:t>
      </w:r>
      <w:r>
        <w:rPr>
          <w:rFonts w:ascii="Times New Roman" w:hAnsi="Times New Roman"/>
        </w:rPr>
        <w:t xml:space="preserve"> </w:t>
      </w:r>
      <w:r w:rsidRPr="00F7503D">
        <w:rPr>
          <w:rFonts w:ascii="Times New Roman" w:hAnsi="Times New Roman"/>
        </w:rPr>
        <w:t>prijatých</w:t>
      </w:r>
      <w:r>
        <w:rPr>
          <w:rFonts w:ascii="Times New Roman" w:hAnsi="Times New Roman"/>
        </w:rPr>
        <w:t xml:space="preserve"> </w:t>
      </w:r>
      <w:r w:rsidRPr="00F7503D">
        <w:rPr>
          <w:rFonts w:ascii="Times New Roman" w:hAnsi="Times New Roman"/>
        </w:rPr>
        <w:t>úverov</w:t>
      </w:r>
      <w:r>
        <w:rPr>
          <w:rFonts w:ascii="Times New Roman" w:hAnsi="Times New Roman"/>
        </w:rPr>
        <w:t xml:space="preserve"> </w:t>
      </w:r>
      <w:r w:rsidRPr="00F7503D">
        <w:rPr>
          <w:rFonts w:ascii="Times New Roman" w:hAnsi="Times New Roman"/>
        </w:rPr>
        <w:t>v</w:t>
      </w:r>
      <w:r>
        <w:rPr>
          <w:rFonts w:ascii="Times New Roman" w:hAnsi="Times New Roman"/>
        </w:rPr>
        <w:t xml:space="preserve"> </w:t>
      </w:r>
      <w:r w:rsidRPr="00F7503D">
        <w:rPr>
          <w:rFonts w:ascii="Times New Roman" w:hAnsi="Times New Roman"/>
        </w:rPr>
        <w:t>sume</w:t>
      </w:r>
      <w:r>
        <w:rPr>
          <w:rFonts w:ascii="Times New Roman" w:hAnsi="Times New Roman"/>
        </w:rPr>
        <w:t xml:space="preserve"> </w:t>
      </w:r>
      <w:r w:rsidRPr="00F7503D">
        <w:rPr>
          <w:rFonts w:ascii="Times New Roman" w:hAnsi="Times New Roman"/>
        </w:rPr>
        <w:t>35</w:t>
      </w:r>
      <w:r>
        <w:rPr>
          <w:rFonts w:ascii="Times New Roman" w:hAnsi="Times New Roman"/>
        </w:rPr>
        <w:t xml:space="preserve"> </w:t>
      </w:r>
      <w:r w:rsidRPr="00F7503D">
        <w:rPr>
          <w:rFonts w:ascii="Times New Roman" w:hAnsi="Times New Roman"/>
        </w:rPr>
        <w:t>000</w:t>
      </w:r>
      <w:r>
        <w:rPr>
          <w:rFonts w:ascii="Times New Roman" w:hAnsi="Times New Roman"/>
        </w:rPr>
        <w:t xml:space="preserve"> </w:t>
      </w:r>
      <w:r w:rsidRPr="00F7503D">
        <w:rPr>
          <w:rFonts w:ascii="Times New Roman" w:hAnsi="Times New Roman"/>
        </w:rPr>
        <w:t>tis.</w:t>
      </w:r>
      <w:r>
        <w:rPr>
          <w:rFonts w:ascii="Times New Roman" w:hAnsi="Times New Roman"/>
        </w:rPr>
        <w:t xml:space="preserve"> </w:t>
      </w:r>
      <w:r w:rsidRPr="00F7503D">
        <w:rPr>
          <w:rFonts w:ascii="Times New Roman" w:hAnsi="Times New Roman"/>
        </w:rPr>
        <w:t>eur.</w:t>
      </w:r>
      <w:r>
        <w:rPr>
          <w:rFonts w:ascii="Times New Roman" w:hAnsi="Times New Roman"/>
        </w:rPr>
        <w:t xml:space="preserve"> </w:t>
      </w:r>
    </w:p>
    <w:p w:rsidR="002E4E0E" w:rsidRPr="002E4E0E" w:rsidP="002E4E0E">
      <w:pPr>
        <w:bidi w:val="0"/>
        <w:ind w:firstLine="540"/>
        <w:jc w:val="both"/>
        <w:rPr>
          <w:rFonts w:ascii="Times New Roman" w:hAnsi="Times New Roman"/>
          <w:sz w:val="16"/>
          <w:szCs w:val="16"/>
        </w:rPr>
      </w:pPr>
    </w:p>
    <w:p w:rsidR="005E21C8" w:rsidP="005E21C8">
      <w:pPr>
        <w:pStyle w:val="BodyText"/>
        <w:bidi w:val="0"/>
        <w:ind w:firstLine="709"/>
        <w:rPr>
          <w:rFonts w:ascii="Times New Roman" w:hAnsi="Times New Roman"/>
          <w:szCs w:val="22"/>
        </w:rPr>
      </w:pPr>
      <w:r w:rsidRPr="00F7503D">
        <w:rPr>
          <w:rFonts w:ascii="Times New Roman" w:hAnsi="Times New Roman"/>
          <w:szCs w:val="22"/>
        </w:rPr>
        <w:t>Vývoj</w:t>
      </w:r>
      <w:r>
        <w:rPr>
          <w:rFonts w:ascii="Times New Roman" w:hAnsi="Times New Roman"/>
          <w:szCs w:val="22"/>
        </w:rPr>
        <w:t xml:space="preserve"> </w:t>
      </w:r>
      <w:r w:rsidRPr="00F7503D">
        <w:rPr>
          <w:rFonts w:ascii="Times New Roman" w:hAnsi="Times New Roman"/>
          <w:szCs w:val="22"/>
        </w:rPr>
        <w:t>príjmovej</w:t>
      </w:r>
      <w:r>
        <w:rPr>
          <w:rFonts w:ascii="Times New Roman" w:hAnsi="Times New Roman"/>
          <w:szCs w:val="22"/>
        </w:rPr>
        <w:t xml:space="preserve"> </w:t>
      </w:r>
      <w:r w:rsidRPr="00F7503D">
        <w:rPr>
          <w:rFonts w:ascii="Times New Roman" w:hAnsi="Times New Roman"/>
          <w:szCs w:val="22"/>
        </w:rPr>
        <w:t>a</w:t>
      </w:r>
      <w:r>
        <w:rPr>
          <w:rFonts w:ascii="Times New Roman" w:hAnsi="Times New Roman"/>
          <w:szCs w:val="22"/>
        </w:rPr>
        <w:t xml:space="preserve"> </w:t>
      </w:r>
      <w:r w:rsidRPr="00F7503D">
        <w:rPr>
          <w:rFonts w:ascii="Times New Roman" w:hAnsi="Times New Roman"/>
          <w:szCs w:val="22"/>
        </w:rPr>
        <w:t>výdavkovej</w:t>
      </w:r>
      <w:r>
        <w:rPr>
          <w:rFonts w:ascii="Times New Roman" w:hAnsi="Times New Roman"/>
          <w:szCs w:val="22"/>
        </w:rPr>
        <w:t xml:space="preserve"> </w:t>
      </w:r>
      <w:r w:rsidRPr="00F7503D">
        <w:rPr>
          <w:rFonts w:ascii="Times New Roman" w:hAnsi="Times New Roman"/>
          <w:szCs w:val="22"/>
        </w:rPr>
        <w:t>časti</w:t>
      </w:r>
      <w:r>
        <w:rPr>
          <w:rFonts w:ascii="Times New Roman" w:hAnsi="Times New Roman"/>
          <w:szCs w:val="22"/>
        </w:rPr>
        <w:t xml:space="preserve"> </w:t>
      </w:r>
      <w:r w:rsidRPr="00F7503D">
        <w:rPr>
          <w:rFonts w:ascii="Times New Roman" w:hAnsi="Times New Roman"/>
          <w:szCs w:val="22"/>
        </w:rPr>
        <w:t>rozpočtu</w:t>
      </w:r>
      <w:r>
        <w:rPr>
          <w:rFonts w:ascii="Times New Roman" w:hAnsi="Times New Roman"/>
          <w:szCs w:val="22"/>
        </w:rPr>
        <w:t xml:space="preserve"> </w:t>
      </w:r>
      <w:r w:rsidRPr="00F7503D">
        <w:rPr>
          <w:rFonts w:ascii="Times New Roman" w:hAnsi="Times New Roman"/>
          <w:szCs w:val="22"/>
        </w:rPr>
        <w:t>VÚC</w:t>
      </w:r>
      <w:r>
        <w:rPr>
          <w:rFonts w:ascii="Times New Roman" w:hAnsi="Times New Roman"/>
          <w:szCs w:val="22"/>
        </w:rPr>
        <w:t xml:space="preserve"> </w:t>
      </w:r>
      <w:r w:rsidRPr="00F7503D">
        <w:rPr>
          <w:rFonts w:ascii="Times New Roman" w:hAnsi="Times New Roman"/>
          <w:szCs w:val="22"/>
        </w:rPr>
        <w:t>na</w:t>
      </w:r>
      <w:r>
        <w:rPr>
          <w:rFonts w:ascii="Times New Roman" w:hAnsi="Times New Roman"/>
          <w:szCs w:val="22"/>
        </w:rPr>
        <w:t xml:space="preserve"> </w:t>
      </w:r>
      <w:r w:rsidRPr="00F7503D">
        <w:rPr>
          <w:rFonts w:ascii="Times New Roman" w:hAnsi="Times New Roman"/>
          <w:szCs w:val="22"/>
        </w:rPr>
        <w:t>roky</w:t>
      </w:r>
      <w:r>
        <w:rPr>
          <w:rFonts w:ascii="Times New Roman" w:hAnsi="Times New Roman"/>
          <w:szCs w:val="22"/>
        </w:rPr>
        <w:t xml:space="preserve"> </w:t>
      </w:r>
      <w:r w:rsidRPr="00F7503D">
        <w:rPr>
          <w:rFonts w:ascii="Times New Roman" w:hAnsi="Times New Roman"/>
          <w:szCs w:val="22"/>
        </w:rPr>
        <w:t>2016</w:t>
      </w:r>
      <w:r>
        <w:rPr>
          <w:rFonts w:ascii="Times New Roman" w:hAnsi="Times New Roman"/>
          <w:szCs w:val="22"/>
        </w:rPr>
        <w:t xml:space="preserve"> </w:t>
      </w:r>
      <w:r w:rsidRPr="00F7503D">
        <w:rPr>
          <w:rFonts w:ascii="Times New Roman" w:hAnsi="Times New Roman"/>
          <w:szCs w:val="22"/>
        </w:rPr>
        <w:t>až</w:t>
      </w:r>
      <w:r>
        <w:rPr>
          <w:rFonts w:ascii="Times New Roman" w:hAnsi="Times New Roman"/>
          <w:szCs w:val="22"/>
        </w:rPr>
        <w:t xml:space="preserve"> </w:t>
      </w:r>
      <w:r w:rsidRPr="00F7503D">
        <w:rPr>
          <w:rFonts w:ascii="Times New Roman" w:hAnsi="Times New Roman"/>
          <w:szCs w:val="22"/>
        </w:rPr>
        <w:t>2018</w:t>
      </w:r>
      <w:r>
        <w:rPr>
          <w:rFonts w:ascii="Times New Roman" w:hAnsi="Times New Roman"/>
          <w:szCs w:val="22"/>
        </w:rPr>
        <w:t xml:space="preserve"> </w:t>
      </w:r>
      <w:r w:rsidRPr="00F7503D">
        <w:rPr>
          <w:rFonts w:ascii="Times New Roman" w:hAnsi="Times New Roman"/>
          <w:szCs w:val="22"/>
        </w:rPr>
        <w:t>v</w:t>
      </w:r>
      <w:r>
        <w:rPr>
          <w:rFonts w:ascii="Times New Roman" w:hAnsi="Times New Roman"/>
          <w:szCs w:val="22"/>
        </w:rPr>
        <w:t xml:space="preserve"> </w:t>
      </w:r>
      <w:r w:rsidRPr="00F7503D">
        <w:rPr>
          <w:rFonts w:ascii="Times New Roman" w:hAnsi="Times New Roman"/>
          <w:szCs w:val="22"/>
        </w:rPr>
        <w:t>porovnaní</w:t>
      </w:r>
      <w:r>
        <w:rPr>
          <w:rFonts w:ascii="Times New Roman" w:hAnsi="Times New Roman"/>
          <w:szCs w:val="22"/>
        </w:rPr>
        <w:t xml:space="preserve"> </w:t>
      </w:r>
      <w:r w:rsidRPr="00F7503D">
        <w:rPr>
          <w:rFonts w:ascii="Times New Roman" w:hAnsi="Times New Roman"/>
          <w:szCs w:val="22"/>
        </w:rPr>
        <w:t>s</w:t>
      </w:r>
      <w:r>
        <w:rPr>
          <w:rFonts w:ascii="Times New Roman" w:hAnsi="Times New Roman"/>
          <w:szCs w:val="22"/>
        </w:rPr>
        <w:t xml:space="preserve"> </w:t>
      </w:r>
      <w:r w:rsidRPr="00F7503D">
        <w:rPr>
          <w:rFonts w:ascii="Times New Roman" w:hAnsi="Times New Roman"/>
          <w:szCs w:val="22"/>
        </w:rPr>
        <w:t>rozpočtom</w:t>
      </w:r>
      <w:r>
        <w:rPr>
          <w:rFonts w:ascii="Times New Roman" w:hAnsi="Times New Roman"/>
          <w:szCs w:val="22"/>
        </w:rPr>
        <w:t xml:space="preserve"> </w:t>
      </w:r>
      <w:r w:rsidRPr="00F7503D">
        <w:rPr>
          <w:rFonts w:ascii="Times New Roman" w:hAnsi="Times New Roman"/>
          <w:szCs w:val="22"/>
        </w:rPr>
        <w:t>verejnej</w:t>
      </w:r>
      <w:r>
        <w:rPr>
          <w:rFonts w:ascii="Times New Roman" w:hAnsi="Times New Roman"/>
          <w:szCs w:val="22"/>
        </w:rPr>
        <w:t xml:space="preserve"> </w:t>
      </w:r>
      <w:r w:rsidRPr="00F7503D">
        <w:rPr>
          <w:rFonts w:ascii="Times New Roman" w:hAnsi="Times New Roman"/>
          <w:szCs w:val="22"/>
        </w:rPr>
        <w:t>správy</w:t>
      </w:r>
      <w:r>
        <w:rPr>
          <w:rFonts w:ascii="Times New Roman" w:hAnsi="Times New Roman"/>
          <w:szCs w:val="22"/>
        </w:rPr>
        <w:t xml:space="preserve"> </w:t>
      </w:r>
      <w:r w:rsidRPr="00F7503D">
        <w:rPr>
          <w:rFonts w:ascii="Times New Roman" w:hAnsi="Times New Roman"/>
          <w:szCs w:val="22"/>
        </w:rPr>
        <w:t>a</w:t>
      </w:r>
      <w:r>
        <w:rPr>
          <w:rFonts w:ascii="Times New Roman" w:hAnsi="Times New Roman"/>
          <w:szCs w:val="22"/>
        </w:rPr>
        <w:t xml:space="preserve"> </w:t>
      </w:r>
      <w:r w:rsidRPr="00F7503D">
        <w:rPr>
          <w:rFonts w:ascii="Times New Roman" w:hAnsi="Times New Roman"/>
          <w:szCs w:val="22"/>
        </w:rPr>
        <w:t>s</w:t>
      </w:r>
      <w:r>
        <w:rPr>
          <w:rFonts w:ascii="Times New Roman" w:hAnsi="Times New Roman"/>
          <w:szCs w:val="22"/>
        </w:rPr>
        <w:t xml:space="preserve"> </w:t>
      </w:r>
      <w:r w:rsidRPr="00F7503D">
        <w:rPr>
          <w:rFonts w:ascii="Times New Roman" w:hAnsi="Times New Roman"/>
          <w:szCs w:val="22"/>
        </w:rPr>
        <w:t>očakávanou</w:t>
      </w:r>
      <w:r>
        <w:rPr>
          <w:rFonts w:ascii="Times New Roman" w:hAnsi="Times New Roman"/>
          <w:szCs w:val="22"/>
        </w:rPr>
        <w:t xml:space="preserve"> </w:t>
      </w:r>
      <w:r w:rsidRPr="00F7503D">
        <w:rPr>
          <w:rFonts w:ascii="Times New Roman" w:hAnsi="Times New Roman"/>
          <w:szCs w:val="22"/>
        </w:rPr>
        <w:t>skutočnosťou</w:t>
      </w:r>
      <w:r>
        <w:rPr>
          <w:rFonts w:ascii="Times New Roman" w:hAnsi="Times New Roman"/>
          <w:szCs w:val="22"/>
        </w:rPr>
        <w:t xml:space="preserve"> </w:t>
      </w:r>
      <w:r w:rsidRPr="00F7503D">
        <w:rPr>
          <w:rFonts w:ascii="Times New Roman" w:hAnsi="Times New Roman"/>
          <w:szCs w:val="22"/>
        </w:rPr>
        <w:t>na</w:t>
      </w:r>
      <w:r>
        <w:rPr>
          <w:rFonts w:ascii="Times New Roman" w:hAnsi="Times New Roman"/>
          <w:szCs w:val="22"/>
        </w:rPr>
        <w:t xml:space="preserve"> </w:t>
      </w:r>
      <w:r w:rsidRPr="00F7503D">
        <w:rPr>
          <w:rFonts w:ascii="Times New Roman" w:hAnsi="Times New Roman"/>
          <w:szCs w:val="22"/>
        </w:rPr>
        <w:t>rok</w:t>
      </w:r>
      <w:r>
        <w:rPr>
          <w:rFonts w:ascii="Times New Roman" w:hAnsi="Times New Roman"/>
          <w:szCs w:val="22"/>
        </w:rPr>
        <w:t xml:space="preserve"> </w:t>
      </w:r>
      <w:r w:rsidRPr="00F7503D">
        <w:rPr>
          <w:rFonts w:ascii="Times New Roman" w:hAnsi="Times New Roman"/>
          <w:szCs w:val="22"/>
        </w:rPr>
        <w:t>201</w:t>
      </w:r>
      <w:r>
        <w:rPr>
          <w:rFonts w:ascii="Times New Roman" w:hAnsi="Times New Roman"/>
          <w:szCs w:val="22"/>
        </w:rPr>
        <w:t xml:space="preserve">5 </w:t>
      </w:r>
      <w:r w:rsidRPr="00F7503D">
        <w:rPr>
          <w:rFonts w:ascii="Times New Roman" w:hAnsi="Times New Roman"/>
          <w:szCs w:val="22"/>
        </w:rPr>
        <w:t>a</w:t>
      </w:r>
      <w:r>
        <w:rPr>
          <w:rFonts w:ascii="Times New Roman" w:hAnsi="Times New Roman"/>
          <w:szCs w:val="22"/>
        </w:rPr>
        <w:t xml:space="preserve"> </w:t>
      </w:r>
      <w:r w:rsidRPr="00F7503D">
        <w:rPr>
          <w:rFonts w:ascii="Times New Roman" w:hAnsi="Times New Roman"/>
          <w:szCs w:val="22"/>
        </w:rPr>
        <w:t>so</w:t>
      </w:r>
      <w:r>
        <w:rPr>
          <w:rFonts w:ascii="Times New Roman" w:hAnsi="Times New Roman"/>
          <w:szCs w:val="22"/>
        </w:rPr>
        <w:t xml:space="preserve"> </w:t>
      </w:r>
      <w:r w:rsidRPr="00F7503D">
        <w:rPr>
          <w:rFonts w:ascii="Times New Roman" w:hAnsi="Times New Roman"/>
          <w:szCs w:val="22"/>
        </w:rPr>
        <w:t>skutočnosťou</w:t>
      </w:r>
      <w:r>
        <w:rPr>
          <w:rFonts w:ascii="Times New Roman" w:hAnsi="Times New Roman"/>
          <w:szCs w:val="22"/>
        </w:rPr>
        <w:t xml:space="preserve"> </w:t>
        <w:br/>
      </w:r>
      <w:r w:rsidRPr="00F7503D">
        <w:rPr>
          <w:rFonts w:ascii="Times New Roman" w:hAnsi="Times New Roman"/>
          <w:szCs w:val="22"/>
        </w:rPr>
        <w:t>v</w:t>
      </w:r>
      <w:r>
        <w:rPr>
          <w:rFonts w:ascii="Times New Roman" w:hAnsi="Times New Roman"/>
          <w:szCs w:val="22"/>
        </w:rPr>
        <w:t xml:space="preserve"> </w:t>
      </w:r>
      <w:r w:rsidRPr="00F7503D">
        <w:rPr>
          <w:rFonts w:ascii="Times New Roman" w:hAnsi="Times New Roman"/>
          <w:szCs w:val="22"/>
        </w:rPr>
        <w:t>rokoch</w:t>
      </w:r>
      <w:r>
        <w:rPr>
          <w:rFonts w:ascii="Times New Roman" w:hAnsi="Times New Roman"/>
          <w:szCs w:val="22"/>
        </w:rPr>
        <w:t xml:space="preserve"> </w:t>
      </w:r>
      <w:r w:rsidRPr="00F7503D">
        <w:rPr>
          <w:rFonts w:ascii="Times New Roman" w:hAnsi="Times New Roman"/>
          <w:szCs w:val="22"/>
        </w:rPr>
        <w:t>201</w:t>
      </w:r>
      <w:r>
        <w:rPr>
          <w:rFonts w:ascii="Times New Roman" w:hAnsi="Times New Roman"/>
          <w:szCs w:val="22"/>
        </w:rPr>
        <w:t xml:space="preserve">3 </w:t>
      </w:r>
      <w:r w:rsidRPr="00F7503D">
        <w:rPr>
          <w:rFonts w:ascii="Times New Roman" w:hAnsi="Times New Roman"/>
          <w:szCs w:val="22"/>
        </w:rPr>
        <w:t>a</w:t>
      </w:r>
      <w:r>
        <w:rPr>
          <w:rFonts w:ascii="Times New Roman" w:hAnsi="Times New Roman"/>
          <w:szCs w:val="22"/>
        </w:rPr>
        <w:t xml:space="preserve"> </w:t>
      </w:r>
      <w:r w:rsidRPr="00F7503D">
        <w:rPr>
          <w:rFonts w:ascii="Times New Roman" w:hAnsi="Times New Roman"/>
          <w:szCs w:val="22"/>
        </w:rPr>
        <w:t>201</w:t>
      </w:r>
      <w:r>
        <w:rPr>
          <w:rFonts w:ascii="Times New Roman" w:hAnsi="Times New Roman"/>
          <w:szCs w:val="22"/>
        </w:rPr>
        <w:t xml:space="preserve">4 </w:t>
      </w:r>
      <w:r w:rsidRPr="00F7503D">
        <w:rPr>
          <w:rFonts w:ascii="Times New Roman" w:hAnsi="Times New Roman"/>
          <w:szCs w:val="22"/>
        </w:rPr>
        <w:t>je</w:t>
      </w:r>
      <w:r>
        <w:rPr>
          <w:rFonts w:ascii="Times New Roman" w:hAnsi="Times New Roman"/>
          <w:szCs w:val="22"/>
        </w:rPr>
        <w:t xml:space="preserve"> </w:t>
      </w:r>
      <w:r w:rsidRPr="00F7503D">
        <w:rPr>
          <w:rFonts w:ascii="Times New Roman" w:hAnsi="Times New Roman"/>
          <w:szCs w:val="22"/>
        </w:rPr>
        <w:t>nasledovný:</w:t>
      </w:r>
    </w:p>
    <w:p w:rsidR="002E4E0E" w:rsidP="005E21C8">
      <w:pPr>
        <w:pStyle w:val="BodyText"/>
        <w:bidi w:val="0"/>
        <w:ind w:firstLine="709"/>
        <w:rPr>
          <w:rFonts w:ascii="Times New Roman" w:hAnsi="Times New Roman"/>
          <w:szCs w:val="22"/>
        </w:rPr>
      </w:pPr>
    </w:p>
    <w:p w:rsidR="002E4E0E" w:rsidP="005E21C8">
      <w:pPr>
        <w:pStyle w:val="BodyText"/>
        <w:bidi w:val="0"/>
        <w:ind w:firstLine="709"/>
        <w:rPr>
          <w:rFonts w:ascii="Times New Roman" w:hAnsi="Times New Roman"/>
          <w:szCs w:val="22"/>
        </w:rPr>
      </w:pPr>
    </w:p>
    <w:p w:rsidR="002E4E0E" w:rsidP="005E21C8">
      <w:pPr>
        <w:pStyle w:val="BodyText"/>
        <w:bidi w:val="0"/>
        <w:ind w:firstLine="709"/>
        <w:rPr>
          <w:rFonts w:ascii="Times New Roman" w:hAnsi="Times New Roman"/>
          <w:szCs w:val="22"/>
        </w:rPr>
      </w:pPr>
    </w:p>
    <w:p w:rsidR="002E4E0E" w:rsidP="005E21C8">
      <w:pPr>
        <w:pStyle w:val="BodyText"/>
        <w:bidi w:val="0"/>
        <w:ind w:firstLine="709"/>
        <w:rPr>
          <w:rFonts w:ascii="Times New Roman" w:hAnsi="Times New Roman"/>
          <w:szCs w:val="22"/>
        </w:rPr>
      </w:pPr>
    </w:p>
    <w:p w:rsidR="002E4E0E" w:rsidP="005E21C8">
      <w:pPr>
        <w:pStyle w:val="BodyText"/>
        <w:bidi w:val="0"/>
        <w:ind w:firstLine="709"/>
        <w:rPr>
          <w:rFonts w:ascii="Times New Roman" w:hAnsi="Times New Roman"/>
          <w:szCs w:val="22"/>
        </w:rPr>
      </w:pPr>
    </w:p>
    <w:p w:rsidR="002E4E0E" w:rsidP="005E21C8">
      <w:pPr>
        <w:pStyle w:val="BodyText"/>
        <w:bidi w:val="0"/>
        <w:ind w:firstLine="709"/>
        <w:rPr>
          <w:rFonts w:ascii="Times New Roman" w:hAnsi="Times New Roman"/>
          <w:szCs w:val="22"/>
        </w:rPr>
      </w:pPr>
    </w:p>
    <w:p w:rsidR="002E4E0E" w:rsidP="005E21C8">
      <w:pPr>
        <w:pStyle w:val="BodyText"/>
        <w:bidi w:val="0"/>
        <w:ind w:firstLine="709"/>
        <w:rPr>
          <w:rFonts w:ascii="Times New Roman" w:hAnsi="Times New Roman"/>
          <w:szCs w:val="22"/>
        </w:rPr>
      </w:pPr>
    </w:p>
    <w:p w:rsidR="005E21C8" w:rsidRPr="00135F7D" w:rsidP="005E21C8">
      <w:pPr>
        <w:bidi w:val="0"/>
        <w:ind w:firstLine="709"/>
        <w:jc w:val="both"/>
        <w:rPr>
          <w:rFonts w:ascii="Times New Roman" w:hAnsi="Times New Roman"/>
          <w:sz w:val="16"/>
          <w:szCs w:val="16"/>
          <w:highlight w:val="yellow"/>
        </w:rPr>
      </w:pPr>
    </w:p>
    <w:tbl>
      <w:tblPr>
        <w:tblStyle w:val="TableNormal"/>
        <w:tblW w:w="5000" w:type="pct"/>
        <w:tblCellMar>
          <w:left w:w="70" w:type="dxa"/>
          <w:right w:w="70" w:type="dxa"/>
        </w:tblCellMar>
        <w:tblLook w:val="04A0"/>
      </w:tblPr>
      <w:tblGrid>
        <w:gridCol w:w="3258"/>
        <w:gridCol w:w="967"/>
        <w:gridCol w:w="915"/>
        <w:gridCol w:w="814"/>
        <w:gridCol w:w="814"/>
        <w:gridCol w:w="814"/>
        <w:gridCol w:w="814"/>
        <w:gridCol w:w="814"/>
      </w:tblGrid>
      <w:tr>
        <w:tblPrEx>
          <w:tblW w:w="5000" w:type="pct"/>
          <w:tblCellMar>
            <w:left w:w="70" w:type="dxa"/>
            <w:right w:w="70" w:type="dxa"/>
          </w:tblCellMar>
          <w:tblLook w:val="04A0"/>
        </w:tblPrEx>
        <w:trPr>
          <w:trHeight w:val="263"/>
        </w:trPr>
        <w:tc>
          <w:tcPr>
            <w:tcW w:w="1768"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5E21C8" w:rsidRPr="00F816D0" w:rsidP="00A02DCA">
            <w:pPr>
              <w:bidi w:val="0"/>
              <w:rPr>
                <w:rFonts w:ascii="Times New Roman" w:hAnsi="Times New Roman"/>
                <w:b/>
                <w:bCs/>
                <w:color w:val="000000"/>
                <w:sz w:val="16"/>
                <w:szCs w:val="16"/>
              </w:rPr>
            </w:pPr>
            <w:r w:rsidRPr="00F816D0">
              <w:rPr>
                <w:rFonts w:ascii="Times New Roman" w:hAnsi="Times New Roman"/>
                <w:b/>
                <w:bCs/>
                <w:color w:val="000000"/>
                <w:sz w:val="16"/>
                <w:szCs w:val="16"/>
              </w:rPr>
              <w:t>v tis. eur</w:t>
            </w:r>
          </w:p>
        </w:tc>
        <w:tc>
          <w:tcPr>
            <w:tcW w:w="525"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2013 S</w:t>
            </w:r>
          </w:p>
        </w:tc>
        <w:tc>
          <w:tcPr>
            <w:tcW w:w="497"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2014 S</w:t>
            </w:r>
          </w:p>
        </w:tc>
        <w:tc>
          <w:tcPr>
            <w:tcW w:w="44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2015 R</w:t>
            </w:r>
          </w:p>
        </w:tc>
        <w:tc>
          <w:tcPr>
            <w:tcW w:w="44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2015 OS</w:t>
            </w:r>
          </w:p>
        </w:tc>
        <w:tc>
          <w:tcPr>
            <w:tcW w:w="44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2016 N</w:t>
            </w:r>
          </w:p>
        </w:tc>
        <w:tc>
          <w:tcPr>
            <w:tcW w:w="44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2017 N</w:t>
            </w:r>
          </w:p>
        </w:tc>
        <w:tc>
          <w:tcPr>
            <w:tcW w:w="442"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5E21C8" w:rsidRPr="00F816D0" w:rsidP="00A02DCA">
            <w:pPr>
              <w:bidi w:val="0"/>
              <w:jc w:val="center"/>
              <w:rPr>
                <w:rFonts w:ascii="Times New Roman" w:hAnsi="Times New Roman"/>
                <w:b/>
                <w:bCs/>
                <w:color w:val="000000"/>
                <w:sz w:val="16"/>
                <w:szCs w:val="16"/>
              </w:rPr>
            </w:pPr>
            <w:r w:rsidRPr="00F816D0">
              <w:rPr>
                <w:rFonts w:ascii="Times New Roman" w:hAnsi="Times New Roman"/>
                <w:b/>
                <w:bCs/>
                <w:color w:val="000000"/>
                <w:sz w:val="16"/>
                <w:szCs w:val="16"/>
              </w:rPr>
              <w:t>2018 N</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shd w:val="clear" w:color="000000" w:fill="C0C0C0"/>
            <w:textDirection w:val="lrTb"/>
            <w:vAlign w:val="center"/>
            <w:hideMark/>
          </w:tcPr>
          <w:p w:rsidR="005E21C8" w:rsidRPr="00F816D0" w:rsidP="00A02DCA">
            <w:pPr>
              <w:bidi w:val="0"/>
              <w:rPr>
                <w:rFonts w:ascii="Times New Roman" w:hAnsi="Times New Roman"/>
                <w:b/>
                <w:bCs/>
                <w:color w:val="000000"/>
                <w:sz w:val="16"/>
                <w:szCs w:val="16"/>
              </w:rPr>
            </w:pPr>
            <w:r w:rsidRPr="00F816D0">
              <w:rPr>
                <w:rFonts w:ascii="Times New Roman" w:hAnsi="Times New Roman"/>
                <w:b/>
                <w:bCs/>
                <w:iCs/>
                <w:color w:val="000000"/>
                <w:sz w:val="16"/>
                <w:szCs w:val="16"/>
              </w:rPr>
              <w:t>Príjmy VÚC  spolu</w:t>
            </w:r>
          </w:p>
        </w:tc>
        <w:tc>
          <w:tcPr>
            <w:tcW w:w="525"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1 252 060</w:t>
            </w:r>
          </w:p>
        </w:tc>
        <w:tc>
          <w:tcPr>
            <w:tcW w:w="497"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1 356 422</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1 253 842</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1 365 838</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3679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1 318 78</w:t>
            </w:r>
            <w:r w:rsidR="003679CA">
              <w:rPr>
                <w:rFonts w:ascii="Times New Roman" w:hAnsi="Times New Roman"/>
                <w:b/>
                <w:bCs/>
                <w:color w:val="000000"/>
                <w:sz w:val="16"/>
                <w:szCs w:val="16"/>
              </w:rPr>
              <w:t>7</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1 370 555</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3679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1 418 94</w:t>
            </w:r>
            <w:r w:rsidR="003679CA">
              <w:rPr>
                <w:rFonts w:ascii="Times New Roman" w:hAnsi="Times New Roman"/>
                <w:b/>
                <w:bCs/>
                <w:color w:val="000000"/>
                <w:sz w:val="16"/>
                <w:szCs w:val="16"/>
              </w:rPr>
              <w:t>3</w:t>
            </w:r>
          </w:p>
        </w:tc>
      </w:tr>
      <w:tr>
        <w:tblPrEx>
          <w:tblW w:w="5000" w:type="pct"/>
          <w:tblCellMar>
            <w:left w:w="70" w:type="dxa"/>
            <w:right w:w="70" w:type="dxa"/>
          </w:tblCellMar>
          <w:tblLook w:val="04A0"/>
        </w:tblPrEx>
        <w:trPr>
          <w:trHeight w:val="263"/>
        </w:trPr>
        <w:tc>
          <w:tcPr>
            <w:tcW w:w="2293" w:type="pct"/>
            <w:gridSpan w:val="2"/>
            <w:tcBorders>
              <w:top w:val="single" w:sz="4" w:space="0" w:color="auto"/>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z toho: </w:t>
            </w:r>
          </w:p>
        </w:tc>
        <w:tc>
          <w:tcPr>
            <w:tcW w:w="497" w:type="pct"/>
            <w:tcBorders>
              <w:top w:val="nil"/>
              <w:left w:val="nil"/>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xml:space="preserve">▪   daňové príjmy </w:t>
            </w:r>
          </w:p>
        </w:tc>
        <w:tc>
          <w:tcPr>
            <w:tcW w:w="525"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551 061</w:t>
            </w:r>
          </w:p>
        </w:tc>
        <w:tc>
          <w:tcPr>
            <w:tcW w:w="497"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577 830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625 181</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635 069</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674 474</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726 037</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774 630</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nedaňové príjmy</w:t>
            </w:r>
          </w:p>
        </w:tc>
        <w:tc>
          <w:tcPr>
            <w:tcW w:w="525"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143 398</w:t>
            </w:r>
          </w:p>
        </w:tc>
        <w:tc>
          <w:tcPr>
            <w:tcW w:w="497"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132 539</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122 500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132 500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122 500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122 500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122 500</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xml:space="preserve">▪   granty a transfery </w:t>
            </w:r>
          </w:p>
        </w:tc>
        <w:tc>
          <w:tcPr>
            <w:tcW w:w="525"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482 502</w:t>
            </w:r>
          </w:p>
        </w:tc>
        <w:tc>
          <w:tcPr>
            <w:tcW w:w="497"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488 624</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421 161</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513 269</w:t>
            </w:r>
          </w:p>
        </w:tc>
        <w:tc>
          <w:tcPr>
            <w:tcW w:w="442" w:type="pct"/>
            <w:tcBorders>
              <w:top w:val="nil"/>
              <w:left w:val="nil"/>
              <w:bottom w:val="single" w:sz="4" w:space="0" w:color="auto"/>
              <w:right w:val="single" w:sz="4" w:space="0" w:color="auto"/>
            </w:tcBorders>
            <w:textDirection w:val="lrTb"/>
            <w:vAlign w:val="center"/>
            <w:hideMark/>
          </w:tcPr>
          <w:p w:rsidR="005E21C8" w:rsidRPr="00F816D0" w:rsidP="003679CA">
            <w:pPr>
              <w:bidi w:val="0"/>
              <w:jc w:val="right"/>
              <w:rPr>
                <w:rFonts w:ascii="Times New Roman" w:hAnsi="Times New Roman"/>
                <w:color w:val="000000"/>
                <w:sz w:val="16"/>
                <w:szCs w:val="16"/>
              </w:rPr>
            </w:pPr>
            <w:r w:rsidRPr="00F816D0">
              <w:rPr>
                <w:rFonts w:ascii="Times New Roman" w:hAnsi="Times New Roman"/>
                <w:color w:val="000000"/>
                <w:sz w:val="16"/>
                <w:szCs w:val="16"/>
              </w:rPr>
              <w:t>436 81</w:t>
            </w:r>
            <w:r w:rsidR="003679CA">
              <w:rPr>
                <w:rFonts w:ascii="Times New Roman" w:hAnsi="Times New Roman"/>
                <w:color w:val="000000"/>
                <w:sz w:val="16"/>
                <w:szCs w:val="16"/>
              </w:rPr>
              <w:t>3</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437 018</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3679CA">
            <w:pPr>
              <w:bidi w:val="0"/>
              <w:jc w:val="right"/>
              <w:rPr>
                <w:rFonts w:ascii="Times New Roman" w:hAnsi="Times New Roman"/>
                <w:color w:val="000000"/>
                <w:sz w:val="16"/>
                <w:szCs w:val="16"/>
              </w:rPr>
            </w:pPr>
            <w:r w:rsidRPr="00F816D0">
              <w:rPr>
                <w:rFonts w:ascii="Times New Roman" w:hAnsi="Times New Roman"/>
                <w:color w:val="000000"/>
                <w:sz w:val="16"/>
                <w:szCs w:val="16"/>
              </w:rPr>
              <w:t>436 81</w:t>
            </w:r>
            <w:r w:rsidR="003679CA">
              <w:rPr>
                <w:rFonts w:ascii="Times New Roman" w:hAnsi="Times New Roman"/>
                <w:color w:val="000000"/>
                <w:sz w:val="16"/>
                <w:szCs w:val="16"/>
              </w:rPr>
              <w:t>3</w:t>
            </w:r>
          </w:p>
        </w:tc>
      </w:tr>
      <w:tr>
        <w:tblPrEx>
          <w:tblW w:w="5000" w:type="pct"/>
          <w:tblCellMar>
            <w:left w:w="70" w:type="dxa"/>
            <w:right w:w="70" w:type="dxa"/>
          </w:tblCellMar>
          <w:tblLook w:val="04A0"/>
        </w:tblPrEx>
        <w:trPr>
          <w:trHeight w:val="450"/>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zo splátok tuzemských úverov, pôžičiek a z predaja majetk. účastí (FO)</w:t>
            </w:r>
          </w:p>
        </w:tc>
        <w:tc>
          <w:tcPr>
            <w:tcW w:w="525"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1 119</w:t>
            </w:r>
          </w:p>
        </w:tc>
        <w:tc>
          <w:tcPr>
            <w:tcW w:w="497"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739</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0</w:t>
            </w:r>
          </w:p>
        </w:tc>
      </w:tr>
      <w:tr>
        <w:tblPrEx>
          <w:tblW w:w="5000" w:type="pct"/>
          <w:tblCellMar>
            <w:left w:w="70" w:type="dxa"/>
            <w:right w:w="70" w:type="dxa"/>
          </w:tblCellMar>
          <w:tblLook w:val="04A0"/>
        </w:tblPrEx>
        <w:trPr>
          <w:trHeight w:val="450"/>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zostatok prostr. z predch. rokov a prevod prostriedkov z peňažných fondov (FO)</w:t>
            </w:r>
          </w:p>
        </w:tc>
        <w:tc>
          <w:tcPr>
            <w:tcW w:w="525"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42 598</w:t>
            </w:r>
          </w:p>
        </w:tc>
        <w:tc>
          <w:tcPr>
            <w:tcW w:w="497"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51 025</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50 000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50 000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50 000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50 000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50 000</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prijaté úvery  (FO)</w:t>
            </w:r>
          </w:p>
        </w:tc>
        <w:tc>
          <w:tcPr>
            <w:tcW w:w="525"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31 382</w:t>
            </w:r>
          </w:p>
        </w:tc>
        <w:tc>
          <w:tcPr>
            <w:tcW w:w="497"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105 665</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35 000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35 000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35 000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35 000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35 000</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shd w:val="clear" w:color="000000" w:fill="C0C0C0"/>
            <w:textDirection w:val="lrTb"/>
            <w:vAlign w:val="center"/>
            <w:hideMark/>
          </w:tcPr>
          <w:p w:rsidR="005E21C8" w:rsidRPr="00F816D0" w:rsidP="00A02DCA">
            <w:pPr>
              <w:bidi w:val="0"/>
              <w:rPr>
                <w:rFonts w:ascii="Times New Roman" w:hAnsi="Times New Roman"/>
                <w:b/>
                <w:bCs/>
                <w:color w:val="000000"/>
                <w:sz w:val="16"/>
                <w:szCs w:val="16"/>
              </w:rPr>
            </w:pPr>
            <w:r w:rsidRPr="00F816D0">
              <w:rPr>
                <w:rFonts w:ascii="Times New Roman" w:hAnsi="Times New Roman"/>
                <w:b/>
                <w:bCs/>
                <w:iCs/>
                <w:color w:val="000000"/>
                <w:sz w:val="16"/>
                <w:szCs w:val="16"/>
              </w:rPr>
              <w:t>Výdavky VÚC  spolu</w:t>
            </w:r>
          </w:p>
        </w:tc>
        <w:tc>
          <w:tcPr>
            <w:tcW w:w="525"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1 191 202</w:t>
            </w:r>
          </w:p>
        </w:tc>
        <w:tc>
          <w:tcPr>
            <w:tcW w:w="497"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1 295 151</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1 081 004</w:t>
            </w:r>
          </w:p>
        </w:tc>
        <w:tc>
          <w:tcPr>
            <w:tcW w:w="442" w:type="pct"/>
            <w:tcBorders>
              <w:top w:val="nil"/>
              <w:left w:val="nil"/>
              <w:bottom w:val="single" w:sz="4" w:space="0" w:color="auto"/>
              <w:right w:val="single" w:sz="4" w:space="0" w:color="auto"/>
            </w:tcBorders>
            <w:shd w:val="clear" w:color="000000" w:fill="BFBFBF"/>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1 227 108</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1 166 324</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1 179 397</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1 229 940</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z toho: </w:t>
            </w:r>
          </w:p>
        </w:tc>
        <w:tc>
          <w:tcPr>
            <w:tcW w:w="525" w:type="pct"/>
            <w:tcBorders>
              <w:top w:val="nil"/>
              <w:left w:val="nil"/>
              <w:bottom w:val="single" w:sz="4" w:space="0" w:color="auto"/>
              <w:right w:val="single" w:sz="4" w:space="0" w:color="auto"/>
            </w:tcBorders>
            <w:noWrap/>
            <w:textDirection w:val="lrTb"/>
            <w:vAlign w:val="bottom"/>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xml:space="preserve"> </w:t>
            </w:r>
          </w:p>
        </w:tc>
        <w:tc>
          <w:tcPr>
            <w:tcW w:w="497"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rPr>
                <w:rFonts w:ascii="Times New Roman" w:hAnsi="Times New Roman"/>
                <w:b/>
                <w:bCs/>
                <w:i/>
                <w:iCs/>
                <w:color w:val="FF0000"/>
                <w:sz w:val="16"/>
                <w:szCs w:val="16"/>
              </w:rPr>
            </w:pPr>
            <w:r w:rsidRPr="00F816D0">
              <w:rPr>
                <w:rFonts w:ascii="Times New Roman" w:hAnsi="Times New Roman"/>
                <w:b/>
                <w:bCs/>
                <w:i/>
                <w:iCs/>
                <w:color w:val="000000"/>
                <w:sz w:val="16"/>
                <w:szCs w:val="16"/>
              </w:rPr>
              <w:t xml:space="preserve"> </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mzdy a odvody</w:t>
            </w:r>
          </w:p>
        </w:tc>
        <w:tc>
          <w:tcPr>
            <w:tcW w:w="525"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383 883</w:t>
            </w:r>
          </w:p>
        </w:tc>
        <w:tc>
          <w:tcPr>
            <w:tcW w:w="497"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398 848</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346 202</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391 230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407 432</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411 110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415 161</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xml:space="preserve">▪   tovary a služby </w:t>
            </w:r>
          </w:p>
        </w:tc>
        <w:tc>
          <w:tcPr>
            <w:tcW w:w="525"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228 155</w:t>
            </w:r>
          </w:p>
        </w:tc>
        <w:tc>
          <w:tcPr>
            <w:tcW w:w="497"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222 717</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201 986</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236 453</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239 592</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242 592</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244 687</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bežné transfery</w:t>
            </w:r>
          </w:p>
        </w:tc>
        <w:tc>
          <w:tcPr>
            <w:tcW w:w="525"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420 671</w:t>
            </w:r>
          </w:p>
        </w:tc>
        <w:tc>
          <w:tcPr>
            <w:tcW w:w="497"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448 539</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403 316</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440 831</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426 300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432 695</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437 022</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xml:space="preserve">▪   splácanie úrokov </w:t>
            </w:r>
          </w:p>
        </w:tc>
        <w:tc>
          <w:tcPr>
            <w:tcW w:w="525"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5 994</w:t>
            </w:r>
          </w:p>
        </w:tc>
        <w:tc>
          <w:tcPr>
            <w:tcW w:w="497"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6 157</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7 000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7 000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7 000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7 000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7 070</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kapitálové výdavky</w:t>
            </w:r>
          </w:p>
        </w:tc>
        <w:tc>
          <w:tcPr>
            <w:tcW w:w="525"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107 071</w:t>
            </w:r>
          </w:p>
        </w:tc>
        <w:tc>
          <w:tcPr>
            <w:tcW w:w="497"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90 493</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86 500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115 594</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50 000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50 000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90 000</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xml:space="preserve">▪   úvery a účasť na majetku (FO)  </w:t>
            </w:r>
          </w:p>
        </w:tc>
        <w:tc>
          <w:tcPr>
            <w:tcW w:w="525"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830</w:t>
            </w:r>
          </w:p>
        </w:tc>
        <w:tc>
          <w:tcPr>
            <w:tcW w:w="497"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37</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1 000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1 000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1 000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1 000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1 000</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splácanie istiny (FO)</w:t>
            </w:r>
          </w:p>
        </w:tc>
        <w:tc>
          <w:tcPr>
            <w:tcW w:w="525"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44 598</w:t>
            </w:r>
          </w:p>
        </w:tc>
        <w:tc>
          <w:tcPr>
            <w:tcW w:w="497"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128 360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35 000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35 000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35 000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35 000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35 000</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shd w:val="clear" w:color="000000" w:fill="C0C0C0"/>
            <w:textDirection w:val="lrTb"/>
            <w:vAlign w:val="center"/>
            <w:hideMark/>
          </w:tcPr>
          <w:p w:rsidR="005E21C8" w:rsidRPr="00F816D0" w:rsidP="00A02DCA">
            <w:pPr>
              <w:bidi w:val="0"/>
              <w:rPr>
                <w:rFonts w:ascii="Times New Roman" w:hAnsi="Times New Roman"/>
                <w:b/>
                <w:bCs/>
                <w:color w:val="000000"/>
                <w:sz w:val="16"/>
                <w:szCs w:val="16"/>
              </w:rPr>
            </w:pPr>
            <w:r w:rsidRPr="00F816D0">
              <w:rPr>
                <w:rFonts w:ascii="Times New Roman" w:hAnsi="Times New Roman"/>
                <w:b/>
                <w:bCs/>
                <w:iCs/>
                <w:color w:val="000000"/>
                <w:sz w:val="16"/>
                <w:szCs w:val="16"/>
              </w:rPr>
              <w:t>Celkový prebytok VÚC</w:t>
            </w:r>
          </w:p>
        </w:tc>
        <w:tc>
          <w:tcPr>
            <w:tcW w:w="525"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60 858</w:t>
            </w:r>
          </w:p>
        </w:tc>
        <w:tc>
          <w:tcPr>
            <w:tcW w:w="497"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61 271</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172 838</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138 730</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152 463</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191 158</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189 003</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vylúčenie finančných operácií</w:t>
            </w:r>
          </w:p>
        </w:tc>
        <w:tc>
          <w:tcPr>
            <w:tcW w:w="525"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-29 671</w:t>
            </w:r>
          </w:p>
        </w:tc>
        <w:tc>
          <w:tcPr>
            <w:tcW w:w="497"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-29 032</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-49 000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-49 000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-49 000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-49 000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-49 000</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525" w:type="pct"/>
            <w:tcBorders>
              <w:top w:val="nil"/>
              <w:left w:val="nil"/>
              <w:bottom w:val="single" w:sz="4" w:space="0" w:color="auto"/>
              <w:right w:val="single" w:sz="4" w:space="0" w:color="auto"/>
            </w:tcBorders>
            <w:noWrap/>
            <w:textDirection w:val="lrTb"/>
            <w:vAlign w:val="bottom"/>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xml:space="preserve"> </w:t>
            </w:r>
          </w:p>
        </w:tc>
        <w:tc>
          <w:tcPr>
            <w:tcW w:w="497"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 xml:space="preserve"> </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vylúčenie príjmových FO</w:t>
            </w:r>
          </w:p>
        </w:tc>
        <w:tc>
          <w:tcPr>
            <w:tcW w:w="525" w:type="pct"/>
            <w:tcBorders>
              <w:top w:val="nil"/>
              <w:left w:val="nil"/>
              <w:bottom w:val="single" w:sz="4" w:space="0" w:color="auto"/>
              <w:right w:val="single" w:sz="4" w:space="0" w:color="auto"/>
            </w:tcBorders>
            <w:noWrap/>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-75 099</w:t>
            </w:r>
          </w:p>
        </w:tc>
        <w:tc>
          <w:tcPr>
            <w:tcW w:w="497" w:type="pct"/>
            <w:tcBorders>
              <w:top w:val="nil"/>
              <w:left w:val="nil"/>
              <w:bottom w:val="single" w:sz="4" w:space="0" w:color="auto"/>
              <w:right w:val="single" w:sz="4" w:space="0" w:color="auto"/>
            </w:tcBorders>
            <w:noWrap/>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-157 429</w:t>
            </w:r>
          </w:p>
        </w:tc>
        <w:tc>
          <w:tcPr>
            <w:tcW w:w="442" w:type="pct"/>
            <w:tcBorders>
              <w:top w:val="nil"/>
              <w:left w:val="nil"/>
              <w:bottom w:val="single" w:sz="4" w:space="0" w:color="auto"/>
              <w:right w:val="single" w:sz="4" w:space="0" w:color="auto"/>
            </w:tcBorders>
            <w:noWrap/>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-85 000</w:t>
            </w:r>
          </w:p>
        </w:tc>
        <w:tc>
          <w:tcPr>
            <w:tcW w:w="442" w:type="pct"/>
            <w:tcBorders>
              <w:top w:val="nil"/>
              <w:left w:val="nil"/>
              <w:bottom w:val="single" w:sz="4" w:space="0" w:color="auto"/>
              <w:right w:val="single" w:sz="4" w:space="0" w:color="auto"/>
            </w:tcBorders>
            <w:noWrap/>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-85 000</w:t>
            </w:r>
          </w:p>
        </w:tc>
        <w:tc>
          <w:tcPr>
            <w:tcW w:w="442" w:type="pct"/>
            <w:tcBorders>
              <w:top w:val="nil"/>
              <w:left w:val="nil"/>
              <w:bottom w:val="single" w:sz="4" w:space="0" w:color="auto"/>
              <w:right w:val="single" w:sz="4" w:space="0" w:color="auto"/>
            </w:tcBorders>
            <w:noWrap/>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-85 000</w:t>
            </w:r>
          </w:p>
        </w:tc>
        <w:tc>
          <w:tcPr>
            <w:tcW w:w="442" w:type="pct"/>
            <w:tcBorders>
              <w:top w:val="nil"/>
              <w:left w:val="nil"/>
              <w:bottom w:val="single" w:sz="4" w:space="0" w:color="auto"/>
              <w:right w:val="single" w:sz="4" w:space="0" w:color="auto"/>
            </w:tcBorders>
            <w:noWrap/>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-85 000</w:t>
            </w:r>
          </w:p>
        </w:tc>
        <w:tc>
          <w:tcPr>
            <w:tcW w:w="442" w:type="pct"/>
            <w:tcBorders>
              <w:top w:val="nil"/>
              <w:left w:val="nil"/>
              <w:bottom w:val="single" w:sz="4" w:space="0" w:color="auto"/>
              <w:right w:val="single" w:sz="4" w:space="0" w:color="auto"/>
            </w:tcBorders>
            <w:noWrap/>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-85 000</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color w:val="000000"/>
                <w:sz w:val="16"/>
                <w:szCs w:val="16"/>
              </w:rPr>
            </w:pPr>
            <w:r w:rsidRPr="00F816D0">
              <w:rPr>
                <w:rFonts w:ascii="Times New Roman" w:hAnsi="Times New Roman"/>
                <w:color w:val="000000"/>
                <w:sz w:val="16"/>
                <w:szCs w:val="16"/>
              </w:rPr>
              <w:t>▪   vylúčenie výdavkových FO</w:t>
            </w:r>
          </w:p>
        </w:tc>
        <w:tc>
          <w:tcPr>
            <w:tcW w:w="525" w:type="pct"/>
            <w:tcBorders>
              <w:top w:val="nil"/>
              <w:left w:val="nil"/>
              <w:bottom w:val="single" w:sz="4" w:space="0" w:color="auto"/>
              <w:right w:val="single" w:sz="4" w:space="0" w:color="auto"/>
            </w:tcBorders>
            <w:noWrap/>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45 428</w:t>
            </w:r>
          </w:p>
        </w:tc>
        <w:tc>
          <w:tcPr>
            <w:tcW w:w="497" w:type="pct"/>
            <w:tcBorders>
              <w:top w:val="nil"/>
              <w:left w:val="nil"/>
              <w:bottom w:val="single" w:sz="4" w:space="0" w:color="auto"/>
              <w:right w:val="single" w:sz="4" w:space="0" w:color="auto"/>
            </w:tcBorders>
            <w:noWrap/>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128 397</w:t>
            </w:r>
          </w:p>
        </w:tc>
        <w:tc>
          <w:tcPr>
            <w:tcW w:w="442" w:type="pct"/>
            <w:tcBorders>
              <w:top w:val="nil"/>
              <w:left w:val="nil"/>
              <w:bottom w:val="single" w:sz="4" w:space="0" w:color="auto"/>
              <w:right w:val="single" w:sz="4" w:space="0" w:color="auto"/>
            </w:tcBorders>
            <w:noWrap/>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36 000</w:t>
            </w:r>
          </w:p>
        </w:tc>
        <w:tc>
          <w:tcPr>
            <w:tcW w:w="442" w:type="pct"/>
            <w:tcBorders>
              <w:top w:val="nil"/>
              <w:left w:val="nil"/>
              <w:bottom w:val="single" w:sz="4" w:space="0" w:color="auto"/>
              <w:right w:val="single" w:sz="4" w:space="0" w:color="auto"/>
            </w:tcBorders>
            <w:noWrap/>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36 000</w:t>
            </w:r>
          </w:p>
        </w:tc>
        <w:tc>
          <w:tcPr>
            <w:tcW w:w="442" w:type="pct"/>
            <w:tcBorders>
              <w:top w:val="nil"/>
              <w:left w:val="nil"/>
              <w:bottom w:val="single" w:sz="4" w:space="0" w:color="auto"/>
              <w:right w:val="single" w:sz="4" w:space="0" w:color="auto"/>
            </w:tcBorders>
            <w:noWrap/>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36 000</w:t>
            </w:r>
          </w:p>
        </w:tc>
        <w:tc>
          <w:tcPr>
            <w:tcW w:w="442" w:type="pct"/>
            <w:tcBorders>
              <w:top w:val="nil"/>
              <w:left w:val="nil"/>
              <w:bottom w:val="single" w:sz="4" w:space="0" w:color="auto"/>
              <w:right w:val="single" w:sz="4" w:space="0" w:color="auto"/>
            </w:tcBorders>
            <w:noWrap/>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36 000</w:t>
            </w:r>
          </w:p>
        </w:tc>
        <w:tc>
          <w:tcPr>
            <w:tcW w:w="442" w:type="pct"/>
            <w:tcBorders>
              <w:top w:val="nil"/>
              <w:left w:val="nil"/>
              <w:bottom w:val="single" w:sz="4" w:space="0" w:color="auto"/>
              <w:right w:val="single" w:sz="4" w:space="0" w:color="auto"/>
            </w:tcBorders>
            <w:noWrap/>
            <w:textDirection w:val="lrTb"/>
            <w:vAlign w:val="center"/>
            <w:hideMark/>
          </w:tcPr>
          <w:p w:rsidR="005E21C8" w:rsidRPr="00F816D0" w:rsidP="00A02DCA">
            <w:pPr>
              <w:bidi w:val="0"/>
              <w:jc w:val="right"/>
              <w:rPr>
                <w:rFonts w:ascii="Times New Roman" w:hAnsi="Times New Roman"/>
                <w:color w:val="000000"/>
                <w:sz w:val="16"/>
                <w:szCs w:val="16"/>
              </w:rPr>
            </w:pPr>
            <w:r w:rsidRPr="00F816D0">
              <w:rPr>
                <w:rFonts w:ascii="Times New Roman" w:hAnsi="Times New Roman"/>
                <w:color w:val="000000"/>
                <w:sz w:val="16"/>
                <w:szCs w:val="16"/>
              </w:rPr>
              <w:t>36 000</w:t>
            </w:r>
          </w:p>
        </w:tc>
      </w:tr>
      <w:tr>
        <w:tblPrEx>
          <w:tblW w:w="5000" w:type="pct"/>
          <w:tblCellMar>
            <w:left w:w="70" w:type="dxa"/>
            <w:right w:w="70" w:type="dxa"/>
          </w:tblCellMar>
          <w:tblLook w:val="04A0"/>
        </w:tblPrEx>
        <w:trPr>
          <w:trHeight w:val="263"/>
        </w:trPr>
        <w:tc>
          <w:tcPr>
            <w:tcW w:w="1768" w:type="pct"/>
            <w:tcBorders>
              <w:top w:val="nil"/>
              <w:left w:val="single" w:sz="4" w:space="0" w:color="auto"/>
              <w:bottom w:val="single" w:sz="4" w:space="0" w:color="auto"/>
              <w:right w:val="single" w:sz="4" w:space="0" w:color="auto"/>
            </w:tcBorders>
            <w:textDirection w:val="lrTb"/>
            <w:vAlign w:val="center"/>
            <w:hideMark/>
          </w:tcPr>
          <w:p w:rsidR="005E21C8" w:rsidRPr="00F816D0" w:rsidP="00A02DCA">
            <w:pPr>
              <w:bidi w:val="0"/>
              <w:rPr>
                <w:rFonts w:ascii="Times New Roman" w:hAnsi="Times New Roman"/>
                <w:b/>
                <w:bCs/>
                <w:i/>
                <w:iCs/>
                <w:color w:val="000000"/>
                <w:sz w:val="16"/>
                <w:szCs w:val="16"/>
              </w:rPr>
            </w:pPr>
            <w:r w:rsidRPr="00F816D0">
              <w:rPr>
                <w:rFonts w:ascii="Times New Roman" w:hAnsi="Times New Roman"/>
                <w:b/>
                <w:bCs/>
                <w:i/>
                <w:iCs/>
                <w:color w:val="000000"/>
                <w:sz w:val="16"/>
                <w:szCs w:val="16"/>
              </w:rPr>
              <w:t>zahrnutie časového rozlíšenia  a ostatné úpravy</w:t>
            </w:r>
          </w:p>
        </w:tc>
        <w:tc>
          <w:tcPr>
            <w:tcW w:w="525"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22 554</w:t>
            </w:r>
          </w:p>
        </w:tc>
        <w:tc>
          <w:tcPr>
            <w:tcW w:w="497"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-16 458</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0</w:t>
            </w:r>
          </w:p>
        </w:tc>
        <w:tc>
          <w:tcPr>
            <w:tcW w:w="442" w:type="pct"/>
            <w:tcBorders>
              <w:top w:val="nil"/>
              <w:left w:val="nil"/>
              <w:bottom w:val="single" w:sz="4" w:space="0" w:color="auto"/>
              <w:right w:val="single" w:sz="4" w:space="0" w:color="auto"/>
            </w:tcBorders>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5E21C8" w:rsidRPr="00F816D0" w:rsidP="00A02DCA">
            <w:pPr>
              <w:bidi w:val="0"/>
              <w:jc w:val="right"/>
              <w:rPr>
                <w:rFonts w:ascii="Times New Roman" w:hAnsi="Times New Roman"/>
                <w:b/>
                <w:bCs/>
                <w:i/>
                <w:iCs/>
                <w:color w:val="000000"/>
                <w:sz w:val="16"/>
                <w:szCs w:val="16"/>
              </w:rPr>
            </w:pPr>
            <w:r w:rsidRPr="00F816D0">
              <w:rPr>
                <w:rFonts w:ascii="Times New Roman" w:hAnsi="Times New Roman"/>
                <w:b/>
                <w:bCs/>
                <w:i/>
                <w:iCs/>
                <w:color w:val="000000"/>
                <w:sz w:val="16"/>
                <w:szCs w:val="16"/>
              </w:rPr>
              <w:t>0</w:t>
            </w:r>
          </w:p>
        </w:tc>
      </w:tr>
      <w:tr>
        <w:tblPrEx>
          <w:tblW w:w="5000" w:type="pct"/>
          <w:tblCellMar>
            <w:left w:w="70" w:type="dxa"/>
            <w:right w:w="70" w:type="dxa"/>
          </w:tblCellMar>
          <w:tblLook w:val="04A0"/>
        </w:tblPrEx>
        <w:trPr>
          <w:trHeight w:val="330"/>
        </w:trPr>
        <w:tc>
          <w:tcPr>
            <w:tcW w:w="1768" w:type="pct"/>
            <w:tcBorders>
              <w:top w:val="nil"/>
              <w:left w:val="single" w:sz="4" w:space="0" w:color="auto"/>
              <w:bottom w:val="single" w:sz="4" w:space="0" w:color="auto"/>
              <w:right w:val="single" w:sz="4" w:space="0" w:color="auto"/>
            </w:tcBorders>
            <w:shd w:val="clear" w:color="000000" w:fill="C0C0C0"/>
            <w:textDirection w:val="lrTb"/>
            <w:vAlign w:val="center"/>
            <w:hideMark/>
          </w:tcPr>
          <w:p w:rsidR="005E21C8" w:rsidRPr="00F816D0" w:rsidP="0060040C">
            <w:pPr>
              <w:bidi w:val="0"/>
              <w:rPr>
                <w:rFonts w:ascii="Times New Roman" w:hAnsi="Times New Roman"/>
                <w:b/>
                <w:bCs/>
                <w:color w:val="000000"/>
                <w:sz w:val="16"/>
                <w:szCs w:val="16"/>
              </w:rPr>
            </w:pPr>
            <w:r w:rsidRPr="003679CA" w:rsidR="008D4822">
              <w:rPr>
                <w:rFonts w:ascii="Times New Roman" w:hAnsi="Times New Roman"/>
                <w:b/>
                <w:bCs/>
                <w:iCs/>
                <w:sz w:val="16"/>
                <w:szCs w:val="16"/>
              </w:rPr>
              <w:t xml:space="preserve"> P</w:t>
            </w:r>
            <w:r w:rsidRPr="003679CA">
              <w:rPr>
                <w:rFonts w:ascii="Times New Roman" w:hAnsi="Times New Roman"/>
                <w:b/>
                <w:bCs/>
                <w:iCs/>
                <w:sz w:val="16"/>
                <w:szCs w:val="16"/>
              </w:rPr>
              <w:t>rebytok</w:t>
            </w:r>
            <w:r w:rsidRPr="003679CA" w:rsidR="008D4822">
              <w:rPr>
                <w:rFonts w:ascii="Times New Roman" w:hAnsi="Times New Roman"/>
                <w:b/>
                <w:bCs/>
                <w:iCs/>
                <w:sz w:val="16"/>
                <w:szCs w:val="16"/>
              </w:rPr>
              <w:t xml:space="preserve">(+)/schodok </w:t>
            </w:r>
            <w:r w:rsidRPr="003679CA" w:rsidR="0090374E">
              <w:rPr>
                <w:rFonts w:ascii="Times New Roman" w:hAnsi="Times New Roman"/>
                <w:b/>
                <w:bCs/>
                <w:iCs/>
                <w:sz w:val="16"/>
                <w:szCs w:val="16"/>
              </w:rPr>
              <w:t>(-)</w:t>
            </w:r>
            <w:r w:rsidRPr="003679CA">
              <w:rPr>
                <w:rFonts w:ascii="Times New Roman" w:hAnsi="Times New Roman"/>
                <w:b/>
                <w:bCs/>
                <w:iCs/>
                <w:sz w:val="16"/>
                <w:szCs w:val="16"/>
              </w:rPr>
              <w:t xml:space="preserve"> </w:t>
            </w:r>
            <w:r w:rsidRPr="00F816D0">
              <w:rPr>
                <w:rFonts w:ascii="Times New Roman" w:hAnsi="Times New Roman"/>
                <w:b/>
                <w:bCs/>
                <w:iCs/>
                <w:color w:val="000000"/>
                <w:sz w:val="16"/>
                <w:szCs w:val="16"/>
              </w:rPr>
              <w:t xml:space="preserve"> VÚC  (ESA 2010)</w:t>
            </w:r>
          </w:p>
        </w:tc>
        <w:tc>
          <w:tcPr>
            <w:tcW w:w="525"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53 741</w:t>
            </w:r>
          </w:p>
        </w:tc>
        <w:tc>
          <w:tcPr>
            <w:tcW w:w="497"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15 781</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123 838</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89 730</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103 463</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142 158</w:t>
            </w:r>
          </w:p>
        </w:tc>
        <w:tc>
          <w:tcPr>
            <w:tcW w:w="442" w:type="pct"/>
            <w:tcBorders>
              <w:top w:val="nil"/>
              <w:left w:val="nil"/>
              <w:bottom w:val="single" w:sz="4" w:space="0" w:color="auto"/>
              <w:right w:val="single" w:sz="4" w:space="0" w:color="auto"/>
            </w:tcBorders>
            <w:shd w:val="clear" w:color="000000" w:fill="C0C0C0"/>
            <w:textDirection w:val="lrTb"/>
            <w:vAlign w:val="center"/>
            <w:hideMark/>
          </w:tcPr>
          <w:p w:rsidR="005E21C8" w:rsidRPr="00F816D0" w:rsidP="00A02DCA">
            <w:pPr>
              <w:bidi w:val="0"/>
              <w:jc w:val="right"/>
              <w:rPr>
                <w:rFonts w:ascii="Times New Roman" w:hAnsi="Times New Roman"/>
                <w:b/>
                <w:bCs/>
                <w:color w:val="000000"/>
                <w:sz w:val="16"/>
                <w:szCs w:val="16"/>
              </w:rPr>
            </w:pPr>
            <w:r w:rsidRPr="00F816D0">
              <w:rPr>
                <w:rFonts w:ascii="Times New Roman" w:hAnsi="Times New Roman"/>
                <w:b/>
                <w:bCs/>
                <w:color w:val="000000"/>
                <w:sz w:val="16"/>
                <w:szCs w:val="16"/>
              </w:rPr>
              <w:t>140 003</w:t>
            </w:r>
          </w:p>
        </w:tc>
      </w:tr>
    </w:tbl>
    <w:p w:rsidR="005E21C8" w:rsidP="002E4E0E">
      <w:pPr>
        <w:bidi w:val="0"/>
        <w:jc w:val="both"/>
        <w:rPr>
          <w:rFonts w:ascii="Times New Roman" w:hAnsi="Times New Roman"/>
          <w:sz w:val="16"/>
          <w:szCs w:val="16"/>
        </w:rPr>
      </w:pPr>
    </w:p>
    <w:p w:rsidR="002E4E0E" w:rsidRPr="002E4E0E" w:rsidP="002E4E0E">
      <w:pPr>
        <w:bidi w:val="0"/>
        <w:jc w:val="both"/>
        <w:rPr>
          <w:rFonts w:ascii="Times New Roman" w:hAnsi="Times New Roman"/>
          <w:sz w:val="16"/>
          <w:szCs w:val="16"/>
        </w:rPr>
      </w:pPr>
    </w:p>
    <w:p w:rsidR="005E21C8" w:rsidP="005E21C8">
      <w:pPr>
        <w:bidi w:val="0"/>
        <w:ind w:firstLine="708"/>
        <w:jc w:val="both"/>
        <w:rPr>
          <w:rFonts w:ascii="Times New Roman" w:hAnsi="Times New Roman"/>
        </w:rPr>
      </w:pPr>
      <w:r w:rsidRPr="00515DA1">
        <w:rPr>
          <w:rFonts w:ascii="Times New Roman" w:hAnsi="Times New Roman"/>
        </w:rPr>
        <w:t>Celkové</w:t>
      </w:r>
      <w:r>
        <w:rPr>
          <w:rFonts w:ascii="Times New Roman" w:hAnsi="Times New Roman"/>
        </w:rPr>
        <w:t xml:space="preserve"> </w:t>
      </w:r>
      <w:r w:rsidRPr="00515DA1">
        <w:rPr>
          <w:rFonts w:ascii="Times New Roman" w:hAnsi="Times New Roman"/>
        </w:rPr>
        <w:t>príjmy</w:t>
      </w:r>
      <w:r>
        <w:rPr>
          <w:rFonts w:ascii="Times New Roman" w:hAnsi="Times New Roman"/>
        </w:rPr>
        <w:t xml:space="preserve"> </w:t>
      </w:r>
      <w:r w:rsidRPr="00515DA1">
        <w:rPr>
          <w:rFonts w:ascii="Times New Roman" w:hAnsi="Times New Roman"/>
        </w:rPr>
        <w:t>VÚC</w:t>
      </w:r>
      <w:r>
        <w:rPr>
          <w:rFonts w:ascii="Times New Roman" w:hAnsi="Times New Roman"/>
        </w:rPr>
        <w:t xml:space="preserve"> </w:t>
      </w:r>
      <w:r w:rsidRPr="00515DA1">
        <w:rPr>
          <w:rFonts w:ascii="Times New Roman" w:hAnsi="Times New Roman"/>
        </w:rPr>
        <w:t>v</w:t>
      </w:r>
      <w:r>
        <w:rPr>
          <w:rFonts w:ascii="Times New Roman" w:hAnsi="Times New Roman"/>
        </w:rPr>
        <w:t xml:space="preserve"> </w:t>
      </w:r>
      <w:r w:rsidRPr="00515DA1">
        <w:rPr>
          <w:rFonts w:ascii="Times New Roman" w:hAnsi="Times New Roman"/>
        </w:rPr>
        <w:t>roku</w:t>
      </w:r>
      <w:r>
        <w:rPr>
          <w:rFonts w:ascii="Times New Roman" w:hAnsi="Times New Roman"/>
        </w:rPr>
        <w:t xml:space="preserve"> </w:t>
      </w:r>
      <w:r w:rsidRPr="00515DA1">
        <w:rPr>
          <w:rFonts w:ascii="Times New Roman" w:hAnsi="Times New Roman"/>
        </w:rPr>
        <w:t>2016</w:t>
      </w:r>
      <w:r>
        <w:rPr>
          <w:rFonts w:ascii="Times New Roman" w:hAnsi="Times New Roman"/>
        </w:rPr>
        <w:t xml:space="preserve"> </w:t>
      </w:r>
      <w:r w:rsidRPr="00515DA1">
        <w:rPr>
          <w:rFonts w:ascii="Times New Roman" w:hAnsi="Times New Roman"/>
        </w:rPr>
        <w:t>sú</w:t>
      </w:r>
      <w:r>
        <w:rPr>
          <w:rFonts w:ascii="Times New Roman" w:hAnsi="Times New Roman"/>
        </w:rPr>
        <w:t xml:space="preserve"> </w:t>
      </w:r>
      <w:r w:rsidRPr="00515DA1">
        <w:rPr>
          <w:rFonts w:ascii="Times New Roman" w:hAnsi="Times New Roman"/>
        </w:rPr>
        <w:t>oproti</w:t>
      </w:r>
      <w:r>
        <w:rPr>
          <w:rFonts w:ascii="Times New Roman" w:hAnsi="Times New Roman"/>
        </w:rPr>
        <w:t xml:space="preserve"> </w:t>
      </w:r>
      <w:r w:rsidRPr="00515DA1">
        <w:rPr>
          <w:rFonts w:ascii="Times New Roman" w:hAnsi="Times New Roman"/>
        </w:rPr>
        <w:t>rozpočtu</w:t>
      </w:r>
      <w:r>
        <w:rPr>
          <w:rFonts w:ascii="Times New Roman" w:hAnsi="Times New Roman"/>
        </w:rPr>
        <w:t xml:space="preserve"> </w:t>
      </w:r>
      <w:r w:rsidRPr="00515DA1">
        <w:rPr>
          <w:rFonts w:ascii="Times New Roman" w:hAnsi="Times New Roman"/>
        </w:rPr>
        <w:t>verejnej</w:t>
      </w:r>
      <w:r>
        <w:rPr>
          <w:rFonts w:ascii="Times New Roman" w:hAnsi="Times New Roman"/>
        </w:rPr>
        <w:t xml:space="preserve"> </w:t>
      </w:r>
      <w:r w:rsidRPr="00515DA1">
        <w:rPr>
          <w:rFonts w:ascii="Times New Roman" w:hAnsi="Times New Roman"/>
        </w:rPr>
        <w:t>správy</w:t>
      </w:r>
      <w:r>
        <w:rPr>
          <w:rFonts w:ascii="Times New Roman" w:hAnsi="Times New Roman"/>
        </w:rPr>
        <w:t xml:space="preserve"> </w:t>
      </w:r>
      <w:r w:rsidRPr="00515DA1">
        <w:rPr>
          <w:rFonts w:ascii="Times New Roman" w:hAnsi="Times New Roman"/>
        </w:rPr>
        <w:t>na</w:t>
      </w:r>
      <w:r>
        <w:rPr>
          <w:rFonts w:ascii="Times New Roman" w:hAnsi="Times New Roman"/>
        </w:rPr>
        <w:t xml:space="preserve"> </w:t>
      </w:r>
      <w:r w:rsidRPr="00515DA1">
        <w:rPr>
          <w:rFonts w:ascii="Times New Roman" w:hAnsi="Times New Roman"/>
        </w:rPr>
        <w:t>rok</w:t>
      </w:r>
      <w:r>
        <w:rPr>
          <w:rFonts w:ascii="Times New Roman" w:hAnsi="Times New Roman"/>
        </w:rPr>
        <w:t xml:space="preserve"> </w:t>
      </w:r>
      <w:r w:rsidRPr="00515DA1">
        <w:rPr>
          <w:rFonts w:ascii="Times New Roman" w:hAnsi="Times New Roman"/>
        </w:rPr>
        <w:t>2015</w:t>
      </w:r>
      <w:r>
        <w:rPr>
          <w:rFonts w:ascii="Times New Roman" w:hAnsi="Times New Roman"/>
        </w:rPr>
        <w:t xml:space="preserve"> </w:t>
      </w:r>
      <w:r w:rsidRPr="00515DA1">
        <w:rPr>
          <w:rFonts w:ascii="Times New Roman" w:hAnsi="Times New Roman"/>
        </w:rPr>
        <w:t>vyššie</w:t>
      </w:r>
      <w:r>
        <w:rPr>
          <w:rFonts w:ascii="Times New Roman" w:hAnsi="Times New Roman"/>
        </w:rPr>
        <w:t xml:space="preserve"> </w:t>
      </w:r>
      <w:r w:rsidRPr="00515DA1">
        <w:rPr>
          <w:rFonts w:ascii="Times New Roman" w:hAnsi="Times New Roman"/>
        </w:rPr>
        <w:t>o</w:t>
      </w:r>
      <w:r>
        <w:rPr>
          <w:rFonts w:ascii="Times New Roman" w:hAnsi="Times New Roman"/>
        </w:rPr>
        <w:t xml:space="preserve"> </w:t>
      </w:r>
      <w:r w:rsidRPr="00515DA1">
        <w:rPr>
          <w:rFonts w:ascii="Times New Roman" w:hAnsi="Times New Roman"/>
        </w:rPr>
        <w:t>5,2</w:t>
      </w:r>
      <w:r>
        <w:rPr>
          <w:rFonts w:ascii="Times New Roman" w:hAnsi="Times New Roman"/>
        </w:rPr>
        <w:t xml:space="preserve"> </w:t>
      </w:r>
      <w:r w:rsidRPr="00515DA1">
        <w:rPr>
          <w:rFonts w:ascii="Times New Roman" w:hAnsi="Times New Roman"/>
        </w:rPr>
        <w:t>%.</w:t>
      </w:r>
      <w:r>
        <w:rPr>
          <w:rFonts w:ascii="Times New Roman" w:hAnsi="Times New Roman"/>
        </w:rPr>
        <w:t xml:space="preserve"> </w:t>
      </w:r>
      <w:r w:rsidRPr="00515DA1">
        <w:rPr>
          <w:rFonts w:ascii="Times New Roman" w:hAnsi="Times New Roman"/>
        </w:rPr>
        <w:t>Predpokladá</w:t>
      </w:r>
      <w:r>
        <w:rPr>
          <w:rFonts w:ascii="Times New Roman" w:hAnsi="Times New Roman"/>
        </w:rPr>
        <w:t xml:space="preserve"> </w:t>
      </w:r>
      <w:r w:rsidRPr="00515DA1">
        <w:rPr>
          <w:rFonts w:ascii="Times New Roman" w:hAnsi="Times New Roman"/>
        </w:rPr>
        <w:t>sa</w:t>
      </w:r>
      <w:r>
        <w:rPr>
          <w:rFonts w:ascii="Times New Roman" w:hAnsi="Times New Roman"/>
        </w:rPr>
        <w:t xml:space="preserve"> </w:t>
      </w:r>
      <w:r w:rsidRPr="00515DA1">
        <w:rPr>
          <w:rFonts w:ascii="Times New Roman" w:hAnsi="Times New Roman"/>
        </w:rPr>
        <w:t>rast</w:t>
      </w:r>
      <w:r>
        <w:rPr>
          <w:rFonts w:ascii="Times New Roman" w:hAnsi="Times New Roman"/>
        </w:rPr>
        <w:t xml:space="preserve"> </w:t>
      </w:r>
      <w:r w:rsidRPr="00515DA1">
        <w:rPr>
          <w:rFonts w:ascii="Times New Roman" w:hAnsi="Times New Roman"/>
        </w:rPr>
        <w:t>daňových</w:t>
      </w:r>
      <w:r>
        <w:rPr>
          <w:rFonts w:ascii="Times New Roman" w:hAnsi="Times New Roman"/>
        </w:rPr>
        <w:t xml:space="preserve"> </w:t>
      </w:r>
      <w:r w:rsidRPr="00515DA1">
        <w:rPr>
          <w:rFonts w:ascii="Times New Roman" w:hAnsi="Times New Roman"/>
        </w:rPr>
        <w:t>príjmov</w:t>
      </w:r>
      <w:r>
        <w:rPr>
          <w:rFonts w:ascii="Times New Roman" w:hAnsi="Times New Roman"/>
        </w:rPr>
        <w:t xml:space="preserve"> </w:t>
      </w:r>
      <w:r w:rsidRPr="00515DA1">
        <w:rPr>
          <w:rFonts w:ascii="Times New Roman" w:hAnsi="Times New Roman"/>
        </w:rPr>
        <w:t>o</w:t>
      </w:r>
      <w:r>
        <w:rPr>
          <w:rFonts w:ascii="Times New Roman" w:hAnsi="Times New Roman"/>
        </w:rPr>
        <w:t xml:space="preserve"> </w:t>
      </w:r>
      <w:r w:rsidRPr="00515DA1">
        <w:rPr>
          <w:rFonts w:ascii="Times New Roman" w:hAnsi="Times New Roman"/>
        </w:rPr>
        <w:t>7,9</w:t>
      </w:r>
      <w:r>
        <w:rPr>
          <w:rFonts w:ascii="Times New Roman" w:hAnsi="Times New Roman"/>
        </w:rPr>
        <w:t xml:space="preserve"> </w:t>
      </w:r>
      <w:r w:rsidRPr="00515DA1">
        <w:rPr>
          <w:rFonts w:ascii="Times New Roman" w:hAnsi="Times New Roman"/>
        </w:rPr>
        <w:t>%</w:t>
      </w:r>
      <w:r>
        <w:rPr>
          <w:rFonts w:ascii="Times New Roman" w:hAnsi="Times New Roman"/>
        </w:rPr>
        <w:t xml:space="preserve"> a </w:t>
      </w:r>
      <w:r w:rsidRPr="00515DA1">
        <w:rPr>
          <w:rFonts w:ascii="Times New Roman" w:hAnsi="Times New Roman"/>
        </w:rPr>
        <w:t>grantov</w:t>
      </w:r>
      <w:r>
        <w:rPr>
          <w:rFonts w:ascii="Times New Roman" w:hAnsi="Times New Roman"/>
        </w:rPr>
        <w:t xml:space="preserve"> </w:t>
      </w:r>
      <w:r w:rsidRPr="00515DA1">
        <w:rPr>
          <w:rFonts w:ascii="Times New Roman" w:hAnsi="Times New Roman"/>
        </w:rPr>
        <w:t>a</w:t>
      </w:r>
      <w:r>
        <w:rPr>
          <w:rFonts w:ascii="Times New Roman" w:hAnsi="Times New Roman"/>
        </w:rPr>
        <w:t xml:space="preserve"> </w:t>
      </w:r>
      <w:r w:rsidRPr="00515DA1">
        <w:rPr>
          <w:rFonts w:ascii="Times New Roman" w:hAnsi="Times New Roman"/>
        </w:rPr>
        <w:t>transferov</w:t>
      </w:r>
      <w:r>
        <w:rPr>
          <w:rFonts w:ascii="Times New Roman" w:hAnsi="Times New Roman"/>
        </w:rPr>
        <w:t xml:space="preserve"> </w:t>
      </w:r>
      <w:r w:rsidRPr="00515DA1">
        <w:rPr>
          <w:rFonts w:ascii="Times New Roman" w:hAnsi="Times New Roman"/>
        </w:rPr>
        <w:t>o</w:t>
      </w:r>
      <w:r>
        <w:rPr>
          <w:rFonts w:ascii="Times New Roman" w:hAnsi="Times New Roman"/>
        </w:rPr>
        <w:t xml:space="preserve"> </w:t>
      </w:r>
      <w:r w:rsidRPr="00515DA1">
        <w:rPr>
          <w:rFonts w:ascii="Times New Roman" w:hAnsi="Times New Roman"/>
        </w:rPr>
        <w:t>3,7</w:t>
      </w:r>
      <w:r>
        <w:rPr>
          <w:rFonts w:ascii="Times New Roman" w:hAnsi="Times New Roman"/>
        </w:rPr>
        <w:t xml:space="preserve"> </w:t>
      </w:r>
      <w:r w:rsidRPr="00515DA1">
        <w:rPr>
          <w:rFonts w:ascii="Times New Roman" w:hAnsi="Times New Roman"/>
        </w:rPr>
        <w:t>%</w:t>
      </w:r>
      <w:r>
        <w:rPr>
          <w:rFonts w:ascii="Times New Roman" w:hAnsi="Times New Roman"/>
        </w:rPr>
        <w:t xml:space="preserve">. </w:t>
      </w:r>
      <w:r w:rsidRPr="00515DA1">
        <w:rPr>
          <w:rFonts w:ascii="Times New Roman" w:hAnsi="Times New Roman"/>
        </w:rPr>
        <w:t>V</w:t>
      </w:r>
      <w:r>
        <w:rPr>
          <w:rFonts w:ascii="Times New Roman" w:hAnsi="Times New Roman"/>
        </w:rPr>
        <w:t xml:space="preserve"> </w:t>
      </w:r>
      <w:r w:rsidRPr="00515DA1">
        <w:rPr>
          <w:rFonts w:ascii="Times New Roman" w:hAnsi="Times New Roman"/>
        </w:rPr>
        <w:t>roku</w:t>
      </w:r>
      <w:r>
        <w:rPr>
          <w:rFonts w:ascii="Times New Roman" w:hAnsi="Times New Roman"/>
        </w:rPr>
        <w:t xml:space="preserve"> </w:t>
      </w:r>
      <w:r w:rsidRPr="00515DA1">
        <w:rPr>
          <w:rFonts w:ascii="Times New Roman" w:hAnsi="Times New Roman"/>
        </w:rPr>
        <w:t>2017</w:t>
      </w:r>
      <w:r>
        <w:rPr>
          <w:rFonts w:ascii="Times New Roman" w:hAnsi="Times New Roman"/>
        </w:rPr>
        <w:t xml:space="preserve"> </w:t>
      </w:r>
      <w:r w:rsidRPr="00515DA1">
        <w:rPr>
          <w:rFonts w:ascii="Times New Roman" w:hAnsi="Times New Roman"/>
        </w:rPr>
        <w:t>sa</w:t>
      </w:r>
      <w:r>
        <w:rPr>
          <w:rFonts w:ascii="Times New Roman" w:hAnsi="Times New Roman"/>
        </w:rPr>
        <w:t xml:space="preserve"> </w:t>
      </w:r>
      <w:r w:rsidRPr="00515DA1">
        <w:rPr>
          <w:rFonts w:ascii="Times New Roman" w:hAnsi="Times New Roman"/>
        </w:rPr>
        <w:t>v</w:t>
      </w:r>
      <w:r>
        <w:rPr>
          <w:rFonts w:ascii="Times New Roman" w:hAnsi="Times New Roman"/>
        </w:rPr>
        <w:t xml:space="preserve"> </w:t>
      </w:r>
      <w:r w:rsidRPr="00515DA1">
        <w:rPr>
          <w:rFonts w:ascii="Times New Roman" w:hAnsi="Times New Roman"/>
        </w:rPr>
        <w:t>celkových</w:t>
      </w:r>
      <w:r>
        <w:rPr>
          <w:rFonts w:ascii="Times New Roman" w:hAnsi="Times New Roman"/>
        </w:rPr>
        <w:t xml:space="preserve"> </w:t>
      </w:r>
      <w:r w:rsidRPr="00515DA1">
        <w:rPr>
          <w:rFonts w:ascii="Times New Roman" w:hAnsi="Times New Roman"/>
        </w:rPr>
        <w:t>príjmoch</w:t>
      </w:r>
      <w:r>
        <w:rPr>
          <w:rFonts w:ascii="Times New Roman" w:hAnsi="Times New Roman"/>
        </w:rPr>
        <w:t xml:space="preserve"> </w:t>
      </w:r>
      <w:r w:rsidRPr="00515DA1">
        <w:rPr>
          <w:rFonts w:ascii="Times New Roman" w:hAnsi="Times New Roman"/>
        </w:rPr>
        <w:t>oproti</w:t>
      </w:r>
      <w:r>
        <w:rPr>
          <w:rFonts w:ascii="Times New Roman" w:hAnsi="Times New Roman"/>
        </w:rPr>
        <w:t xml:space="preserve"> </w:t>
      </w:r>
      <w:r w:rsidRPr="00515DA1">
        <w:rPr>
          <w:rFonts w:ascii="Times New Roman" w:hAnsi="Times New Roman"/>
        </w:rPr>
        <w:t>roku</w:t>
      </w:r>
      <w:r>
        <w:rPr>
          <w:rFonts w:ascii="Times New Roman" w:hAnsi="Times New Roman"/>
        </w:rPr>
        <w:t xml:space="preserve"> </w:t>
      </w:r>
      <w:r w:rsidRPr="00515DA1">
        <w:rPr>
          <w:rFonts w:ascii="Times New Roman" w:hAnsi="Times New Roman"/>
        </w:rPr>
        <w:t>2016</w:t>
      </w:r>
      <w:r>
        <w:rPr>
          <w:rFonts w:ascii="Times New Roman" w:hAnsi="Times New Roman"/>
        </w:rPr>
        <w:t xml:space="preserve"> </w:t>
      </w:r>
      <w:r w:rsidRPr="00515DA1">
        <w:rPr>
          <w:rFonts w:ascii="Times New Roman" w:hAnsi="Times New Roman"/>
        </w:rPr>
        <w:t>očakáva</w:t>
      </w:r>
      <w:r>
        <w:rPr>
          <w:rFonts w:ascii="Times New Roman" w:hAnsi="Times New Roman"/>
        </w:rPr>
        <w:t xml:space="preserve"> </w:t>
      </w:r>
      <w:r w:rsidRPr="00515DA1">
        <w:rPr>
          <w:rFonts w:ascii="Times New Roman" w:hAnsi="Times New Roman"/>
        </w:rPr>
        <w:t>nárast</w:t>
      </w:r>
      <w:r>
        <w:rPr>
          <w:rFonts w:ascii="Times New Roman" w:hAnsi="Times New Roman"/>
        </w:rPr>
        <w:t xml:space="preserve"> </w:t>
      </w:r>
      <w:r w:rsidRPr="00515DA1">
        <w:rPr>
          <w:rFonts w:ascii="Times New Roman" w:hAnsi="Times New Roman"/>
        </w:rPr>
        <w:t>o</w:t>
      </w:r>
      <w:r>
        <w:rPr>
          <w:rFonts w:ascii="Times New Roman" w:hAnsi="Times New Roman"/>
        </w:rPr>
        <w:t xml:space="preserve"> </w:t>
      </w:r>
      <w:r w:rsidRPr="00515DA1">
        <w:rPr>
          <w:rFonts w:ascii="Times New Roman" w:hAnsi="Times New Roman"/>
        </w:rPr>
        <w:t>3,9</w:t>
      </w:r>
      <w:r>
        <w:rPr>
          <w:rFonts w:ascii="Times New Roman" w:hAnsi="Times New Roman"/>
        </w:rPr>
        <w:t xml:space="preserve"> </w:t>
      </w:r>
      <w:r w:rsidRPr="00515DA1">
        <w:rPr>
          <w:rFonts w:ascii="Times New Roman" w:hAnsi="Times New Roman"/>
        </w:rPr>
        <w:t>%</w:t>
      </w:r>
      <w:r>
        <w:rPr>
          <w:rFonts w:ascii="Times New Roman" w:hAnsi="Times New Roman"/>
        </w:rPr>
        <w:t xml:space="preserve"> </w:t>
      </w:r>
      <w:r w:rsidRPr="00515DA1">
        <w:rPr>
          <w:rFonts w:ascii="Times New Roman" w:hAnsi="Times New Roman"/>
        </w:rPr>
        <w:t>a</w:t>
      </w:r>
      <w:r>
        <w:rPr>
          <w:rFonts w:ascii="Times New Roman" w:hAnsi="Times New Roman"/>
        </w:rPr>
        <w:t xml:space="preserve"> </w:t>
      </w:r>
      <w:r w:rsidRPr="00515DA1">
        <w:rPr>
          <w:rFonts w:ascii="Times New Roman" w:hAnsi="Times New Roman"/>
        </w:rPr>
        <w:t>v</w:t>
      </w:r>
      <w:r>
        <w:rPr>
          <w:rFonts w:ascii="Times New Roman" w:hAnsi="Times New Roman"/>
        </w:rPr>
        <w:t xml:space="preserve"> </w:t>
      </w:r>
      <w:r w:rsidRPr="00515DA1">
        <w:rPr>
          <w:rFonts w:ascii="Times New Roman" w:hAnsi="Times New Roman"/>
        </w:rPr>
        <w:t>roku</w:t>
      </w:r>
      <w:r>
        <w:rPr>
          <w:rFonts w:ascii="Times New Roman" w:hAnsi="Times New Roman"/>
        </w:rPr>
        <w:t xml:space="preserve"> </w:t>
      </w:r>
      <w:r w:rsidRPr="00515DA1">
        <w:rPr>
          <w:rFonts w:ascii="Times New Roman" w:hAnsi="Times New Roman"/>
        </w:rPr>
        <w:t>2018</w:t>
      </w:r>
      <w:r>
        <w:rPr>
          <w:rFonts w:ascii="Times New Roman" w:hAnsi="Times New Roman"/>
        </w:rPr>
        <w:t xml:space="preserve"> </w:t>
      </w:r>
      <w:r w:rsidRPr="00515DA1">
        <w:rPr>
          <w:rFonts w:ascii="Times New Roman" w:hAnsi="Times New Roman"/>
        </w:rPr>
        <w:t>oproti</w:t>
      </w:r>
      <w:r>
        <w:rPr>
          <w:rFonts w:ascii="Times New Roman" w:hAnsi="Times New Roman"/>
        </w:rPr>
        <w:t xml:space="preserve"> </w:t>
      </w:r>
      <w:r w:rsidRPr="00515DA1">
        <w:rPr>
          <w:rFonts w:ascii="Times New Roman" w:hAnsi="Times New Roman"/>
        </w:rPr>
        <w:t>roku</w:t>
      </w:r>
      <w:r>
        <w:rPr>
          <w:rFonts w:ascii="Times New Roman" w:hAnsi="Times New Roman"/>
        </w:rPr>
        <w:t xml:space="preserve"> </w:t>
      </w:r>
      <w:r w:rsidRPr="00515DA1">
        <w:rPr>
          <w:rFonts w:ascii="Times New Roman" w:hAnsi="Times New Roman"/>
        </w:rPr>
        <w:t>2017</w:t>
      </w:r>
      <w:r>
        <w:rPr>
          <w:rFonts w:ascii="Times New Roman" w:hAnsi="Times New Roman"/>
        </w:rPr>
        <w:t xml:space="preserve"> </w:t>
      </w:r>
      <w:r w:rsidRPr="00515DA1">
        <w:rPr>
          <w:rFonts w:ascii="Times New Roman" w:hAnsi="Times New Roman"/>
        </w:rPr>
        <w:t>nárast</w:t>
      </w:r>
      <w:r>
        <w:rPr>
          <w:rFonts w:ascii="Times New Roman" w:hAnsi="Times New Roman"/>
        </w:rPr>
        <w:t xml:space="preserve"> </w:t>
      </w:r>
      <w:r w:rsidRPr="00515DA1">
        <w:rPr>
          <w:rFonts w:ascii="Times New Roman" w:hAnsi="Times New Roman"/>
        </w:rPr>
        <w:t>o</w:t>
      </w:r>
      <w:r>
        <w:rPr>
          <w:rFonts w:ascii="Times New Roman" w:hAnsi="Times New Roman"/>
        </w:rPr>
        <w:t xml:space="preserve"> </w:t>
      </w:r>
      <w:r w:rsidRPr="00515DA1">
        <w:rPr>
          <w:rFonts w:ascii="Times New Roman" w:hAnsi="Times New Roman"/>
        </w:rPr>
        <w:t>3,5</w:t>
      </w:r>
      <w:r>
        <w:rPr>
          <w:rFonts w:ascii="Times New Roman" w:hAnsi="Times New Roman"/>
        </w:rPr>
        <w:t xml:space="preserve"> </w:t>
      </w:r>
      <w:r w:rsidRPr="00515DA1">
        <w:rPr>
          <w:rFonts w:ascii="Times New Roman" w:hAnsi="Times New Roman"/>
        </w:rPr>
        <w:t>%</w:t>
      </w:r>
      <w:r>
        <w:rPr>
          <w:rFonts w:ascii="Times New Roman" w:hAnsi="Times New Roman"/>
        </w:rPr>
        <w:t xml:space="preserve"> </w:t>
      </w:r>
      <w:r w:rsidRPr="00515DA1">
        <w:rPr>
          <w:rFonts w:ascii="Times New Roman" w:hAnsi="Times New Roman"/>
        </w:rPr>
        <w:t>najmä</w:t>
      </w:r>
      <w:r>
        <w:rPr>
          <w:rFonts w:ascii="Times New Roman" w:hAnsi="Times New Roman"/>
        </w:rPr>
        <w:t xml:space="preserve"> </w:t>
      </w:r>
      <w:r w:rsidRPr="00515DA1">
        <w:rPr>
          <w:rFonts w:ascii="Times New Roman" w:hAnsi="Times New Roman"/>
        </w:rPr>
        <w:t>z</w:t>
      </w:r>
      <w:r>
        <w:rPr>
          <w:rFonts w:ascii="Times New Roman" w:hAnsi="Times New Roman"/>
        </w:rPr>
        <w:t xml:space="preserve"> </w:t>
      </w:r>
      <w:r w:rsidRPr="00515DA1">
        <w:rPr>
          <w:rFonts w:ascii="Times New Roman" w:hAnsi="Times New Roman"/>
        </w:rPr>
        <w:t>dôvodu</w:t>
      </w:r>
      <w:r>
        <w:rPr>
          <w:rFonts w:ascii="Times New Roman" w:hAnsi="Times New Roman"/>
        </w:rPr>
        <w:t xml:space="preserve"> </w:t>
      </w:r>
      <w:r w:rsidRPr="00515DA1">
        <w:rPr>
          <w:rFonts w:ascii="Times New Roman" w:hAnsi="Times New Roman"/>
        </w:rPr>
        <w:t>nárastu</w:t>
      </w:r>
      <w:r>
        <w:rPr>
          <w:rFonts w:ascii="Times New Roman" w:hAnsi="Times New Roman"/>
        </w:rPr>
        <w:t xml:space="preserve"> </w:t>
      </w:r>
      <w:r w:rsidRPr="00515DA1">
        <w:rPr>
          <w:rFonts w:ascii="Times New Roman" w:hAnsi="Times New Roman"/>
        </w:rPr>
        <w:t>daňových</w:t>
      </w:r>
      <w:r>
        <w:rPr>
          <w:rFonts w:ascii="Times New Roman" w:hAnsi="Times New Roman"/>
        </w:rPr>
        <w:t xml:space="preserve"> </w:t>
      </w:r>
      <w:r w:rsidRPr="00515DA1">
        <w:rPr>
          <w:rFonts w:ascii="Times New Roman" w:hAnsi="Times New Roman"/>
        </w:rPr>
        <w:t>príjmov.</w:t>
      </w:r>
      <w:r>
        <w:rPr>
          <w:rFonts w:ascii="Times New Roman" w:hAnsi="Times New Roman"/>
        </w:rPr>
        <w:t xml:space="preserve"> </w:t>
      </w:r>
      <w:r w:rsidRPr="00515DA1">
        <w:rPr>
          <w:rFonts w:ascii="Times New Roman" w:hAnsi="Times New Roman"/>
        </w:rPr>
        <w:t>Daňové</w:t>
      </w:r>
      <w:r>
        <w:rPr>
          <w:rFonts w:ascii="Times New Roman" w:hAnsi="Times New Roman"/>
        </w:rPr>
        <w:t xml:space="preserve"> </w:t>
      </w:r>
      <w:r w:rsidRPr="00515DA1">
        <w:rPr>
          <w:rFonts w:ascii="Times New Roman" w:hAnsi="Times New Roman"/>
        </w:rPr>
        <w:t>príjmy</w:t>
      </w:r>
      <w:r>
        <w:rPr>
          <w:rFonts w:ascii="Times New Roman" w:hAnsi="Times New Roman"/>
        </w:rPr>
        <w:t xml:space="preserve"> </w:t>
      </w:r>
      <w:r w:rsidRPr="00515DA1">
        <w:rPr>
          <w:rFonts w:ascii="Times New Roman" w:hAnsi="Times New Roman"/>
        </w:rPr>
        <w:t>sa</w:t>
      </w:r>
      <w:r>
        <w:rPr>
          <w:rFonts w:ascii="Times New Roman" w:hAnsi="Times New Roman"/>
        </w:rPr>
        <w:t xml:space="preserve"> </w:t>
      </w:r>
      <w:r w:rsidRPr="00515DA1">
        <w:rPr>
          <w:rFonts w:ascii="Times New Roman" w:hAnsi="Times New Roman"/>
        </w:rPr>
        <w:t>očakávajú</w:t>
      </w:r>
      <w:r>
        <w:rPr>
          <w:rFonts w:ascii="Times New Roman" w:hAnsi="Times New Roman"/>
        </w:rPr>
        <w:t xml:space="preserve"> </w:t>
      </w:r>
      <w:r w:rsidRPr="00515DA1">
        <w:rPr>
          <w:rFonts w:ascii="Times New Roman" w:hAnsi="Times New Roman"/>
        </w:rPr>
        <w:t>v</w:t>
      </w:r>
      <w:r>
        <w:rPr>
          <w:rFonts w:ascii="Times New Roman" w:hAnsi="Times New Roman"/>
        </w:rPr>
        <w:t xml:space="preserve"> </w:t>
      </w:r>
      <w:r w:rsidRPr="00515DA1">
        <w:rPr>
          <w:rFonts w:ascii="Times New Roman" w:hAnsi="Times New Roman"/>
        </w:rPr>
        <w:t>roku</w:t>
      </w:r>
      <w:r>
        <w:rPr>
          <w:rFonts w:ascii="Times New Roman" w:hAnsi="Times New Roman"/>
        </w:rPr>
        <w:t xml:space="preserve"> </w:t>
      </w:r>
      <w:r w:rsidRPr="00515DA1">
        <w:rPr>
          <w:rFonts w:ascii="Times New Roman" w:hAnsi="Times New Roman"/>
        </w:rPr>
        <w:t>2017</w:t>
      </w:r>
      <w:r>
        <w:rPr>
          <w:rFonts w:ascii="Times New Roman" w:hAnsi="Times New Roman"/>
        </w:rPr>
        <w:t xml:space="preserve"> </w:t>
      </w:r>
      <w:r w:rsidRPr="00515DA1">
        <w:rPr>
          <w:rFonts w:ascii="Times New Roman" w:hAnsi="Times New Roman"/>
        </w:rPr>
        <w:t>oproti</w:t>
      </w:r>
      <w:r>
        <w:rPr>
          <w:rFonts w:ascii="Times New Roman" w:hAnsi="Times New Roman"/>
        </w:rPr>
        <w:t xml:space="preserve"> </w:t>
      </w:r>
      <w:r w:rsidRPr="00515DA1">
        <w:rPr>
          <w:rFonts w:ascii="Times New Roman" w:hAnsi="Times New Roman"/>
        </w:rPr>
        <w:t>roku</w:t>
      </w:r>
      <w:r>
        <w:rPr>
          <w:rFonts w:ascii="Times New Roman" w:hAnsi="Times New Roman"/>
        </w:rPr>
        <w:t xml:space="preserve"> </w:t>
      </w:r>
      <w:r w:rsidRPr="00515DA1">
        <w:rPr>
          <w:rFonts w:ascii="Times New Roman" w:hAnsi="Times New Roman"/>
        </w:rPr>
        <w:t>2016</w:t>
      </w:r>
      <w:r>
        <w:rPr>
          <w:rFonts w:ascii="Times New Roman" w:hAnsi="Times New Roman"/>
        </w:rPr>
        <w:t xml:space="preserve"> </w:t>
      </w:r>
      <w:r w:rsidRPr="00515DA1">
        <w:rPr>
          <w:rFonts w:ascii="Times New Roman" w:hAnsi="Times New Roman"/>
        </w:rPr>
        <w:t>vyššie</w:t>
      </w:r>
      <w:r>
        <w:rPr>
          <w:rFonts w:ascii="Times New Roman" w:hAnsi="Times New Roman"/>
        </w:rPr>
        <w:t xml:space="preserve"> </w:t>
      </w:r>
      <w:r w:rsidRPr="00515DA1">
        <w:rPr>
          <w:rFonts w:ascii="Times New Roman" w:hAnsi="Times New Roman"/>
        </w:rPr>
        <w:t>o</w:t>
      </w:r>
      <w:r>
        <w:rPr>
          <w:rFonts w:ascii="Times New Roman" w:hAnsi="Times New Roman"/>
        </w:rPr>
        <w:t xml:space="preserve"> </w:t>
      </w:r>
      <w:r w:rsidRPr="00515DA1">
        <w:rPr>
          <w:rFonts w:ascii="Times New Roman" w:hAnsi="Times New Roman"/>
        </w:rPr>
        <w:t>7,6</w:t>
      </w:r>
      <w:r>
        <w:rPr>
          <w:rFonts w:ascii="Times New Roman" w:hAnsi="Times New Roman"/>
        </w:rPr>
        <w:t xml:space="preserve"> </w:t>
      </w:r>
      <w:r w:rsidRPr="00515DA1">
        <w:rPr>
          <w:rFonts w:ascii="Times New Roman" w:hAnsi="Times New Roman"/>
        </w:rPr>
        <w:t>%</w:t>
      </w:r>
      <w:r>
        <w:rPr>
          <w:rFonts w:ascii="Times New Roman" w:hAnsi="Times New Roman"/>
        </w:rPr>
        <w:t xml:space="preserve"> </w:t>
      </w:r>
      <w:r w:rsidRPr="00515DA1">
        <w:rPr>
          <w:rFonts w:ascii="Times New Roman" w:hAnsi="Times New Roman"/>
        </w:rPr>
        <w:t>a</w:t>
      </w:r>
      <w:r>
        <w:rPr>
          <w:rFonts w:ascii="Times New Roman" w:hAnsi="Times New Roman"/>
        </w:rPr>
        <w:t xml:space="preserve"> </w:t>
      </w:r>
      <w:r w:rsidRPr="00515DA1">
        <w:rPr>
          <w:rFonts w:ascii="Times New Roman" w:hAnsi="Times New Roman"/>
        </w:rPr>
        <w:t>v</w:t>
      </w:r>
      <w:r>
        <w:rPr>
          <w:rFonts w:ascii="Times New Roman" w:hAnsi="Times New Roman"/>
        </w:rPr>
        <w:t xml:space="preserve"> </w:t>
      </w:r>
      <w:r w:rsidRPr="00515DA1">
        <w:rPr>
          <w:rFonts w:ascii="Times New Roman" w:hAnsi="Times New Roman"/>
        </w:rPr>
        <w:t>roku</w:t>
      </w:r>
      <w:r>
        <w:rPr>
          <w:rFonts w:ascii="Times New Roman" w:hAnsi="Times New Roman"/>
        </w:rPr>
        <w:t xml:space="preserve"> </w:t>
      </w:r>
      <w:r w:rsidRPr="00515DA1">
        <w:rPr>
          <w:rFonts w:ascii="Times New Roman" w:hAnsi="Times New Roman"/>
        </w:rPr>
        <w:t>2018</w:t>
      </w:r>
      <w:r>
        <w:rPr>
          <w:rFonts w:ascii="Times New Roman" w:hAnsi="Times New Roman"/>
        </w:rPr>
        <w:t xml:space="preserve"> </w:t>
      </w:r>
      <w:r w:rsidRPr="00515DA1">
        <w:rPr>
          <w:rFonts w:ascii="Times New Roman" w:hAnsi="Times New Roman"/>
        </w:rPr>
        <w:t>oproti</w:t>
      </w:r>
      <w:r>
        <w:rPr>
          <w:rFonts w:ascii="Times New Roman" w:hAnsi="Times New Roman"/>
        </w:rPr>
        <w:t xml:space="preserve"> </w:t>
      </w:r>
      <w:r w:rsidRPr="00515DA1">
        <w:rPr>
          <w:rFonts w:ascii="Times New Roman" w:hAnsi="Times New Roman"/>
        </w:rPr>
        <w:t>roku</w:t>
      </w:r>
      <w:r>
        <w:rPr>
          <w:rFonts w:ascii="Times New Roman" w:hAnsi="Times New Roman"/>
        </w:rPr>
        <w:t xml:space="preserve"> </w:t>
      </w:r>
      <w:r w:rsidRPr="00515DA1">
        <w:rPr>
          <w:rFonts w:ascii="Times New Roman" w:hAnsi="Times New Roman"/>
        </w:rPr>
        <w:t>2017</w:t>
      </w:r>
      <w:r>
        <w:rPr>
          <w:rFonts w:ascii="Times New Roman" w:hAnsi="Times New Roman"/>
        </w:rPr>
        <w:t xml:space="preserve"> </w:t>
      </w:r>
      <w:r w:rsidRPr="00515DA1">
        <w:rPr>
          <w:rFonts w:ascii="Times New Roman" w:hAnsi="Times New Roman"/>
        </w:rPr>
        <w:t>vyššie</w:t>
      </w:r>
      <w:r>
        <w:rPr>
          <w:rFonts w:ascii="Times New Roman" w:hAnsi="Times New Roman"/>
        </w:rPr>
        <w:t xml:space="preserve"> </w:t>
      </w:r>
      <w:r w:rsidRPr="00515DA1">
        <w:rPr>
          <w:rFonts w:ascii="Times New Roman" w:hAnsi="Times New Roman"/>
        </w:rPr>
        <w:t>o</w:t>
      </w:r>
      <w:r>
        <w:rPr>
          <w:rFonts w:ascii="Times New Roman" w:hAnsi="Times New Roman"/>
        </w:rPr>
        <w:t xml:space="preserve"> </w:t>
      </w:r>
      <w:r w:rsidRPr="00515DA1">
        <w:rPr>
          <w:rFonts w:ascii="Times New Roman" w:hAnsi="Times New Roman"/>
        </w:rPr>
        <w:t>6</w:t>
      </w:r>
      <w:r>
        <w:rPr>
          <w:rFonts w:ascii="Times New Roman" w:hAnsi="Times New Roman"/>
        </w:rPr>
        <w:t>,</w:t>
      </w:r>
      <w:r w:rsidRPr="001C5102">
        <w:rPr>
          <w:rFonts w:ascii="Times New Roman" w:hAnsi="Times New Roman"/>
        </w:rPr>
        <w:t>7</w:t>
      </w:r>
      <w:r>
        <w:rPr>
          <w:rFonts w:ascii="Times New Roman" w:hAnsi="Times New Roman"/>
        </w:rPr>
        <w:t xml:space="preserve"> </w:t>
      </w:r>
      <w:r w:rsidRPr="001C5102">
        <w:rPr>
          <w:rFonts w:ascii="Times New Roman" w:hAnsi="Times New Roman"/>
        </w:rPr>
        <w:t>%.</w:t>
      </w:r>
      <w:r>
        <w:rPr>
          <w:rFonts w:ascii="Times New Roman" w:hAnsi="Times New Roman"/>
        </w:rPr>
        <w:t xml:space="preserve"> </w:t>
      </w:r>
    </w:p>
    <w:p w:rsidR="005E21C8" w:rsidRPr="002E4E0E" w:rsidP="005E21C8">
      <w:pPr>
        <w:bidi w:val="0"/>
        <w:ind w:firstLine="708"/>
        <w:jc w:val="both"/>
        <w:rPr>
          <w:rFonts w:ascii="Times New Roman" w:hAnsi="Times New Roman"/>
          <w:sz w:val="16"/>
          <w:szCs w:val="16"/>
        </w:rPr>
      </w:pPr>
    </w:p>
    <w:p w:rsidR="005E21C8" w:rsidP="005E21C8">
      <w:pPr>
        <w:bidi w:val="0"/>
        <w:ind w:firstLine="708"/>
        <w:jc w:val="both"/>
        <w:rPr>
          <w:rFonts w:ascii="Times New Roman" w:hAnsi="Times New Roman"/>
        </w:rPr>
      </w:pPr>
      <w:r w:rsidRPr="00515DA1">
        <w:rPr>
          <w:rFonts w:ascii="Times New Roman" w:hAnsi="Times New Roman"/>
        </w:rPr>
        <w:t>Celkové</w:t>
      </w:r>
      <w:r>
        <w:rPr>
          <w:rFonts w:ascii="Times New Roman" w:hAnsi="Times New Roman"/>
        </w:rPr>
        <w:t xml:space="preserve"> výdavky </w:t>
      </w:r>
      <w:r w:rsidRPr="00515DA1">
        <w:rPr>
          <w:rFonts w:ascii="Times New Roman" w:hAnsi="Times New Roman"/>
        </w:rPr>
        <w:t>VÚC</w:t>
      </w:r>
      <w:r>
        <w:rPr>
          <w:rFonts w:ascii="Times New Roman" w:hAnsi="Times New Roman"/>
        </w:rPr>
        <w:t xml:space="preserve"> </w:t>
      </w:r>
      <w:r w:rsidRPr="00515DA1">
        <w:rPr>
          <w:rFonts w:ascii="Times New Roman" w:hAnsi="Times New Roman"/>
        </w:rPr>
        <w:t>v</w:t>
      </w:r>
      <w:r>
        <w:rPr>
          <w:rFonts w:ascii="Times New Roman" w:hAnsi="Times New Roman"/>
        </w:rPr>
        <w:t xml:space="preserve"> </w:t>
      </w:r>
      <w:r w:rsidRPr="00515DA1">
        <w:rPr>
          <w:rFonts w:ascii="Times New Roman" w:hAnsi="Times New Roman"/>
        </w:rPr>
        <w:t>roku</w:t>
      </w:r>
      <w:r>
        <w:rPr>
          <w:rFonts w:ascii="Times New Roman" w:hAnsi="Times New Roman"/>
        </w:rPr>
        <w:t xml:space="preserve"> </w:t>
      </w:r>
      <w:r w:rsidRPr="00515DA1">
        <w:rPr>
          <w:rFonts w:ascii="Times New Roman" w:hAnsi="Times New Roman"/>
        </w:rPr>
        <w:t>2016</w:t>
      </w:r>
      <w:r>
        <w:rPr>
          <w:rFonts w:ascii="Times New Roman" w:hAnsi="Times New Roman"/>
        </w:rPr>
        <w:t xml:space="preserve"> </w:t>
      </w:r>
      <w:r w:rsidRPr="00515DA1">
        <w:rPr>
          <w:rFonts w:ascii="Times New Roman" w:hAnsi="Times New Roman"/>
        </w:rPr>
        <w:t>sú</w:t>
      </w:r>
      <w:r>
        <w:rPr>
          <w:rFonts w:ascii="Times New Roman" w:hAnsi="Times New Roman"/>
        </w:rPr>
        <w:t xml:space="preserve"> </w:t>
      </w:r>
      <w:r w:rsidRPr="00515DA1">
        <w:rPr>
          <w:rFonts w:ascii="Times New Roman" w:hAnsi="Times New Roman"/>
        </w:rPr>
        <w:t>oproti</w:t>
      </w:r>
      <w:r>
        <w:rPr>
          <w:rFonts w:ascii="Times New Roman" w:hAnsi="Times New Roman"/>
        </w:rPr>
        <w:t xml:space="preserve"> </w:t>
      </w:r>
      <w:r w:rsidRPr="00515DA1">
        <w:rPr>
          <w:rFonts w:ascii="Times New Roman" w:hAnsi="Times New Roman"/>
        </w:rPr>
        <w:t>rozpočtu</w:t>
      </w:r>
      <w:r>
        <w:rPr>
          <w:rFonts w:ascii="Times New Roman" w:hAnsi="Times New Roman"/>
        </w:rPr>
        <w:t xml:space="preserve"> </w:t>
      </w:r>
      <w:r w:rsidRPr="00515DA1">
        <w:rPr>
          <w:rFonts w:ascii="Times New Roman" w:hAnsi="Times New Roman"/>
        </w:rPr>
        <w:t>verejnej</w:t>
      </w:r>
      <w:r>
        <w:rPr>
          <w:rFonts w:ascii="Times New Roman" w:hAnsi="Times New Roman"/>
        </w:rPr>
        <w:t xml:space="preserve"> </w:t>
      </w:r>
      <w:r w:rsidRPr="00515DA1">
        <w:rPr>
          <w:rFonts w:ascii="Times New Roman" w:hAnsi="Times New Roman"/>
        </w:rPr>
        <w:t>správy</w:t>
      </w:r>
      <w:r>
        <w:rPr>
          <w:rFonts w:ascii="Times New Roman" w:hAnsi="Times New Roman"/>
        </w:rPr>
        <w:t xml:space="preserve"> </w:t>
      </w:r>
      <w:r w:rsidRPr="00515DA1">
        <w:rPr>
          <w:rFonts w:ascii="Times New Roman" w:hAnsi="Times New Roman"/>
        </w:rPr>
        <w:t>na</w:t>
      </w:r>
      <w:r>
        <w:rPr>
          <w:rFonts w:ascii="Times New Roman" w:hAnsi="Times New Roman"/>
        </w:rPr>
        <w:t xml:space="preserve"> </w:t>
      </w:r>
      <w:r w:rsidRPr="00515DA1">
        <w:rPr>
          <w:rFonts w:ascii="Times New Roman" w:hAnsi="Times New Roman"/>
        </w:rPr>
        <w:t>rok</w:t>
      </w:r>
      <w:r>
        <w:rPr>
          <w:rFonts w:ascii="Times New Roman" w:hAnsi="Times New Roman"/>
        </w:rPr>
        <w:t xml:space="preserve"> </w:t>
      </w:r>
      <w:r w:rsidRPr="00515DA1">
        <w:rPr>
          <w:rFonts w:ascii="Times New Roman" w:hAnsi="Times New Roman"/>
        </w:rPr>
        <w:t>2015</w:t>
      </w:r>
      <w:r>
        <w:rPr>
          <w:rFonts w:ascii="Times New Roman" w:hAnsi="Times New Roman"/>
        </w:rPr>
        <w:t xml:space="preserve"> </w:t>
      </w:r>
      <w:r w:rsidRPr="00515DA1">
        <w:rPr>
          <w:rFonts w:ascii="Times New Roman" w:hAnsi="Times New Roman"/>
        </w:rPr>
        <w:t>vyššie</w:t>
      </w:r>
      <w:r>
        <w:rPr>
          <w:rFonts w:ascii="Times New Roman" w:hAnsi="Times New Roman"/>
        </w:rPr>
        <w:t xml:space="preserve"> </w:t>
      </w:r>
      <w:r w:rsidRPr="00515DA1">
        <w:rPr>
          <w:rFonts w:ascii="Times New Roman" w:hAnsi="Times New Roman"/>
        </w:rPr>
        <w:t>o</w:t>
      </w:r>
      <w:r>
        <w:rPr>
          <w:rFonts w:ascii="Times New Roman" w:hAnsi="Times New Roman"/>
        </w:rPr>
        <w:t xml:space="preserve"> 7,9 </w:t>
      </w:r>
      <w:r w:rsidRPr="00515DA1">
        <w:rPr>
          <w:rFonts w:ascii="Times New Roman" w:hAnsi="Times New Roman"/>
        </w:rPr>
        <w:t>%.</w:t>
      </w:r>
      <w:r>
        <w:rPr>
          <w:rFonts w:ascii="Times New Roman" w:hAnsi="Times New Roman"/>
        </w:rPr>
        <w:t xml:space="preserve"> </w:t>
      </w:r>
      <w:r w:rsidRPr="00515DA1">
        <w:rPr>
          <w:rFonts w:ascii="Times New Roman" w:hAnsi="Times New Roman"/>
        </w:rPr>
        <w:t>Predpokladá</w:t>
      </w:r>
      <w:r>
        <w:rPr>
          <w:rFonts w:ascii="Times New Roman" w:hAnsi="Times New Roman"/>
        </w:rPr>
        <w:t xml:space="preserve"> </w:t>
      </w:r>
      <w:r w:rsidRPr="00515DA1">
        <w:rPr>
          <w:rFonts w:ascii="Times New Roman" w:hAnsi="Times New Roman"/>
        </w:rPr>
        <w:t>sa</w:t>
      </w:r>
      <w:r>
        <w:rPr>
          <w:rFonts w:ascii="Times New Roman" w:hAnsi="Times New Roman"/>
        </w:rPr>
        <w:t xml:space="preserve"> </w:t>
      </w:r>
      <w:r w:rsidRPr="00515DA1">
        <w:rPr>
          <w:rFonts w:ascii="Times New Roman" w:hAnsi="Times New Roman"/>
        </w:rPr>
        <w:t>rast</w:t>
      </w:r>
      <w:r>
        <w:rPr>
          <w:rFonts w:ascii="Times New Roman" w:hAnsi="Times New Roman"/>
        </w:rPr>
        <w:t xml:space="preserve"> bežných </w:t>
      </w:r>
      <w:r w:rsidRPr="007B0427">
        <w:rPr>
          <w:rFonts w:ascii="Times New Roman" w:hAnsi="Times New Roman"/>
        </w:rPr>
        <w:t>výdavkov</w:t>
      </w:r>
      <w:r>
        <w:rPr>
          <w:rFonts w:ascii="Times New Roman" w:hAnsi="Times New Roman"/>
        </w:rPr>
        <w:t xml:space="preserve"> </w:t>
      </w:r>
      <w:r w:rsidRPr="007B0427">
        <w:rPr>
          <w:rFonts w:ascii="Times New Roman" w:hAnsi="Times New Roman"/>
        </w:rPr>
        <w:t>o</w:t>
      </w:r>
      <w:r>
        <w:rPr>
          <w:rFonts w:ascii="Times New Roman" w:hAnsi="Times New Roman"/>
        </w:rPr>
        <w:t xml:space="preserve"> </w:t>
      </w:r>
      <w:r w:rsidRPr="007B0427">
        <w:rPr>
          <w:rFonts w:ascii="Times New Roman" w:hAnsi="Times New Roman"/>
        </w:rPr>
        <w:t>12,7</w:t>
      </w:r>
      <w:r>
        <w:rPr>
          <w:rFonts w:ascii="Times New Roman" w:hAnsi="Times New Roman"/>
        </w:rPr>
        <w:t xml:space="preserve"> </w:t>
      </w:r>
      <w:r w:rsidRPr="007B0427">
        <w:rPr>
          <w:rFonts w:ascii="Times New Roman" w:hAnsi="Times New Roman"/>
        </w:rPr>
        <w:t>%</w:t>
      </w:r>
      <w:r>
        <w:rPr>
          <w:rFonts w:ascii="Times New Roman" w:hAnsi="Times New Roman"/>
        </w:rPr>
        <w:t xml:space="preserve"> a pokles kapitálových výdavkov </w:t>
      </w:r>
      <w:r w:rsidRPr="00515DA1">
        <w:rPr>
          <w:rFonts w:ascii="Times New Roman" w:hAnsi="Times New Roman"/>
        </w:rPr>
        <w:t>o</w:t>
      </w:r>
      <w:r>
        <w:rPr>
          <w:rFonts w:ascii="Times New Roman" w:hAnsi="Times New Roman"/>
        </w:rPr>
        <w:t xml:space="preserve"> 42,2 </w:t>
      </w:r>
      <w:r w:rsidRPr="00515DA1">
        <w:rPr>
          <w:rFonts w:ascii="Times New Roman" w:hAnsi="Times New Roman"/>
        </w:rPr>
        <w:t>%</w:t>
      </w:r>
      <w:r>
        <w:rPr>
          <w:rFonts w:ascii="Times New Roman" w:hAnsi="Times New Roman"/>
        </w:rPr>
        <w:t xml:space="preserve">. </w:t>
      </w:r>
      <w:r w:rsidRPr="00515DA1">
        <w:rPr>
          <w:rFonts w:ascii="Times New Roman" w:hAnsi="Times New Roman"/>
        </w:rPr>
        <w:t>V</w:t>
      </w:r>
      <w:r>
        <w:rPr>
          <w:rFonts w:ascii="Times New Roman" w:hAnsi="Times New Roman"/>
        </w:rPr>
        <w:t xml:space="preserve"> </w:t>
      </w:r>
      <w:r w:rsidRPr="00515DA1">
        <w:rPr>
          <w:rFonts w:ascii="Times New Roman" w:hAnsi="Times New Roman"/>
        </w:rPr>
        <w:t>roku</w:t>
      </w:r>
      <w:r>
        <w:rPr>
          <w:rFonts w:ascii="Times New Roman" w:hAnsi="Times New Roman"/>
        </w:rPr>
        <w:t xml:space="preserve"> </w:t>
      </w:r>
      <w:r w:rsidRPr="00515DA1">
        <w:rPr>
          <w:rFonts w:ascii="Times New Roman" w:hAnsi="Times New Roman"/>
        </w:rPr>
        <w:t>2017</w:t>
      </w:r>
      <w:r>
        <w:rPr>
          <w:rFonts w:ascii="Times New Roman" w:hAnsi="Times New Roman"/>
        </w:rPr>
        <w:t xml:space="preserve"> </w:t>
      </w:r>
      <w:r w:rsidRPr="00515DA1">
        <w:rPr>
          <w:rFonts w:ascii="Times New Roman" w:hAnsi="Times New Roman"/>
        </w:rPr>
        <w:t>sa</w:t>
      </w:r>
      <w:r>
        <w:rPr>
          <w:rFonts w:ascii="Times New Roman" w:hAnsi="Times New Roman"/>
        </w:rPr>
        <w:t xml:space="preserve"> </w:t>
      </w:r>
      <w:r w:rsidRPr="00515DA1">
        <w:rPr>
          <w:rFonts w:ascii="Times New Roman" w:hAnsi="Times New Roman"/>
        </w:rPr>
        <w:t>v</w:t>
      </w:r>
      <w:r>
        <w:rPr>
          <w:rFonts w:ascii="Times New Roman" w:hAnsi="Times New Roman"/>
        </w:rPr>
        <w:t xml:space="preserve"> </w:t>
      </w:r>
      <w:r w:rsidRPr="00515DA1">
        <w:rPr>
          <w:rFonts w:ascii="Times New Roman" w:hAnsi="Times New Roman"/>
        </w:rPr>
        <w:t>celkových</w:t>
      </w:r>
      <w:r>
        <w:rPr>
          <w:rFonts w:ascii="Times New Roman" w:hAnsi="Times New Roman"/>
        </w:rPr>
        <w:t xml:space="preserve"> výdavkoch </w:t>
      </w:r>
      <w:r w:rsidRPr="00515DA1">
        <w:rPr>
          <w:rFonts w:ascii="Times New Roman" w:hAnsi="Times New Roman"/>
        </w:rPr>
        <w:t>oproti</w:t>
      </w:r>
      <w:r>
        <w:rPr>
          <w:rFonts w:ascii="Times New Roman" w:hAnsi="Times New Roman"/>
        </w:rPr>
        <w:t xml:space="preserve"> </w:t>
      </w:r>
      <w:r w:rsidRPr="00515DA1">
        <w:rPr>
          <w:rFonts w:ascii="Times New Roman" w:hAnsi="Times New Roman"/>
        </w:rPr>
        <w:t>roku</w:t>
      </w:r>
      <w:r>
        <w:rPr>
          <w:rFonts w:ascii="Times New Roman" w:hAnsi="Times New Roman"/>
        </w:rPr>
        <w:t xml:space="preserve"> </w:t>
      </w:r>
      <w:r w:rsidRPr="00515DA1">
        <w:rPr>
          <w:rFonts w:ascii="Times New Roman" w:hAnsi="Times New Roman"/>
        </w:rPr>
        <w:t>2016</w:t>
      </w:r>
      <w:r>
        <w:rPr>
          <w:rFonts w:ascii="Times New Roman" w:hAnsi="Times New Roman"/>
        </w:rPr>
        <w:t xml:space="preserve"> </w:t>
      </w:r>
      <w:r w:rsidRPr="00515DA1">
        <w:rPr>
          <w:rFonts w:ascii="Times New Roman" w:hAnsi="Times New Roman"/>
        </w:rPr>
        <w:t>očakáva</w:t>
      </w:r>
      <w:r>
        <w:rPr>
          <w:rFonts w:ascii="Times New Roman" w:hAnsi="Times New Roman"/>
        </w:rPr>
        <w:t xml:space="preserve"> </w:t>
      </w:r>
      <w:r w:rsidRPr="00515DA1">
        <w:rPr>
          <w:rFonts w:ascii="Times New Roman" w:hAnsi="Times New Roman"/>
        </w:rPr>
        <w:t>nárast</w:t>
      </w:r>
      <w:r>
        <w:rPr>
          <w:rFonts w:ascii="Times New Roman" w:hAnsi="Times New Roman"/>
        </w:rPr>
        <w:t xml:space="preserve"> </w:t>
      </w:r>
      <w:r w:rsidRPr="00515DA1">
        <w:rPr>
          <w:rFonts w:ascii="Times New Roman" w:hAnsi="Times New Roman"/>
        </w:rPr>
        <w:t>o</w:t>
      </w:r>
      <w:r>
        <w:rPr>
          <w:rFonts w:ascii="Times New Roman" w:hAnsi="Times New Roman"/>
        </w:rPr>
        <w:t xml:space="preserve"> 1,1 </w:t>
      </w:r>
      <w:r w:rsidRPr="00515DA1">
        <w:rPr>
          <w:rFonts w:ascii="Times New Roman" w:hAnsi="Times New Roman"/>
        </w:rPr>
        <w:t>%</w:t>
      </w:r>
      <w:r>
        <w:rPr>
          <w:rFonts w:ascii="Times New Roman" w:hAnsi="Times New Roman"/>
        </w:rPr>
        <w:t xml:space="preserve"> </w:t>
      </w:r>
      <w:r w:rsidRPr="00515DA1">
        <w:rPr>
          <w:rFonts w:ascii="Times New Roman" w:hAnsi="Times New Roman"/>
        </w:rPr>
        <w:t>a</w:t>
      </w:r>
      <w:r>
        <w:rPr>
          <w:rFonts w:ascii="Times New Roman" w:hAnsi="Times New Roman"/>
        </w:rPr>
        <w:t xml:space="preserve"> </w:t>
      </w:r>
      <w:r w:rsidRPr="00515DA1">
        <w:rPr>
          <w:rFonts w:ascii="Times New Roman" w:hAnsi="Times New Roman"/>
        </w:rPr>
        <w:t>v</w:t>
      </w:r>
      <w:r>
        <w:rPr>
          <w:rFonts w:ascii="Times New Roman" w:hAnsi="Times New Roman"/>
        </w:rPr>
        <w:t xml:space="preserve"> </w:t>
      </w:r>
      <w:r w:rsidRPr="00515DA1">
        <w:rPr>
          <w:rFonts w:ascii="Times New Roman" w:hAnsi="Times New Roman"/>
        </w:rPr>
        <w:t>roku</w:t>
      </w:r>
      <w:r>
        <w:rPr>
          <w:rFonts w:ascii="Times New Roman" w:hAnsi="Times New Roman"/>
        </w:rPr>
        <w:t xml:space="preserve"> </w:t>
      </w:r>
      <w:r w:rsidRPr="00515DA1">
        <w:rPr>
          <w:rFonts w:ascii="Times New Roman" w:hAnsi="Times New Roman"/>
        </w:rPr>
        <w:t>2018</w:t>
      </w:r>
      <w:r>
        <w:rPr>
          <w:rFonts w:ascii="Times New Roman" w:hAnsi="Times New Roman"/>
        </w:rPr>
        <w:t xml:space="preserve"> </w:t>
      </w:r>
      <w:r w:rsidRPr="00515DA1">
        <w:rPr>
          <w:rFonts w:ascii="Times New Roman" w:hAnsi="Times New Roman"/>
        </w:rPr>
        <w:t>oproti</w:t>
      </w:r>
      <w:r>
        <w:rPr>
          <w:rFonts w:ascii="Times New Roman" w:hAnsi="Times New Roman"/>
        </w:rPr>
        <w:t xml:space="preserve"> </w:t>
      </w:r>
      <w:r w:rsidRPr="00515DA1">
        <w:rPr>
          <w:rFonts w:ascii="Times New Roman" w:hAnsi="Times New Roman"/>
        </w:rPr>
        <w:t>roku</w:t>
      </w:r>
      <w:r>
        <w:rPr>
          <w:rFonts w:ascii="Times New Roman" w:hAnsi="Times New Roman"/>
        </w:rPr>
        <w:t xml:space="preserve"> </w:t>
      </w:r>
      <w:r w:rsidRPr="00515DA1">
        <w:rPr>
          <w:rFonts w:ascii="Times New Roman" w:hAnsi="Times New Roman"/>
        </w:rPr>
        <w:t>2017</w:t>
      </w:r>
      <w:r>
        <w:rPr>
          <w:rFonts w:ascii="Times New Roman" w:hAnsi="Times New Roman"/>
        </w:rPr>
        <w:t xml:space="preserve"> </w:t>
      </w:r>
      <w:r w:rsidRPr="00515DA1">
        <w:rPr>
          <w:rFonts w:ascii="Times New Roman" w:hAnsi="Times New Roman"/>
        </w:rPr>
        <w:t>nárast</w:t>
      </w:r>
      <w:r>
        <w:rPr>
          <w:rFonts w:ascii="Times New Roman" w:hAnsi="Times New Roman"/>
        </w:rPr>
        <w:t xml:space="preserve"> </w:t>
      </w:r>
      <w:r w:rsidRPr="00515DA1">
        <w:rPr>
          <w:rFonts w:ascii="Times New Roman" w:hAnsi="Times New Roman"/>
        </w:rPr>
        <w:t>o</w:t>
      </w:r>
      <w:r>
        <w:rPr>
          <w:rFonts w:ascii="Times New Roman" w:hAnsi="Times New Roman"/>
        </w:rPr>
        <w:t xml:space="preserve"> 4,</w:t>
      </w:r>
      <w:r w:rsidR="0048423B">
        <w:rPr>
          <w:rFonts w:ascii="Times New Roman" w:hAnsi="Times New Roman"/>
        </w:rPr>
        <w:t>3</w:t>
      </w:r>
      <w:r>
        <w:rPr>
          <w:rFonts w:ascii="Times New Roman" w:hAnsi="Times New Roman"/>
        </w:rPr>
        <w:t xml:space="preserve"> </w:t>
      </w:r>
      <w:r w:rsidRPr="00515DA1">
        <w:rPr>
          <w:rFonts w:ascii="Times New Roman" w:hAnsi="Times New Roman"/>
        </w:rPr>
        <w:t>%</w:t>
      </w:r>
      <w:r>
        <w:rPr>
          <w:rFonts w:ascii="Times New Roman" w:hAnsi="Times New Roman"/>
        </w:rPr>
        <w:t xml:space="preserve"> </w:t>
      </w:r>
      <w:r w:rsidRPr="00515DA1">
        <w:rPr>
          <w:rFonts w:ascii="Times New Roman" w:hAnsi="Times New Roman"/>
        </w:rPr>
        <w:t>najmä</w:t>
      </w:r>
      <w:r>
        <w:rPr>
          <w:rFonts w:ascii="Times New Roman" w:hAnsi="Times New Roman"/>
        </w:rPr>
        <w:t xml:space="preserve"> </w:t>
      </w:r>
      <w:r w:rsidRPr="00515DA1">
        <w:rPr>
          <w:rFonts w:ascii="Times New Roman" w:hAnsi="Times New Roman"/>
        </w:rPr>
        <w:t>z</w:t>
      </w:r>
      <w:r>
        <w:rPr>
          <w:rFonts w:ascii="Times New Roman" w:hAnsi="Times New Roman"/>
        </w:rPr>
        <w:t xml:space="preserve"> </w:t>
      </w:r>
      <w:r w:rsidRPr="00515DA1">
        <w:rPr>
          <w:rFonts w:ascii="Times New Roman" w:hAnsi="Times New Roman"/>
        </w:rPr>
        <w:t>dôvodu</w:t>
      </w:r>
      <w:r>
        <w:rPr>
          <w:rFonts w:ascii="Times New Roman" w:hAnsi="Times New Roman"/>
        </w:rPr>
        <w:t xml:space="preserve"> </w:t>
      </w:r>
      <w:r w:rsidRPr="00515DA1">
        <w:rPr>
          <w:rFonts w:ascii="Times New Roman" w:hAnsi="Times New Roman"/>
        </w:rPr>
        <w:t>nárastu</w:t>
      </w:r>
      <w:r>
        <w:rPr>
          <w:rFonts w:ascii="Times New Roman" w:hAnsi="Times New Roman"/>
        </w:rPr>
        <w:t xml:space="preserve"> bežných výdavkov</w:t>
      </w:r>
      <w:r w:rsidRPr="00515DA1">
        <w:rPr>
          <w:rFonts w:ascii="Times New Roman" w:hAnsi="Times New Roman"/>
        </w:rPr>
        <w:t>.</w:t>
      </w:r>
      <w:r>
        <w:rPr>
          <w:rFonts w:ascii="Times New Roman" w:hAnsi="Times New Roman"/>
        </w:rPr>
        <w:t xml:space="preserve"> Pokles kapitálových výdavkov súvisí so skutočnosťou, že príslušné kapitoly </w:t>
      </w:r>
      <w:r w:rsidR="000F36D0">
        <w:rPr>
          <w:rFonts w:ascii="Times New Roman" w:hAnsi="Times New Roman"/>
        </w:rPr>
        <w:t xml:space="preserve">štátneho rozpočtu </w:t>
      </w:r>
      <w:r>
        <w:rPr>
          <w:rFonts w:ascii="Times New Roman" w:hAnsi="Times New Roman"/>
        </w:rPr>
        <w:t>nerozpísali</w:t>
      </w:r>
      <w:r w:rsidR="000F36D0">
        <w:rPr>
          <w:rFonts w:ascii="Times New Roman" w:hAnsi="Times New Roman"/>
        </w:rPr>
        <w:t xml:space="preserve"> prostriedky z rozpočtu EÚ</w:t>
      </w:r>
      <w:r>
        <w:rPr>
          <w:rFonts w:ascii="Times New Roman" w:hAnsi="Times New Roman"/>
        </w:rPr>
        <w:t>.</w:t>
      </w:r>
    </w:p>
    <w:p w:rsidR="0013284D" w:rsidRPr="004F17A1" w:rsidP="0013284D">
      <w:pPr>
        <w:bidi w:val="0"/>
        <w:ind w:firstLine="708"/>
        <w:jc w:val="both"/>
        <w:rPr>
          <w:rFonts w:ascii="Times New Roman" w:hAnsi="Times New Roman"/>
          <w:highlight w:val="yellow"/>
        </w:rPr>
      </w:pPr>
    </w:p>
    <w:p w:rsidR="006C0389" w:rsidRPr="00C9762D" w:rsidP="006C0389">
      <w:pPr>
        <w:bidi w:val="0"/>
        <w:jc w:val="both"/>
        <w:rPr>
          <w:rFonts w:ascii="Times New Roman" w:hAnsi="Times New Roman"/>
          <w:b/>
          <w:bCs/>
        </w:rPr>
      </w:pPr>
      <w:r w:rsidRPr="00C9762D">
        <w:rPr>
          <w:rFonts w:ascii="Times New Roman" w:hAnsi="Times New Roman"/>
          <w:b/>
          <w:bCs/>
        </w:rPr>
        <w:t>2. Sociálna poisťovňa</w:t>
      </w:r>
    </w:p>
    <w:p w:rsidR="006C0389" w:rsidRPr="0072248B" w:rsidP="006C0389">
      <w:pPr>
        <w:bidi w:val="0"/>
        <w:jc w:val="both"/>
        <w:rPr>
          <w:rFonts w:ascii="Times New Roman" w:hAnsi="Times New Roman"/>
          <w:sz w:val="16"/>
          <w:szCs w:val="16"/>
        </w:rPr>
      </w:pPr>
    </w:p>
    <w:p w:rsidR="006C0389" w:rsidP="006C0389">
      <w:pPr>
        <w:bidi w:val="0"/>
        <w:ind w:firstLine="708"/>
        <w:jc w:val="both"/>
        <w:rPr>
          <w:rFonts w:ascii="Times New Roman" w:hAnsi="Times New Roman"/>
        </w:rPr>
      </w:pPr>
      <w:r w:rsidRPr="00C9762D">
        <w:rPr>
          <w:rFonts w:ascii="Times New Roman" w:hAnsi="Times New Roman"/>
        </w:rPr>
        <w:t>Rozpočet Sociálnej poisťovne v roku 201</w:t>
      </w:r>
      <w:r>
        <w:rPr>
          <w:rFonts w:ascii="Times New Roman" w:hAnsi="Times New Roman"/>
        </w:rPr>
        <w:t>6</w:t>
      </w:r>
      <w:r w:rsidRPr="00C9762D">
        <w:rPr>
          <w:rFonts w:ascii="Times New Roman" w:hAnsi="Times New Roman"/>
        </w:rPr>
        <w:t xml:space="preserve"> vychádza z očakávanej skutočnosti Sociálnej poisťovne v roku 201</w:t>
      </w:r>
      <w:r>
        <w:rPr>
          <w:rFonts w:ascii="Times New Roman" w:hAnsi="Times New Roman"/>
        </w:rPr>
        <w:t>5</w:t>
      </w:r>
      <w:r w:rsidRPr="00C9762D">
        <w:rPr>
          <w:rFonts w:ascii="Times New Roman" w:hAnsi="Times New Roman"/>
        </w:rPr>
        <w:t xml:space="preserve"> a </w:t>
      </w:r>
      <w:r>
        <w:rPr>
          <w:rFonts w:ascii="Times New Roman" w:hAnsi="Times New Roman"/>
        </w:rPr>
        <w:t>z</w:t>
      </w:r>
      <w:r w:rsidRPr="00C9762D">
        <w:rPr>
          <w:rFonts w:ascii="Times New Roman" w:hAnsi="Times New Roman"/>
        </w:rPr>
        <w:t xml:space="preserve"> prognóz Ministerstva financií SR</w:t>
      </w:r>
      <w:r>
        <w:rPr>
          <w:rFonts w:ascii="Times New Roman" w:hAnsi="Times New Roman"/>
        </w:rPr>
        <w:t xml:space="preserve"> zo septembra 2015</w:t>
      </w:r>
      <w:r w:rsidRPr="00C9762D">
        <w:rPr>
          <w:rFonts w:ascii="Times New Roman" w:hAnsi="Times New Roman"/>
        </w:rPr>
        <w:t xml:space="preserve">. </w:t>
      </w:r>
    </w:p>
    <w:p w:rsidR="006C0389" w:rsidRPr="0072248B" w:rsidP="006C0389">
      <w:pPr>
        <w:bidi w:val="0"/>
        <w:ind w:firstLine="708"/>
        <w:jc w:val="both"/>
        <w:rPr>
          <w:rFonts w:ascii="Times New Roman" w:hAnsi="Times New Roman"/>
          <w:sz w:val="16"/>
          <w:szCs w:val="16"/>
        </w:rPr>
      </w:pPr>
    </w:p>
    <w:p w:rsidR="006C0389" w:rsidP="006C0389">
      <w:pPr>
        <w:bidi w:val="0"/>
        <w:ind w:firstLine="708"/>
        <w:jc w:val="both"/>
        <w:rPr>
          <w:rFonts w:ascii="Times New Roman" w:hAnsi="Times New Roman"/>
        </w:rPr>
      </w:pPr>
      <w:r w:rsidRPr="00C9762D">
        <w:rPr>
          <w:rFonts w:ascii="Times New Roman" w:hAnsi="Times New Roman"/>
        </w:rPr>
        <w:t>Vývoj príjmovej a výdavkovej časti rozpočtu Sociálnej poisťovne na roky 201</w:t>
      </w:r>
      <w:r>
        <w:rPr>
          <w:rFonts w:ascii="Times New Roman" w:hAnsi="Times New Roman"/>
        </w:rPr>
        <w:t>6</w:t>
      </w:r>
      <w:r w:rsidRPr="00C9762D">
        <w:rPr>
          <w:rFonts w:ascii="Times New Roman" w:hAnsi="Times New Roman"/>
        </w:rPr>
        <w:t xml:space="preserve"> až 201</w:t>
      </w:r>
      <w:r>
        <w:rPr>
          <w:rFonts w:ascii="Times New Roman" w:hAnsi="Times New Roman"/>
        </w:rPr>
        <w:t>8</w:t>
      </w:r>
      <w:r w:rsidRPr="00C9762D">
        <w:rPr>
          <w:rFonts w:ascii="Times New Roman" w:hAnsi="Times New Roman"/>
        </w:rPr>
        <w:t xml:space="preserve"> je v porovnaní s predchádzajúcimi rokmi nasledovný:</w:t>
      </w:r>
    </w:p>
    <w:p w:rsidR="00B103BF" w:rsidP="002E4E0E">
      <w:pPr>
        <w:bidi w:val="0"/>
        <w:jc w:val="both"/>
        <w:rPr>
          <w:rFonts w:ascii="Times New Roman" w:hAnsi="Times New Roman"/>
        </w:rPr>
      </w:pPr>
    </w:p>
    <w:p w:rsidR="006C0389" w:rsidRPr="000008FE" w:rsidP="006C0389">
      <w:pPr>
        <w:bidi w:val="0"/>
        <w:ind w:firstLine="708"/>
        <w:jc w:val="both"/>
        <w:rPr>
          <w:rFonts w:ascii="Times New Roman" w:hAnsi="Times New Roman"/>
          <w:sz w:val="16"/>
          <w:szCs w:val="16"/>
        </w:rPr>
      </w:pPr>
    </w:p>
    <w:tbl>
      <w:tblPr>
        <w:tblStyle w:val="TableNormal"/>
        <w:tblW w:w="9210" w:type="dxa"/>
        <w:tblLayout w:type="fixed"/>
        <w:tblCellMar>
          <w:left w:w="70" w:type="dxa"/>
          <w:right w:w="70" w:type="dxa"/>
        </w:tblCellMar>
        <w:tblLook w:val="04A0"/>
      </w:tblPr>
      <w:tblGrid>
        <w:gridCol w:w="3756"/>
        <w:gridCol w:w="779"/>
        <w:gridCol w:w="779"/>
        <w:gridCol w:w="779"/>
        <w:gridCol w:w="779"/>
        <w:gridCol w:w="779"/>
        <w:gridCol w:w="779"/>
        <w:gridCol w:w="780"/>
      </w:tblGrid>
      <w:tr>
        <w:tblPrEx>
          <w:tblW w:w="9210" w:type="dxa"/>
          <w:tblLayout w:type="fixed"/>
          <w:tblCellMar>
            <w:left w:w="70" w:type="dxa"/>
            <w:right w:w="70" w:type="dxa"/>
          </w:tblCellMar>
          <w:tblLook w:val="04A0"/>
        </w:tblPrEx>
        <w:trPr>
          <w:trHeight w:hRule="exact" w:val="255"/>
        </w:trPr>
        <w:tc>
          <w:tcPr>
            <w:tcW w:w="3756" w:type="dxa"/>
            <w:tcBorders>
              <w:top w:val="single" w:sz="4" w:space="0" w:color="auto"/>
              <w:left w:val="single" w:sz="4" w:space="0" w:color="auto"/>
              <w:bottom w:val="single" w:sz="4" w:space="0" w:color="auto"/>
              <w:right w:val="single" w:sz="4" w:space="0" w:color="auto"/>
            </w:tcBorders>
            <w:shd w:val="pct35" w:color="auto" w:fill="auto"/>
            <w:noWrap/>
            <w:textDirection w:val="lrTb"/>
            <w:vAlign w:val="bottom"/>
            <w:hideMark/>
          </w:tcPr>
          <w:p w:rsidR="006C0389" w:rsidRPr="009F7AD3" w:rsidP="000008FE">
            <w:pPr>
              <w:bidi w:val="0"/>
              <w:rPr>
                <w:rFonts w:ascii="Times New Roman" w:hAnsi="Times New Roman"/>
                <w:b/>
                <w:bCs/>
                <w:sz w:val="14"/>
                <w:szCs w:val="14"/>
              </w:rPr>
            </w:pPr>
            <w:r w:rsidRPr="009F7AD3">
              <w:rPr>
                <w:rFonts w:ascii="Times New Roman" w:hAnsi="Times New Roman"/>
                <w:b/>
                <w:bCs/>
                <w:sz w:val="14"/>
                <w:szCs w:val="14"/>
              </w:rPr>
              <w:t>v tis. eur</w:t>
            </w:r>
          </w:p>
        </w:tc>
        <w:tc>
          <w:tcPr>
            <w:tcW w:w="779" w:type="dxa"/>
            <w:tcBorders>
              <w:top w:val="single" w:sz="4" w:space="0" w:color="auto"/>
              <w:left w:val="nil"/>
              <w:bottom w:val="single" w:sz="4" w:space="0" w:color="auto"/>
              <w:right w:val="single" w:sz="4" w:space="0" w:color="auto"/>
            </w:tcBorders>
            <w:shd w:val="pct35" w:color="auto" w:fill="auto"/>
            <w:noWrap/>
            <w:textDirection w:val="lrTb"/>
            <w:vAlign w:val="center"/>
            <w:hideMark/>
          </w:tcPr>
          <w:p w:rsidR="006C0389" w:rsidRPr="009F7AD3" w:rsidP="00F53AF1">
            <w:pPr>
              <w:bidi w:val="0"/>
              <w:jc w:val="center"/>
              <w:rPr>
                <w:rFonts w:ascii="Times New Roman" w:hAnsi="Times New Roman"/>
                <w:b/>
                <w:bCs/>
                <w:sz w:val="14"/>
                <w:szCs w:val="14"/>
              </w:rPr>
            </w:pPr>
            <w:r w:rsidRPr="009F7AD3">
              <w:rPr>
                <w:rFonts w:ascii="Times New Roman" w:hAnsi="Times New Roman"/>
                <w:b/>
                <w:bCs/>
                <w:sz w:val="14"/>
                <w:szCs w:val="14"/>
              </w:rPr>
              <w:t>201</w:t>
            </w:r>
            <w:r>
              <w:rPr>
                <w:rFonts w:ascii="Times New Roman" w:hAnsi="Times New Roman"/>
                <w:b/>
                <w:bCs/>
                <w:sz w:val="14"/>
                <w:szCs w:val="14"/>
              </w:rPr>
              <w:t>3</w:t>
            </w:r>
            <w:r w:rsidRPr="009F7AD3">
              <w:rPr>
                <w:rFonts w:ascii="Times New Roman" w:hAnsi="Times New Roman"/>
                <w:b/>
                <w:bCs/>
                <w:sz w:val="14"/>
                <w:szCs w:val="14"/>
              </w:rPr>
              <w:t xml:space="preserve"> S</w:t>
            </w:r>
          </w:p>
        </w:tc>
        <w:tc>
          <w:tcPr>
            <w:tcW w:w="779" w:type="dxa"/>
            <w:tcBorders>
              <w:top w:val="single" w:sz="4" w:space="0" w:color="auto"/>
              <w:left w:val="nil"/>
              <w:bottom w:val="single" w:sz="4" w:space="0" w:color="auto"/>
              <w:right w:val="single" w:sz="4" w:space="0" w:color="auto"/>
            </w:tcBorders>
            <w:shd w:val="pct35" w:color="auto" w:fill="auto"/>
            <w:noWrap/>
            <w:textDirection w:val="lrTb"/>
            <w:vAlign w:val="center"/>
            <w:hideMark/>
          </w:tcPr>
          <w:p w:rsidR="006C0389" w:rsidRPr="009F7AD3" w:rsidP="00F53AF1">
            <w:pPr>
              <w:bidi w:val="0"/>
              <w:jc w:val="center"/>
              <w:rPr>
                <w:rFonts w:ascii="Times New Roman" w:hAnsi="Times New Roman"/>
                <w:b/>
                <w:bCs/>
                <w:sz w:val="14"/>
                <w:szCs w:val="14"/>
              </w:rPr>
            </w:pPr>
            <w:r w:rsidRPr="009F7AD3">
              <w:rPr>
                <w:rFonts w:ascii="Times New Roman" w:hAnsi="Times New Roman"/>
                <w:b/>
                <w:bCs/>
                <w:sz w:val="14"/>
                <w:szCs w:val="14"/>
              </w:rPr>
              <w:t>201</w:t>
            </w:r>
            <w:r>
              <w:rPr>
                <w:rFonts w:ascii="Times New Roman" w:hAnsi="Times New Roman"/>
                <w:b/>
                <w:bCs/>
                <w:sz w:val="14"/>
                <w:szCs w:val="14"/>
              </w:rPr>
              <w:t>4</w:t>
            </w:r>
            <w:r w:rsidRPr="009F7AD3">
              <w:rPr>
                <w:rFonts w:ascii="Times New Roman" w:hAnsi="Times New Roman"/>
                <w:b/>
                <w:bCs/>
                <w:sz w:val="14"/>
                <w:szCs w:val="14"/>
              </w:rPr>
              <w:t xml:space="preserve"> S</w:t>
            </w:r>
          </w:p>
        </w:tc>
        <w:tc>
          <w:tcPr>
            <w:tcW w:w="779" w:type="dxa"/>
            <w:tcBorders>
              <w:top w:val="single" w:sz="4" w:space="0" w:color="auto"/>
              <w:left w:val="nil"/>
              <w:bottom w:val="single" w:sz="4" w:space="0" w:color="auto"/>
              <w:right w:val="single" w:sz="4" w:space="0" w:color="auto"/>
            </w:tcBorders>
            <w:shd w:val="pct35" w:color="auto" w:fill="auto"/>
            <w:noWrap/>
            <w:textDirection w:val="lrTb"/>
            <w:vAlign w:val="center"/>
            <w:hideMark/>
          </w:tcPr>
          <w:p w:rsidR="006C0389" w:rsidRPr="009F7AD3" w:rsidP="00F53AF1">
            <w:pPr>
              <w:bidi w:val="0"/>
              <w:jc w:val="center"/>
              <w:rPr>
                <w:rFonts w:ascii="Times New Roman" w:hAnsi="Times New Roman"/>
                <w:b/>
                <w:bCs/>
                <w:sz w:val="14"/>
                <w:szCs w:val="14"/>
              </w:rPr>
            </w:pPr>
            <w:r w:rsidRPr="009F7AD3">
              <w:rPr>
                <w:rFonts w:ascii="Times New Roman" w:hAnsi="Times New Roman"/>
                <w:b/>
                <w:bCs/>
                <w:sz w:val="14"/>
                <w:szCs w:val="14"/>
              </w:rPr>
              <w:t>201</w:t>
            </w:r>
            <w:r>
              <w:rPr>
                <w:rFonts w:ascii="Times New Roman" w:hAnsi="Times New Roman"/>
                <w:b/>
                <w:bCs/>
                <w:sz w:val="14"/>
                <w:szCs w:val="14"/>
              </w:rPr>
              <w:t>5</w:t>
            </w:r>
            <w:r w:rsidRPr="009F7AD3">
              <w:rPr>
                <w:rFonts w:ascii="Times New Roman" w:hAnsi="Times New Roman"/>
                <w:b/>
                <w:bCs/>
                <w:sz w:val="14"/>
                <w:szCs w:val="14"/>
              </w:rPr>
              <w:t xml:space="preserve"> R</w:t>
            </w:r>
          </w:p>
        </w:tc>
        <w:tc>
          <w:tcPr>
            <w:tcW w:w="779" w:type="dxa"/>
            <w:tcBorders>
              <w:top w:val="single" w:sz="4" w:space="0" w:color="auto"/>
              <w:left w:val="nil"/>
              <w:bottom w:val="single" w:sz="4" w:space="0" w:color="auto"/>
              <w:right w:val="single" w:sz="4" w:space="0" w:color="auto"/>
            </w:tcBorders>
            <w:shd w:val="pct35" w:color="auto" w:fill="auto"/>
            <w:noWrap/>
            <w:textDirection w:val="lrTb"/>
            <w:vAlign w:val="center"/>
            <w:hideMark/>
          </w:tcPr>
          <w:p w:rsidR="006C0389" w:rsidRPr="009F7AD3" w:rsidP="00F53AF1">
            <w:pPr>
              <w:bidi w:val="0"/>
              <w:jc w:val="center"/>
              <w:rPr>
                <w:rFonts w:ascii="Times New Roman" w:hAnsi="Times New Roman"/>
                <w:b/>
                <w:bCs/>
                <w:sz w:val="14"/>
                <w:szCs w:val="14"/>
              </w:rPr>
            </w:pPr>
            <w:r w:rsidRPr="009F7AD3">
              <w:rPr>
                <w:rFonts w:ascii="Times New Roman" w:hAnsi="Times New Roman"/>
                <w:b/>
                <w:bCs/>
                <w:sz w:val="14"/>
                <w:szCs w:val="14"/>
              </w:rPr>
              <w:t>201</w:t>
            </w:r>
            <w:r>
              <w:rPr>
                <w:rFonts w:ascii="Times New Roman" w:hAnsi="Times New Roman"/>
                <w:b/>
                <w:bCs/>
                <w:sz w:val="14"/>
                <w:szCs w:val="14"/>
              </w:rPr>
              <w:t>5</w:t>
            </w:r>
            <w:r w:rsidRPr="009F7AD3">
              <w:rPr>
                <w:rFonts w:ascii="Times New Roman" w:hAnsi="Times New Roman"/>
                <w:b/>
                <w:bCs/>
                <w:sz w:val="14"/>
                <w:szCs w:val="14"/>
              </w:rPr>
              <w:t xml:space="preserve"> OS</w:t>
            </w:r>
          </w:p>
        </w:tc>
        <w:tc>
          <w:tcPr>
            <w:tcW w:w="779" w:type="dxa"/>
            <w:tcBorders>
              <w:top w:val="single" w:sz="4" w:space="0" w:color="auto"/>
              <w:left w:val="nil"/>
              <w:bottom w:val="single" w:sz="4" w:space="0" w:color="auto"/>
              <w:right w:val="single" w:sz="4" w:space="0" w:color="auto"/>
            </w:tcBorders>
            <w:shd w:val="pct35" w:color="auto" w:fill="auto"/>
            <w:noWrap/>
            <w:textDirection w:val="lrTb"/>
            <w:vAlign w:val="center"/>
            <w:hideMark/>
          </w:tcPr>
          <w:p w:rsidR="006C0389" w:rsidRPr="009F7AD3" w:rsidP="00F53AF1">
            <w:pPr>
              <w:bidi w:val="0"/>
              <w:jc w:val="center"/>
              <w:rPr>
                <w:rFonts w:ascii="Times New Roman" w:hAnsi="Times New Roman"/>
                <w:b/>
                <w:bCs/>
                <w:sz w:val="14"/>
                <w:szCs w:val="14"/>
              </w:rPr>
            </w:pPr>
            <w:r>
              <w:rPr>
                <w:rFonts w:ascii="Times New Roman" w:hAnsi="Times New Roman"/>
                <w:b/>
                <w:bCs/>
                <w:sz w:val="14"/>
                <w:szCs w:val="14"/>
              </w:rPr>
              <w:t xml:space="preserve">2016 </w:t>
            </w:r>
            <w:r w:rsidR="00F53AF1">
              <w:rPr>
                <w:rFonts w:ascii="Times New Roman" w:hAnsi="Times New Roman"/>
                <w:b/>
                <w:bCs/>
                <w:sz w:val="14"/>
                <w:szCs w:val="14"/>
              </w:rPr>
              <w:t>N</w:t>
            </w:r>
          </w:p>
        </w:tc>
        <w:tc>
          <w:tcPr>
            <w:tcW w:w="779" w:type="dxa"/>
            <w:tcBorders>
              <w:top w:val="single" w:sz="4" w:space="0" w:color="auto"/>
              <w:left w:val="nil"/>
              <w:bottom w:val="single" w:sz="4" w:space="0" w:color="auto"/>
              <w:right w:val="single" w:sz="4" w:space="0" w:color="auto"/>
            </w:tcBorders>
            <w:shd w:val="pct35" w:color="auto" w:fill="auto"/>
            <w:noWrap/>
            <w:textDirection w:val="lrTb"/>
            <w:vAlign w:val="center"/>
            <w:hideMark/>
          </w:tcPr>
          <w:p w:rsidR="006C0389" w:rsidRPr="009F7AD3" w:rsidP="00F53AF1">
            <w:pPr>
              <w:bidi w:val="0"/>
              <w:jc w:val="center"/>
              <w:rPr>
                <w:rFonts w:ascii="Times New Roman" w:hAnsi="Times New Roman"/>
                <w:b/>
                <w:bCs/>
                <w:sz w:val="14"/>
                <w:szCs w:val="14"/>
              </w:rPr>
            </w:pPr>
            <w:r w:rsidRPr="009F7AD3">
              <w:rPr>
                <w:rFonts w:ascii="Times New Roman" w:hAnsi="Times New Roman"/>
                <w:b/>
                <w:bCs/>
                <w:sz w:val="14"/>
                <w:szCs w:val="14"/>
              </w:rPr>
              <w:t>201</w:t>
            </w:r>
            <w:r>
              <w:rPr>
                <w:rFonts w:ascii="Times New Roman" w:hAnsi="Times New Roman"/>
                <w:b/>
                <w:bCs/>
                <w:sz w:val="14"/>
                <w:szCs w:val="14"/>
              </w:rPr>
              <w:t>7</w:t>
            </w:r>
            <w:r w:rsidRPr="009F7AD3">
              <w:rPr>
                <w:rFonts w:ascii="Times New Roman" w:hAnsi="Times New Roman"/>
                <w:b/>
                <w:bCs/>
                <w:sz w:val="14"/>
                <w:szCs w:val="14"/>
              </w:rPr>
              <w:t xml:space="preserve"> N</w:t>
            </w:r>
          </w:p>
        </w:tc>
        <w:tc>
          <w:tcPr>
            <w:tcW w:w="780" w:type="dxa"/>
            <w:tcBorders>
              <w:top w:val="single" w:sz="4" w:space="0" w:color="auto"/>
              <w:left w:val="nil"/>
              <w:bottom w:val="single" w:sz="4" w:space="0" w:color="auto"/>
              <w:right w:val="single" w:sz="4" w:space="0" w:color="auto"/>
            </w:tcBorders>
            <w:shd w:val="pct35" w:color="auto" w:fill="auto"/>
            <w:noWrap/>
            <w:textDirection w:val="lrTb"/>
            <w:vAlign w:val="center"/>
            <w:hideMark/>
          </w:tcPr>
          <w:p w:rsidR="006C0389" w:rsidRPr="009F7AD3" w:rsidP="00F53AF1">
            <w:pPr>
              <w:bidi w:val="0"/>
              <w:jc w:val="center"/>
              <w:rPr>
                <w:rFonts w:ascii="Times New Roman" w:hAnsi="Times New Roman"/>
                <w:b/>
                <w:bCs/>
                <w:sz w:val="14"/>
                <w:szCs w:val="14"/>
              </w:rPr>
            </w:pPr>
            <w:r w:rsidRPr="009F7AD3">
              <w:rPr>
                <w:rFonts w:ascii="Times New Roman" w:hAnsi="Times New Roman"/>
                <w:b/>
                <w:bCs/>
                <w:sz w:val="14"/>
                <w:szCs w:val="14"/>
              </w:rPr>
              <w:t>201</w:t>
            </w:r>
            <w:r>
              <w:rPr>
                <w:rFonts w:ascii="Times New Roman" w:hAnsi="Times New Roman"/>
                <w:b/>
                <w:bCs/>
                <w:sz w:val="14"/>
                <w:szCs w:val="14"/>
              </w:rPr>
              <w:t>8</w:t>
            </w:r>
            <w:r w:rsidRPr="009F7AD3">
              <w:rPr>
                <w:rFonts w:ascii="Times New Roman" w:hAnsi="Times New Roman"/>
                <w:b/>
                <w:bCs/>
                <w:sz w:val="14"/>
                <w:szCs w:val="14"/>
              </w:rPr>
              <w:t xml:space="preserve"> N</w:t>
            </w:r>
          </w:p>
        </w:tc>
      </w:tr>
      <w:tr>
        <w:tblPrEx>
          <w:tblW w:w="9210" w:type="dxa"/>
          <w:tblLayout w:type="fixed"/>
          <w:tblCellMar>
            <w:left w:w="70" w:type="dxa"/>
            <w:right w:w="70" w:type="dxa"/>
          </w:tblCellMar>
          <w:tblLook w:val="04A0"/>
        </w:tblPrEx>
        <w:trPr>
          <w:trHeight w:hRule="exact" w:val="255"/>
        </w:trPr>
        <w:tc>
          <w:tcPr>
            <w:tcW w:w="3756" w:type="dxa"/>
            <w:tcBorders>
              <w:top w:val="single" w:sz="4" w:space="0" w:color="auto"/>
              <w:left w:val="single" w:sz="4" w:space="0" w:color="auto"/>
              <w:bottom w:val="single" w:sz="4" w:space="0" w:color="auto"/>
              <w:right w:val="single" w:sz="4" w:space="0" w:color="auto"/>
            </w:tcBorders>
            <w:shd w:val="pct25" w:color="auto" w:fill="auto"/>
            <w:noWrap/>
            <w:textDirection w:val="lrTb"/>
            <w:vAlign w:val="bottom"/>
            <w:hideMark/>
          </w:tcPr>
          <w:p w:rsidR="006C0389" w:rsidRPr="009F7AD3" w:rsidP="000008FE">
            <w:pPr>
              <w:bidi w:val="0"/>
              <w:rPr>
                <w:rFonts w:ascii="Times New Roman" w:hAnsi="Times New Roman"/>
                <w:b/>
                <w:bCs/>
                <w:sz w:val="14"/>
                <w:szCs w:val="14"/>
              </w:rPr>
            </w:pPr>
            <w:r w:rsidRPr="009F7AD3">
              <w:rPr>
                <w:rFonts w:ascii="Times New Roman" w:hAnsi="Times New Roman"/>
                <w:b/>
                <w:bCs/>
                <w:sz w:val="14"/>
                <w:szCs w:val="14"/>
              </w:rPr>
              <w:t>Príjmy Sociálnej poisťovne spolu</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7 174 844</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7 421 303</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7 649 463</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7 792 972</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7 846 395</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8 033 478</w:t>
            </w:r>
          </w:p>
        </w:tc>
        <w:tc>
          <w:tcPr>
            <w:tcW w:w="780"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8 284 700</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rPr>
                <w:rFonts w:ascii="Times New Roman" w:hAnsi="Times New Roman"/>
                <w:b/>
                <w:bCs/>
                <w:sz w:val="14"/>
                <w:szCs w:val="14"/>
              </w:rPr>
            </w:pPr>
            <w:r w:rsidRPr="009F7AD3">
              <w:rPr>
                <w:rFonts w:ascii="Times New Roman" w:hAnsi="Times New Roman"/>
                <w:b/>
                <w:bCs/>
                <w:sz w:val="14"/>
                <w:szCs w:val="14"/>
              </w:rPr>
              <w:t>z toho:</w:t>
            </w: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80"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ind w:firstLine="140" w:firstLineChars="100"/>
              <w:rPr>
                <w:rFonts w:ascii="Times New Roman" w:hAnsi="Times New Roman"/>
                <w:sz w:val="14"/>
                <w:szCs w:val="14"/>
              </w:rPr>
            </w:pPr>
            <w:r w:rsidRPr="009F7AD3">
              <w:rPr>
                <w:rFonts w:ascii="Times New Roman" w:hAnsi="Times New Roman"/>
                <w:sz w:val="14"/>
                <w:szCs w:val="14"/>
              </w:rPr>
              <w:t>▪     daňové príjmy (príjmy z poistného)</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5 943 932</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5 974 172</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6 190 670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6 852 972</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6 532 147</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6 830 362</w:t>
            </w:r>
          </w:p>
        </w:tc>
        <w:tc>
          <w:tcPr>
            <w:tcW w:w="780"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7 163 640</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rPr>
                <w:rFonts w:ascii="Times New Roman" w:hAnsi="Times New Roman"/>
                <w:sz w:val="14"/>
                <w:szCs w:val="14"/>
              </w:rPr>
            </w:pPr>
            <w:r w:rsidRPr="009F7AD3">
              <w:rPr>
                <w:rFonts w:ascii="Times New Roman" w:hAnsi="Times New Roman"/>
                <w:sz w:val="14"/>
                <w:szCs w:val="14"/>
              </w:rPr>
              <w:t xml:space="preserve">           z toho:  ekonomicky aktívne osoby</w:t>
            </w:r>
          </w:p>
        </w:tc>
        <w:tc>
          <w:tcPr>
            <w:tcW w:w="779" w:type="dxa"/>
            <w:tcBorders>
              <w:top w:val="nil"/>
              <w:left w:val="nil"/>
              <w:bottom w:val="single" w:sz="4" w:space="0" w:color="auto"/>
              <w:right w:val="single" w:sz="4" w:space="0" w:color="auto"/>
            </w:tcBorders>
            <w:noWrap/>
            <w:textDirection w:val="lrTb"/>
            <w:vAlign w:val="bottom"/>
            <w:hideMark/>
          </w:tcPr>
          <w:p w:rsidR="006C0389" w:rsidRPr="00503EDD" w:rsidP="000008FE">
            <w:pPr>
              <w:bidi w:val="0"/>
              <w:jc w:val="right"/>
              <w:rPr>
                <w:rFonts w:ascii="Times New Roman" w:hAnsi="Times New Roman"/>
                <w:sz w:val="14"/>
                <w:szCs w:val="14"/>
              </w:rPr>
            </w:pPr>
            <w:r w:rsidRPr="00503EDD">
              <w:rPr>
                <w:rFonts w:ascii="Times New Roman" w:hAnsi="Times New Roman"/>
                <w:sz w:val="14"/>
                <w:szCs w:val="14"/>
              </w:rPr>
              <w:t>5 241 204</w:t>
            </w:r>
          </w:p>
        </w:tc>
        <w:tc>
          <w:tcPr>
            <w:tcW w:w="779" w:type="dxa"/>
            <w:tcBorders>
              <w:top w:val="nil"/>
              <w:left w:val="nil"/>
              <w:bottom w:val="single" w:sz="4" w:space="0" w:color="auto"/>
              <w:right w:val="single" w:sz="4" w:space="0" w:color="auto"/>
            </w:tcBorders>
            <w:noWrap/>
            <w:textDirection w:val="lrTb"/>
            <w:vAlign w:val="bottom"/>
            <w:hideMark/>
          </w:tcPr>
          <w:p w:rsidR="006C0389" w:rsidRPr="00503EDD" w:rsidP="000008FE">
            <w:pPr>
              <w:bidi w:val="0"/>
              <w:jc w:val="right"/>
              <w:rPr>
                <w:rFonts w:ascii="Times New Roman" w:hAnsi="Times New Roman"/>
                <w:sz w:val="14"/>
                <w:szCs w:val="14"/>
              </w:rPr>
            </w:pPr>
            <w:r w:rsidRPr="00503EDD">
              <w:rPr>
                <w:rFonts w:ascii="Times New Roman" w:hAnsi="Times New Roman"/>
                <w:sz w:val="14"/>
                <w:szCs w:val="14"/>
              </w:rPr>
              <w:t>5 532 378</w:t>
            </w:r>
          </w:p>
        </w:tc>
        <w:tc>
          <w:tcPr>
            <w:tcW w:w="779" w:type="dxa"/>
            <w:tcBorders>
              <w:top w:val="nil"/>
              <w:left w:val="nil"/>
              <w:bottom w:val="single" w:sz="4" w:space="0" w:color="auto"/>
              <w:right w:val="single" w:sz="4" w:space="0" w:color="auto"/>
            </w:tcBorders>
            <w:noWrap/>
            <w:textDirection w:val="lrTb"/>
            <w:vAlign w:val="bottom"/>
            <w:hideMark/>
          </w:tcPr>
          <w:p w:rsidR="006C0389" w:rsidRPr="00503EDD" w:rsidP="000008FE">
            <w:pPr>
              <w:bidi w:val="0"/>
              <w:jc w:val="right"/>
              <w:rPr>
                <w:rFonts w:ascii="Times New Roman" w:hAnsi="Times New Roman"/>
                <w:sz w:val="14"/>
                <w:szCs w:val="14"/>
              </w:rPr>
            </w:pPr>
            <w:r w:rsidRPr="00503EDD">
              <w:rPr>
                <w:rFonts w:ascii="Times New Roman" w:hAnsi="Times New Roman"/>
                <w:sz w:val="14"/>
                <w:szCs w:val="14"/>
              </w:rPr>
              <w:t>5 712 892</w:t>
            </w:r>
          </w:p>
        </w:tc>
        <w:tc>
          <w:tcPr>
            <w:tcW w:w="779" w:type="dxa"/>
            <w:tcBorders>
              <w:top w:val="nil"/>
              <w:left w:val="nil"/>
              <w:bottom w:val="single" w:sz="4" w:space="0" w:color="auto"/>
              <w:right w:val="single" w:sz="4" w:space="0" w:color="auto"/>
            </w:tcBorders>
            <w:noWrap/>
            <w:textDirection w:val="lrTb"/>
            <w:vAlign w:val="bottom"/>
            <w:hideMark/>
          </w:tcPr>
          <w:p w:rsidR="006C0389" w:rsidRPr="00503EDD" w:rsidP="000008FE">
            <w:pPr>
              <w:bidi w:val="0"/>
              <w:jc w:val="right"/>
              <w:rPr>
                <w:rFonts w:ascii="Times New Roman" w:hAnsi="Times New Roman"/>
                <w:sz w:val="14"/>
                <w:szCs w:val="14"/>
              </w:rPr>
            </w:pPr>
            <w:r w:rsidRPr="00503EDD">
              <w:rPr>
                <w:rFonts w:ascii="Times New Roman" w:hAnsi="Times New Roman"/>
                <w:sz w:val="14"/>
                <w:szCs w:val="14"/>
              </w:rPr>
              <w:t>5 837 378</w:t>
            </w:r>
          </w:p>
        </w:tc>
        <w:tc>
          <w:tcPr>
            <w:tcW w:w="779" w:type="dxa"/>
            <w:tcBorders>
              <w:top w:val="nil"/>
              <w:left w:val="nil"/>
              <w:bottom w:val="single" w:sz="4" w:space="0" w:color="auto"/>
              <w:right w:val="single" w:sz="4" w:space="0" w:color="auto"/>
            </w:tcBorders>
            <w:noWrap/>
            <w:textDirection w:val="lrTb"/>
            <w:vAlign w:val="bottom"/>
            <w:hideMark/>
          </w:tcPr>
          <w:p w:rsidR="006C0389" w:rsidRPr="00503EDD" w:rsidP="000008FE">
            <w:pPr>
              <w:bidi w:val="0"/>
              <w:jc w:val="right"/>
              <w:rPr>
                <w:rFonts w:ascii="Times New Roman" w:hAnsi="Times New Roman"/>
                <w:sz w:val="14"/>
                <w:szCs w:val="14"/>
              </w:rPr>
            </w:pPr>
            <w:r w:rsidRPr="00503EDD">
              <w:rPr>
                <w:rFonts w:ascii="Times New Roman" w:hAnsi="Times New Roman"/>
                <w:sz w:val="14"/>
                <w:szCs w:val="14"/>
              </w:rPr>
              <w:t>6 084 443</w:t>
            </w:r>
          </w:p>
        </w:tc>
        <w:tc>
          <w:tcPr>
            <w:tcW w:w="779" w:type="dxa"/>
            <w:tcBorders>
              <w:top w:val="nil"/>
              <w:left w:val="nil"/>
              <w:bottom w:val="single" w:sz="4" w:space="0" w:color="auto"/>
              <w:right w:val="single" w:sz="4" w:space="0" w:color="auto"/>
            </w:tcBorders>
            <w:noWrap/>
            <w:textDirection w:val="lrTb"/>
            <w:vAlign w:val="bottom"/>
            <w:hideMark/>
          </w:tcPr>
          <w:p w:rsidR="006C0389" w:rsidRPr="00503EDD" w:rsidP="000008FE">
            <w:pPr>
              <w:bidi w:val="0"/>
              <w:jc w:val="right"/>
              <w:rPr>
                <w:rFonts w:ascii="Times New Roman" w:hAnsi="Times New Roman"/>
                <w:sz w:val="14"/>
                <w:szCs w:val="14"/>
              </w:rPr>
            </w:pPr>
            <w:r w:rsidRPr="00503EDD">
              <w:rPr>
                <w:rFonts w:ascii="Times New Roman" w:hAnsi="Times New Roman"/>
                <w:sz w:val="14"/>
                <w:szCs w:val="14"/>
              </w:rPr>
              <w:t>6 372 767</w:t>
            </w:r>
          </w:p>
        </w:tc>
        <w:tc>
          <w:tcPr>
            <w:tcW w:w="780" w:type="dxa"/>
            <w:tcBorders>
              <w:top w:val="nil"/>
              <w:left w:val="nil"/>
              <w:bottom w:val="single" w:sz="4" w:space="0" w:color="auto"/>
              <w:right w:val="single" w:sz="4" w:space="0" w:color="auto"/>
            </w:tcBorders>
            <w:noWrap/>
            <w:textDirection w:val="lrTb"/>
            <w:vAlign w:val="bottom"/>
            <w:hideMark/>
          </w:tcPr>
          <w:p w:rsidR="006C0389" w:rsidRPr="00503EDD" w:rsidP="000008FE">
            <w:pPr>
              <w:bidi w:val="0"/>
              <w:jc w:val="right"/>
              <w:rPr>
                <w:rFonts w:ascii="Times New Roman" w:hAnsi="Times New Roman"/>
                <w:sz w:val="14"/>
                <w:szCs w:val="14"/>
              </w:rPr>
            </w:pPr>
            <w:r w:rsidRPr="00503EDD">
              <w:rPr>
                <w:rFonts w:ascii="Times New Roman" w:hAnsi="Times New Roman"/>
                <w:sz w:val="14"/>
                <w:szCs w:val="14"/>
              </w:rPr>
              <w:t>6 694 196</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rPr>
                <w:rFonts w:ascii="Times New Roman" w:hAnsi="Times New Roman"/>
                <w:sz w:val="14"/>
                <w:szCs w:val="14"/>
              </w:rPr>
            </w:pPr>
            <w:r w:rsidRPr="009F7AD3">
              <w:rPr>
                <w:rFonts w:ascii="Times New Roman" w:hAnsi="Times New Roman"/>
                <w:sz w:val="14"/>
                <w:szCs w:val="14"/>
              </w:rPr>
              <w:t xml:space="preserve">                       dlžné poistné</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209 499</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214 832</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238 829</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217 054</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221 980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228 739</w:t>
            </w:r>
          </w:p>
        </w:tc>
        <w:tc>
          <w:tcPr>
            <w:tcW w:w="780"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236 145</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rPr>
                <w:rFonts w:ascii="Times New Roman" w:hAnsi="Times New Roman"/>
                <w:sz w:val="14"/>
                <w:szCs w:val="14"/>
              </w:rPr>
            </w:pPr>
            <w:r w:rsidRPr="009F7AD3">
              <w:rPr>
                <w:rFonts w:ascii="Times New Roman" w:hAnsi="Times New Roman"/>
                <w:sz w:val="14"/>
                <w:szCs w:val="14"/>
              </w:rPr>
              <w:t xml:space="preserve">                       otvorenie II. piliera </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239 733</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83</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577 895</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0</w:t>
            </w:r>
          </w:p>
        </w:tc>
        <w:tc>
          <w:tcPr>
            <w:tcW w:w="780"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0</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rPr>
                <w:rFonts w:ascii="Times New Roman" w:hAnsi="Times New Roman"/>
                <w:sz w:val="14"/>
                <w:szCs w:val="14"/>
              </w:rPr>
            </w:pPr>
            <w:r w:rsidRPr="009F7AD3">
              <w:rPr>
                <w:rFonts w:ascii="Times New Roman" w:hAnsi="Times New Roman"/>
                <w:sz w:val="14"/>
                <w:szCs w:val="14"/>
              </w:rPr>
              <w:t xml:space="preserve">                       štát</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236 511</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206 973</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221 804</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198 937</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204 016</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207 148</w:t>
            </w:r>
          </w:p>
        </w:tc>
        <w:tc>
          <w:tcPr>
            <w:tcW w:w="780"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211 591</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rPr>
                <w:rFonts w:ascii="Times New Roman" w:hAnsi="Times New Roman"/>
                <w:sz w:val="14"/>
                <w:szCs w:val="14"/>
              </w:rPr>
            </w:pPr>
            <w:r w:rsidRPr="009F7AD3">
              <w:rPr>
                <w:rFonts w:ascii="Times New Roman" w:hAnsi="Times New Roman"/>
                <w:sz w:val="14"/>
                <w:szCs w:val="14"/>
              </w:rPr>
              <w:t xml:space="preserve">                      SP - platba do SP (za poberateľov úrazovej renty)</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2 340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2 446</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2 500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2 500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2 500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2 500</w:t>
            </w:r>
          </w:p>
        </w:tc>
        <w:tc>
          <w:tcPr>
            <w:tcW w:w="780"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2 500</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rPr>
                <w:rFonts w:ascii="Times New Roman" w:hAnsi="Times New Roman"/>
                <w:sz w:val="14"/>
                <w:szCs w:val="14"/>
              </w:rPr>
            </w:pPr>
            <w:r w:rsidRPr="009F7AD3">
              <w:rPr>
                <w:rFonts w:ascii="Times New Roman" w:hAnsi="Times New Roman"/>
                <w:sz w:val="14"/>
                <w:szCs w:val="14"/>
              </w:rPr>
              <w:t xml:space="preserve">                      pokuty a penále</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14 645</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17 460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14 645</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19 208</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19 208</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19 208</w:t>
            </w:r>
          </w:p>
        </w:tc>
        <w:tc>
          <w:tcPr>
            <w:tcW w:w="780"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19 208</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ind w:firstLine="140" w:firstLineChars="100"/>
              <w:rPr>
                <w:rFonts w:ascii="Times New Roman" w:hAnsi="Times New Roman"/>
                <w:sz w:val="14"/>
                <w:szCs w:val="14"/>
              </w:rPr>
            </w:pPr>
            <w:r w:rsidRPr="009F7AD3">
              <w:rPr>
                <w:rFonts w:ascii="Times New Roman" w:hAnsi="Times New Roman"/>
                <w:sz w:val="14"/>
                <w:szCs w:val="14"/>
              </w:rPr>
              <w:t>▪     nedaňové príjmy (úroky a iné príjmy)</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15 460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18 748</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16 450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17 000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17 000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17 000</w:t>
            </w:r>
          </w:p>
        </w:tc>
        <w:tc>
          <w:tcPr>
            <w:tcW w:w="780"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17 000</w:t>
            </w:r>
          </w:p>
        </w:tc>
      </w:tr>
      <w:tr>
        <w:tblPrEx>
          <w:tblW w:w="9210" w:type="dxa"/>
          <w:tblLayout w:type="fixed"/>
          <w:tblCellMar>
            <w:left w:w="70" w:type="dxa"/>
            <w:right w:w="70" w:type="dxa"/>
          </w:tblCellMar>
          <w:tblLook w:val="04A0"/>
        </w:tblPrEx>
        <w:trPr>
          <w:trHeight w:hRule="exact" w:val="255"/>
        </w:trPr>
        <w:tc>
          <w:tcPr>
            <w:tcW w:w="3756" w:type="dxa"/>
            <w:tcBorders>
              <w:top w:val="single" w:sz="4" w:space="0" w:color="auto"/>
              <w:left w:val="single" w:sz="4" w:space="0" w:color="auto"/>
              <w:bottom w:val="single" w:sz="4" w:space="0" w:color="auto"/>
              <w:right w:val="single" w:sz="4" w:space="0" w:color="auto"/>
            </w:tcBorders>
            <w:shd w:val="pct25" w:color="auto" w:fill="auto"/>
            <w:noWrap/>
            <w:textDirection w:val="lrTb"/>
            <w:vAlign w:val="bottom"/>
            <w:hideMark/>
          </w:tcPr>
          <w:p w:rsidR="006C0389" w:rsidRPr="009F7AD3" w:rsidP="000008FE">
            <w:pPr>
              <w:bidi w:val="0"/>
              <w:ind w:firstLine="140" w:firstLineChars="100"/>
              <w:rPr>
                <w:rFonts w:ascii="Times New Roman" w:hAnsi="Times New Roman"/>
                <w:b/>
                <w:bCs/>
                <w:sz w:val="14"/>
                <w:szCs w:val="14"/>
              </w:rPr>
            </w:pPr>
            <w:r w:rsidRPr="009F7AD3">
              <w:rPr>
                <w:rFonts w:ascii="Times New Roman" w:hAnsi="Times New Roman"/>
                <w:b/>
                <w:bCs/>
                <w:sz w:val="14"/>
                <w:szCs w:val="14"/>
              </w:rPr>
              <w:t>▪     granty a transfery – ŠFA (ŠR)</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673 544</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900 895</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905 966</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452 983</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634 988</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635 590</w:t>
            </w:r>
          </w:p>
        </w:tc>
        <w:tc>
          <w:tcPr>
            <w:tcW w:w="780"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541 406</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rPr>
                <w:rFonts w:ascii="Times New Roman" w:hAnsi="Times New Roman"/>
                <w:sz w:val="14"/>
                <w:szCs w:val="14"/>
              </w:rPr>
            </w:pPr>
            <w:r w:rsidRPr="009F7AD3">
              <w:rPr>
                <w:rFonts w:ascii="Times New Roman" w:hAnsi="Times New Roman"/>
                <w:sz w:val="14"/>
                <w:szCs w:val="14"/>
              </w:rPr>
              <w:t xml:space="preserve">           </w:t>
            </w:r>
            <w:r>
              <w:rPr>
                <w:rFonts w:ascii="Times New Roman" w:hAnsi="Times New Roman"/>
                <w:sz w:val="14"/>
                <w:szCs w:val="14"/>
              </w:rPr>
              <w:t>v tom</w:t>
            </w:r>
            <w:r w:rsidRPr="009F7AD3">
              <w:rPr>
                <w:rFonts w:ascii="Times New Roman" w:hAnsi="Times New Roman"/>
                <w:sz w:val="14"/>
                <w:szCs w:val="14"/>
              </w:rPr>
              <w:t>:  na krytie deficitu účtu dôchodkového poistenia</w:t>
            </w:r>
          </w:p>
        </w:tc>
        <w:tc>
          <w:tcPr>
            <w:tcW w:w="779" w:type="dxa"/>
            <w:tcBorders>
              <w:top w:val="nil"/>
              <w:left w:val="nil"/>
              <w:bottom w:val="single" w:sz="4" w:space="0" w:color="auto"/>
              <w:right w:val="single" w:sz="4" w:space="0" w:color="auto"/>
            </w:tcBorders>
            <w:noWrap/>
            <w:textDirection w:val="lrTb"/>
            <w:vAlign w:val="bottom"/>
            <w:hideMark/>
          </w:tcPr>
          <w:p w:rsidR="006C0389" w:rsidRPr="00503EDD" w:rsidP="000008FE">
            <w:pPr>
              <w:bidi w:val="0"/>
              <w:jc w:val="right"/>
              <w:rPr>
                <w:rFonts w:ascii="Times New Roman" w:hAnsi="Times New Roman"/>
                <w:sz w:val="14"/>
                <w:szCs w:val="14"/>
              </w:rPr>
            </w:pPr>
            <w:r w:rsidRPr="00503EDD">
              <w:rPr>
                <w:rFonts w:ascii="Times New Roman" w:hAnsi="Times New Roman"/>
                <w:sz w:val="14"/>
                <w:szCs w:val="14"/>
              </w:rPr>
              <w:t>673 544</w:t>
            </w:r>
          </w:p>
        </w:tc>
        <w:tc>
          <w:tcPr>
            <w:tcW w:w="779" w:type="dxa"/>
            <w:tcBorders>
              <w:top w:val="nil"/>
              <w:left w:val="nil"/>
              <w:bottom w:val="single" w:sz="4" w:space="0" w:color="auto"/>
              <w:right w:val="single" w:sz="4" w:space="0" w:color="auto"/>
            </w:tcBorders>
            <w:noWrap/>
            <w:textDirection w:val="lrTb"/>
            <w:vAlign w:val="bottom"/>
            <w:hideMark/>
          </w:tcPr>
          <w:p w:rsidR="006C0389" w:rsidRPr="00503EDD" w:rsidP="000008FE">
            <w:pPr>
              <w:bidi w:val="0"/>
              <w:jc w:val="right"/>
              <w:rPr>
                <w:rFonts w:ascii="Times New Roman" w:hAnsi="Times New Roman"/>
                <w:sz w:val="14"/>
                <w:szCs w:val="14"/>
              </w:rPr>
            </w:pPr>
            <w:r w:rsidRPr="00503EDD">
              <w:rPr>
                <w:rFonts w:ascii="Times New Roman" w:hAnsi="Times New Roman"/>
                <w:sz w:val="14"/>
                <w:szCs w:val="14"/>
              </w:rPr>
              <w:t>900 895</w:t>
            </w:r>
          </w:p>
        </w:tc>
        <w:tc>
          <w:tcPr>
            <w:tcW w:w="779" w:type="dxa"/>
            <w:tcBorders>
              <w:top w:val="nil"/>
              <w:left w:val="nil"/>
              <w:bottom w:val="single" w:sz="4" w:space="0" w:color="auto"/>
              <w:right w:val="single" w:sz="4" w:space="0" w:color="auto"/>
            </w:tcBorders>
            <w:noWrap/>
            <w:textDirection w:val="lrTb"/>
            <w:vAlign w:val="bottom"/>
            <w:hideMark/>
          </w:tcPr>
          <w:p w:rsidR="006C0389" w:rsidRPr="00503EDD" w:rsidP="000008FE">
            <w:pPr>
              <w:bidi w:val="0"/>
              <w:jc w:val="right"/>
              <w:rPr>
                <w:rFonts w:ascii="Times New Roman" w:hAnsi="Times New Roman"/>
                <w:sz w:val="14"/>
                <w:szCs w:val="14"/>
              </w:rPr>
            </w:pPr>
            <w:r w:rsidRPr="00503EDD">
              <w:rPr>
                <w:rFonts w:ascii="Times New Roman" w:hAnsi="Times New Roman"/>
                <w:sz w:val="14"/>
                <w:szCs w:val="14"/>
              </w:rPr>
              <w:t>905 966</w:t>
            </w:r>
          </w:p>
        </w:tc>
        <w:tc>
          <w:tcPr>
            <w:tcW w:w="779" w:type="dxa"/>
            <w:tcBorders>
              <w:top w:val="nil"/>
              <w:left w:val="nil"/>
              <w:bottom w:val="single" w:sz="4" w:space="0" w:color="auto"/>
              <w:right w:val="single" w:sz="4" w:space="0" w:color="auto"/>
            </w:tcBorders>
            <w:noWrap/>
            <w:textDirection w:val="lrTb"/>
            <w:vAlign w:val="bottom"/>
            <w:hideMark/>
          </w:tcPr>
          <w:p w:rsidR="006C0389" w:rsidRPr="00503EDD" w:rsidP="000008FE">
            <w:pPr>
              <w:bidi w:val="0"/>
              <w:jc w:val="right"/>
              <w:rPr>
                <w:rFonts w:ascii="Times New Roman" w:hAnsi="Times New Roman"/>
                <w:sz w:val="14"/>
                <w:szCs w:val="14"/>
              </w:rPr>
            </w:pPr>
            <w:r w:rsidRPr="00503EDD">
              <w:rPr>
                <w:rFonts w:ascii="Times New Roman" w:hAnsi="Times New Roman"/>
                <w:sz w:val="14"/>
                <w:szCs w:val="14"/>
              </w:rPr>
              <w:t>452 983</w:t>
            </w:r>
          </w:p>
        </w:tc>
        <w:tc>
          <w:tcPr>
            <w:tcW w:w="779" w:type="dxa"/>
            <w:tcBorders>
              <w:top w:val="nil"/>
              <w:left w:val="nil"/>
              <w:bottom w:val="single" w:sz="4" w:space="0" w:color="auto"/>
              <w:right w:val="single" w:sz="4" w:space="0" w:color="auto"/>
            </w:tcBorders>
            <w:noWrap/>
            <w:textDirection w:val="lrTb"/>
            <w:vAlign w:val="bottom"/>
            <w:hideMark/>
          </w:tcPr>
          <w:p w:rsidR="006C0389" w:rsidRPr="00503EDD" w:rsidP="000008FE">
            <w:pPr>
              <w:bidi w:val="0"/>
              <w:jc w:val="right"/>
              <w:rPr>
                <w:rFonts w:ascii="Times New Roman" w:hAnsi="Times New Roman"/>
                <w:sz w:val="14"/>
                <w:szCs w:val="14"/>
              </w:rPr>
            </w:pPr>
            <w:r w:rsidRPr="00503EDD">
              <w:rPr>
                <w:rFonts w:ascii="Times New Roman" w:hAnsi="Times New Roman"/>
                <w:sz w:val="14"/>
                <w:szCs w:val="14"/>
              </w:rPr>
              <w:t>634 988</w:t>
            </w:r>
          </w:p>
        </w:tc>
        <w:tc>
          <w:tcPr>
            <w:tcW w:w="779" w:type="dxa"/>
            <w:tcBorders>
              <w:top w:val="nil"/>
              <w:left w:val="nil"/>
              <w:bottom w:val="single" w:sz="4" w:space="0" w:color="auto"/>
              <w:right w:val="single" w:sz="4" w:space="0" w:color="auto"/>
            </w:tcBorders>
            <w:noWrap/>
            <w:textDirection w:val="lrTb"/>
            <w:vAlign w:val="bottom"/>
            <w:hideMark/>
          </w:tcPr>
          <w:p w:rsidR="006C0389" w:rsidRPr="00503EDD" w:rsidP="000008FE">
            <w:pPr>
              <w:bidi w:val="0"/>
              <w:jc w:val="right"/>
              <w:rPr>
                <w:rFonts w:ascii="Times New Roman" w:hAnsi="Times New Roman"/>
                <w:sz w:val="14"/>
                <w:szCs w:val="14"/>
              </w:rPr>
            </w:pPr>
            <w:r w:rsidRPr="00503EDD">
              <w:rPr>
                <w:rFonts w:ascii="Times New Roman" w:hAnsi="Times New Roman"/>
                <w:sz w:val="14"/>
                <w:szCs w:val="14"/>
              </w:rPr>
              <w:t>635 590</w:t>
            </w:r>
          </w:p>
        </w:tc>
        <w:tc>
          <w:tcPr>
            <w:tcW w:w="780" w:type="dxa"/>
            <w:tcBorders>
              <w:top w:val="nil"/>
              <w:left w:val="nil"/>
              <w:bottom w:val="single" w:sz="4" w:space="0" w:color="auto"/>
              <w:right w:val="single" w:sz="4" w:space="0" w:color="auto"/>
            </w:tcBorders>
            <w:noWrap/>
            <w:textDirection w:val="lrTb"/>
            <w:vAlign w:val="bottom"/>
            <w:hideMark/>
          </w:tcPr>
          <w:p w:rsidR="006C0389" w:rsidRPr="00503EDD" w:rsidP="000008FE">
            <w:pPr>
              <w:bidi w:val="0"/>
              <w:jc w:val="right"/>
              <w:rPr>
                <w:rFonts w:ascii="Times New Roman" w:hAnsi="Times New Roman"/>
                <w:sz w:val="14"/>
                <w:szCs w:val="14"/>
              </w:rPr>
            </w:pPr>
            <w:r w:rsidRPr="00503EDD">
              <w:rPr>
                <w:rFonts w:ascii="Times New Roman" w:hAnsi="Times New Roman"/>
                <w:sz w:val="14"/>
                <w:szCs w:val="14"/>
              </w:rPr>
              <w:t>541 406</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rPr>
                <w:rFonts w:ascii="Times New Roman" w:hAnsi="Times New Roman"/>
                <w:sz w:val="14"/>
                <w:szCs w:val="14"/>
              </w:rPr>
            </w:pPr>
            <w:r w:rsidRPr="009F7AD3">
              <w:rPr>
                <w:rFonts w:ascii="Times New Roman" w:hAnsi="Times New Roman"/>
                <w:sz w:val="14"/>
                <w:szCs w:val="14"/>
              </w:rPr>
              <w:t xml:space="preserve">    ▪     zostatok prostriedkov z predch. rokov (FO)            </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531 639</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521 575</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524 248</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461 387</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652 196</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540 646</w:t>
            </w:r>
          </w:p>
        </w:tc>
        <w:tc>
          <w:tcPr>
            <w:tcW w:w="780"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553 469</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rPr>
                <w:rFonts w:ascii="Times New Roman" w:hAnsi="Times New Roman"/>
                <w:sz w:val="14"/>
                <w:szCs w:val="14"/>
              </w:rPr>
            </w:pPr>
            <w:r w:rsidRPr="009F7AD3">
              <w:rPr>
                <w:rFonts w:ascii="Times New Roman" w:hAnsi="Times New Roman"/>
                <w:sz w:val="14"/>
                <w:szCs w:val="14"/>
              </w:rPr>
              <w:t xml:space="preserve">    ▪     úver z garančného poistenia (FO)      </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10 269</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5 913</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12 130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8 631</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10 063</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9 880</w:t>
            </w:r>
          </w:p>
        </w:tc>
        <w:tc>
          <w:tcPr>
            <w:tcW w:w="780"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9 185</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rPr>
                <w:rFonts w:ascii="Times New Roman" w:hAnsi="Times New Roman"/>
                <w:b/>
                <w:bCs/>
                <w:sz w:val="14"/>
                <w:szCs w:val="14"/>
              </w:rPr>
            </w:pPr>
            <w:r w:rsidRPr="009F7AD3">
              <w:rPr>
                <w:rFonts w:ascii="Times New Roman" w:hAnsi="Times New Roman"/>
                <w:b/>
                <w:bCs/>
                <w:sz w:val="14"/>
                <w:szCs w:val="14"/>
              </w:rPr>
              <w:t> </w:t>
            </w: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80"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r>
      <w:tr>
        <w:tblPrEx>
          <w:tblW w:w="9210" w:type="dxa"/>
          <w:tblLayout w:type="fixed"/>
          <w:tblCellMar>
            <w:left w:w="70" w:type="dxa"/>
            <w:right w:w="70" w:type="dxa"/>
          </w:tblCellMar>
          <w:tblLook w:val="04A0"/>
        </w:tblPrEx>
        <w:trPr>
          <w:trHeight w:hRule="exact" w:val="255"/>
        </w:trPr>
        <w:tc>
          <w:tcPr>
            <w:tcW w:w="3756" w:type="dxa"/>
            <w:tcBorders>
              <w:top w:val="single" w:sz="4" w:space="0" w:color="auto"/>
              <w:left w:val="single" w:sz="4" w:space="0" w:color="auto"/>
              <w:bottom w:val="single" w:sz="4" w:space="0" w:color="auto"/>
              <w:right w:val="single" w:sz="4" w:space="0" w:color="auto"/>
            </w:tcBorders>
            <w:shd w:val="pct25" w:color="auto" w:fill="auto"/>
            <w:noWrap/>
            <w:textDirection w:val="lrTb"/>
            <w:vAlign w:val="bottom"/>
            <w:hideMark/>
          </w:tcPr>
          <w:p w:rsidR="006C0389" w:rsidRPr="009F7AD3" w:rsidP="000008FE">
            <w:pPr>
              <w:bidi w:val="0"/>
              <w:rPr>
                <w:rFonts w:ascii="Times New Roman" w:hAnsi="Times New Roman"/>
                <w:b/>
                <w:bCs/>
                <w:sz w:val="14"/>
                <w:szCs w:val="14"/>
              </w:rPr>
            </w:pPr>
            <w:r w:rsidRPr="009F7AD3">
              <w:rPr>
                <w:rFonts w:ascii="Times New Roman" w:hAnsi="Times New Roman"/>
                <w:b/>
                <w:bCs/>
                <w:sz w:val="14"/>
                <w:szCs w:val="14"/>
              </w:rPr>
              <w:t>Výdavky Sociálnej poisťovne spolu</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6 653 267</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6 959 916</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7 104 115</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7 140 776</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7 305 749</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7 480 009</w:t>
            </w:r>
          </w:p>
        </w:tc>
        <w:tc>
          <w:tcPr>
            <w:tcW w:w="780"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7 718 408</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rPr>
                <w:rFonts w:ascii="Times New Roman" w:hAnsi="Times New Roman"/>
                <w:b/>
                <w:bCs/>
                <w:sz w:val="14"/>
                <w:szCs w:val="14"/>
              </w:rPr>
            </w:pPr>
            <w:r w:rsidRPr="009F7AD3">
              <w:rPr>
                <w:rFonts w:ascii="Times New Roman" w:hAnsi="Times New Roman"/>
                <w:b/>
                <w:bCs/>
                <w:sz w:val="14"/>
                <w:szCs w:val="14"/>
              </w:rPr>
              <w:t>z toho:</w:t>
            </w: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80"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ind w:firstLine="140" w:firstLineChars="100"/>
              <w:rPr>
                <w:rFonts w:ascii="Times New Roman" w:hAnsi="Times New Roman"/>
                <w:sz w:val="14"/>
                <w:szCs w:val="14"/>
              </w:rPr>
            </w:pPr>
            <w:r w:rsidRPr="009F7AD3">
              <w:rPr>
                <w:rFonts w:ascii="Times New Roman" w:hAnsi="Times New Roman"/>
                <w:sz w:val="14"/>
                <w:szCs w:val="14"/>
              </w:rPr>
              <w:t>▪    výdavky poistenia</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6 512 217</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6 822 126</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6 979 326</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7 019 859</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7 183 572</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7 356 403</w:t>
            </w:r>
          </w:p>
        </w:tc>
        <w:tc>
          <w:tcPr>
            <w:tcW w:w="780"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7 593 194</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ind w:firstLine="140" w:firstLineChars="100"/>
              <w:rPr>
                <w:rFonts w:ascii="Times New Roman" w:hAnsi="Times New Roman"/>
                <w:sz w:val="14"/>
                <w:szCs w:val="14"/>
              </w:rPr>
            </w:pPr>
            <w:r w:rsidRPr="009F7AD3">
              <w:rPr>
                <w:rFonts w:ascii="Times New Roman" w:hAnsi="Times New Roman"/>
                <w:sz w:val="14"/>
                <w:szCs w:val="14"/>
              </w:rPr>
              <w:t>▪    výdavky správneho fondu</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124 752</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123 557</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106 000</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106 000</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106 000</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106 000</w:t>
            </w:r>
          </w:p>
        </w:tc>
        <w:tc>
          <w:tcPr>
            <w:tcW w:w="780"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106 000</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tcPr>
          <w:p w:rsidR="006C0389" w:rsidRPr="009F7AD3" w:rsidP="000008FE">
            <w:pPr>
              <w:bidi w:val="0"/>
              <w:ind w:firstLine="140" w:firstLineChars="100"/>
              <w:rPr>
                <w:rFonts w:ascii="Times New Roman" w:hAnsi="Times New Roman"/>
                <w:sz w:val="14"/>
                <w:szCs w:val="14"/>
              </w:rPr>
            </w:pPr>
            <w:r>
              <w:rPr>
                <w:rFonts w:ascii="Times New Roman" w:hAnsi="Times New Roman"/>
                <w:sz w:val="14"/>
                <w:szCs w:val="14"/>
              </w:rPr>
              <w:t>v tom:</w:t>
            </w:r>
          </w:p>
        </w:tc>
        <w:tc>
          <w:tcPr>
            <w:tcW w:w="779" w:type="dxa"/>
            <w:tcBorders>
              <w:top w:val="nil"/>
              <w:left w:val="nil"/>
              <w:bottom w:val="single" w:sz="4" w:space="0" w:color="auto"/>
              <w:right w:val="single" w:sz="4" w:space="0" w:color="auto"/>
            </w:tcBorders>
            <w:noWrap/>
            <w:textDirection w:val="lrTb"/>
            <w:vAlign w:val="bottom"/>
          </w:tcPr>
          <w:p w:rsidR="006C0389" w:rsidRPr="00716F66"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716F66"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716F66"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716F66"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716F66"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716F66" w:rsidP="000008FE">
            <w:pPr>
              <w:bidi w:val="0"/>
              <w:jc w:val="right"/>
              <w:rPr>
                <w:rFonts w:ascii="Times New Roman" w:hAnsi="Times New Roman"/>
                <w:sz w:val="14"/>
                <w:szCs w:val="14"/>
              </w:rPr>
            </w:pPr>
          </w:p>
        </w:tc>
        <w:tc>
          <w:tcPr>
            <w:tcW w:w="780" w:type="dxa"/>
            <w:tcBorders>
              <w:top w:val="nil"/>
              <w:left w:val="nil"/>
              <w:bottom w:val="single" w:sz="4" w:space="0" w:color="auto"/>
              <w:right w:val="single" w:sz="4" w:space="0" w:color="auto"/>
            </w:tcBorders>
            <w:noWrap/>
            <w:textDirection w:val="lrTb"/>
            <w:vAlign w:val="bottom"/>
          </w:tcPr>
          <w:p w:rsidR="006C0389" w:rsidRPr="00716F66" w:rsidP="000008FE">
            <w:pPr>
              <w:bidi w:val="0"/>
              <w:jc w:val="right"/>
              <w:rPr>
                <w:rFonts w:ascii="Times New Roman" w:hAnsi="Times New Roman"/>
                <w:sz w:val="14"/>
                <w:szCs w:val="14"/>
              </w:rPr>
            </w:pP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ind w:firstLine="140" w:firstLineChars="100"/>
              <w:rPr>
                <w:rFonts w:ascii="Times New Roman" w:hAnsi="Times New Roman"/>
                <w:sz w:val="14"/>
                <w:szCs w:val="14"/>
              </w:rPr>
            </w:pPr>
            <w:r w:rsidRPr="009F7AD3">
              <w:rPr>
                <w:rFonts w:ascii="Times New Roman" w:hAnsi="Times New Roman"/>
                <w:sz w:val="14"/>
                <w:szCs w:val="14"/>
              </w:rPr>
              <w:t>mzdy</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53 228</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55 999</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54 678</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54 678</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56 583</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57 188</w:t>
            </w:r>
          </w:p>
        </w:tc>
        <w:tc>
          <w:tcPr>
            <w:tcW w:w="780"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57 188</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ind w:firstLine="140" w:firstLineChars="100"/>
              <w:rPr>
                <w:rFonts w:ascii="Times New Roman" w:hAnsi="Times New Roman"/>
                <w:sz w:val="14"/>
                <w:szCs w:val="14"/>
              </w:rPr>
            </w:pPr>
            <w:r w:rsidRPr="009F7AD3">
              <w:rPr>
                <w:rFonts w:ascii="Times New Roman" w:hAnsi="Times New Roman"/>
                <w:sz w:val="14"/>
                <w:szCs w:val="14"/>
              </w:rPr>
              <w:t>poistné</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20 324</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21 321</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20 763</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20 763</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22 133</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22 361</w:t>
            </w:r>
          </w:p>
        </w:tc>
        <w:tc>
          <w:tcPr>
            <w:tcW w:w="780"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22 361</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ind w:firstLine="140" w:firstLineChars="100"/>
              <w:rPr>
                <w:rFonts w:ascii="Times New Roman" w:hAnsi="Times New Roman"/>
                <w:sz w:val="14"/>
                <w:szCs w:val="14"/>
              </w:rPr>
            </w:pPr>
            <w:r w:rsidRPr="009F7AD3">
              <w:rPr>
                <w:rFonts w:ascii="Times New Roman" w:hAnsi="Times New Roman"/>
                <w:sz w:val="14"/>
                <w:szCs w:val="14"/>
              </w:rPr>
              <w:t>tovary a služby</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42 566</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40 121</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28 099</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28 099</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26 050</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25 383</w:t>
            </w:r>
          </w:p>
        </w:tc>
        <w:tc>
          <w:tcPr>
            <w:tcW w:w="780"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25 383</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ind w:firstLine="140" w:firstLineChars="100"/>
              <w:rPr>
                <w:rFonts w:ascii="Times New Roman" w:hAnsi="Times New Roman"/>
                <w:sz w:val="14"/>
                <w:szCs w:val="14"/>
              </w:rPr>
            </w:pPr>
            <w:r w:rsidRPr="009F7AD3">
              <w:rPr>
                <w:rFonts w:ascii="Times New Roman" w:hAnsi="Times New Roman"/>
                <w:sz w:val="14"/>
                <w:szCs w:val="14"/>
              </w:rPr>
              <w:t>bežné transfery</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665</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735</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487</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487</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514</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498</w:t>
            </w:r>
          </w:p>
        </w:tc>
        <w:tc>
          <w:tcPr>
            <w:tcW w:w="780"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498</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ind w:firstLine="140" w:firstLineChars="100"/>
              <w:rPr>
                <w:rFonts w:ascii="Times New Roman" w:hAnsi="Times New Roman"/>
                <w:sz w:val="14"/>
                <w:szCs w:val="14"/>
              </w:rPr>
            </w:pPr>
            <w:r w:rsidRPr="009F7AD3">
              <w:rPr>
                <w:rFonts w:ascii="Times New Roman" w:hAnsi="Times New Roman"/>
                <w:sz w:val="14"/>
                <w:szCs w:val="14"/>
              </w:rPr>
              <w:t>obstarávanie kapitálových aktív</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7 969</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5 381</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1 973</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1 973</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720</w:t>
            </w:r>
          </w:p>
        </w:tc>
        <w:tc>
          <w:tcPr>
            <w:tcW w:w="779"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570</w:t>
            </w:r>
          </w:p>
        </w:tc>
        <w:tc>
          <w:tcPr>
            <w:tcW w:w="780" w:type="dxa"/>
            <w:tcBorders>
              <w:top w:val="nil"/>
              <w:left w:val="nil"/>
              <w:bottom w:val="single" w:sz="4" w:space="0" w:color="auto"/>
              <w:right w:val="single" w:sz="4" w:space="0" w:color="auto"/>
            </w:tcBorders>
            <w:noWrap/>
            <w:textDirection w:val="lrTb"/>
            <w:vAlign w:val="bottom"/>
            <w:hideMark/>
          </w:tcPr>
          <w:p w:rsidR="006C0389" w:rsidRPr="00666C59" w:rsidP="000008FE">
            <w:pPr>
              <w:bidi w:val="0"/>
              <w:jc w:val="right"/>
              <w:rPr>
                <w:rFonts w:ascii="Times New Roman" w:hAnsi="Times New Roman"/>
                <w:sz w:val="14"/>
                <w:szCs w:val="14"/>
              </w:rPr>
            </w:pPr>
            <w:r w:rsidRPr="00666C59">
              <w:rPr>
                <w:rFonts w:ascii="Times New Roman" w:hAnsi="Times New Roman"/>
                <w:sz w:val="14"/>
                <w:szCs w:val="14"/>
              </w:rPr>
              <w:t>570</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textDirection w:val="lrTb"/>
            <w:vAlign w:val="bottom"/>
            <w:hideMark/>
          </w:tcPr>
          <w:p w:rsidR="006C0389" w:rsidRPr="009F7AD3" w:rsidP="000008FE">
            <w:pPr>
              <w:bidi w:val="0"/>
              <w:ind w:firstLine="140" w:firstLineChars="100"/>
              <w:rPr>
                <w:rFonts w:ascii="Times New Roman" w:hAnsi="Times New Roman"/>
                <w:sz w:val="14"/>
                <w:szCs w:val="14"/>
              </w:rPr>
            </w:pPr>
            <w:r w:rsidRPr="009F7AD3">
              <w:rPr>
                <w:rFonts w:ascii="Times New Roman" w:hAnsi="Times New Roman"/>
                <w:sz w:val="14"/>
                <w:szCs w:val="14"/>
              </w:rPr>
              <w:t>▪    úver poskytnutý z garančného fondu  (FO)</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16 298</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14 233</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18 789</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14 917</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16 177</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17 606</w:t>
            </w:r>
          </w:p>
        </w:tc>
        <w:tc>
          <w:tcPr>
            <w:tcW w:w="780"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19 214</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9F7AD3" w:rsidP="000008FE">
            <w:pPr>
              <w:bidi w:val="0"/>
              <w:rPr>
                <w:rFonts w:ascii="Times New Roman" w:hAnsi="Times New Roman"/>
                <w:sz w:val="14"/>
                <w:szCs w:val="14"/>
              </w:rPr>
            </w:pPr>
            <w:r w:rsidRPr="009F7AD3">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6C0389" w:rsidRPr="009F7AD3" w:rsidP="000008FE">
            <w:pPr>
              <w:bidi w:val="0"/>
              <w:jc w:val="right"/>
              <w:rPr>
                <w:rFonts w:ascii="Times New Roman" w:hAnsi="Times New Roman"/>
                <w:sz w:val="14"/>
                <w:szCs w:val="14"/>
              </w:rPr>
            </w:pPr>
            <w:r w:rsidRPr="009F7AD3">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6C0389" w:rsidRPr="009F7AD3" w:rsidP="000008FE">
            <w:pPr>
              <w:bidi w:val="0"/>
              <w:jc w:val="right"/>
              <w:rPr>
                <w:rFonts w:ascii="Times New Roman" w:hAnsi="Times New Roman"/>
                <w:sz w:val="14"/>
                <w:szCs w:val="14"/>
              </w:rPr>
            </w:pPr>
            <w:r w:rsidRPr="009F7AD3">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6C0389" w:rsidRPr="009F7AD3" w:rsidP="000008FE">
            <w:pPr>
              <w:bidi w:val="0"/>
              <w:jc w:val="right"/>
              <w:rPr>
                <w:rFonts w:ascii="Times New Roman" w:hAnsi="Times New Roman"/>
                <w:sz w:val="14"/>
                <w:szCs w:val="14"/>
              </w:rPr>
            </w:pPr>
            <w:r w:rsidRPr="009F7AD3">
              <w:rPr>
                <w:rFonts w:ascii="Times New Roman" w:hAnsi="Times New Roman"/>
                <w:sz w:val="14"/>
                <w:szCs w:val="14"/>
              </w:rPr>
              <w:t> </w:t>
            </w:r>
          </w:p>
        </w:tc>
        <w:tc>
          <w:tcPr>
            <w:tcW w:w="779" w:type="dxa"/>
            <w:tcBorders>
              <w:top w:val="nil"/>
              <w:left w:val="nil"/>
              <w:bottom w:val="single" w:sz="4" w:space="0" w:color="auto"/>
              <w:right w:val="single" w:sz="4" w:space="0" w:color="auto"/>
            </w:tcBorders>
            <w:noWrap/>
            <w:textDirection w:val="lrTb"/>
            <w:vAlign w:val="bottom"/>
            <w:hideMark/>
          </w:tcPr>
          <w:p w:rsidR="006C0389" w:rsidRPr="009F7AD3"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hideMark/>
          </w:tcPr>
          <w:p w:rsidR="006C0389" w:rsidRPr="009F7AD3"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hideMark/>
          </w:tcPr>
          <w:p w:rsidR="006C0389" w:rsidRPr="009F7AD3" w:rsidP="000008FE">
            <w:pPr>
              <w:bidi w:val="0"/>
              <w:jc w:val="right"/>
              <w:rPr>
                <w:rFonts w:ascii="Times New Roman" w:hAnsi="Times New Roman"/>
                <w:sz w:val="14"/>
                <w:szCs w:val="14"/>
              </w:rPr>
            </w:pPr>
          </w:p>
        </w:tc>
        <w:tc>
          <w:tcPr>
            <w:tcW w:w="780" w:type="dxa"/>
            <w:tcBorders>
              <w:top w:val="nil"/>
              <w:left w:val="nil"/>
              <w:bottom w:val="single" w:sz="4" w:space="0" w:color="auto"/>
              <w:right w:val="single" w:sz="4" w:space="0" w:color="auto"/>
            </w:tcBorders>
            <w:noWrap/>
            <w:textDirection w:val="lrTb"/>
            <w:vAlign w:val="bottom"/>
            <w:hideMark/>
          </w:tcPr>
          <w:p w:rsidR="006C0389" w:rsidRPr="009F7AD3" w:rsidP="000008FE">
            <w:pPr>
              <w:bidi w:val="0"/>
              <w:jc w:val="right"/>
              <w:rPr>
                <w:rFonts w:ascii="Times New Roman" w:hAnsi="Times New Roman"/>
                <w:sz w:val="14"/>
                <w:szCs w:val="14"/>
              </w:rPr>
            </w:pPr>
          </w:p>
        </w:tc>
      </w:tr>
      <w:tr>
        <w:tblPrEx>
          <w:tblW w:w="9210" w:type="dxa"/>
          <w:tblLayout w:type="fixed"/>
          <w:tblCellMar>
            <w:left w:w="70" w:type="dxa"/>
            <w:right w:w="70" w:type="dxa"/>
          </w:tblCellMar>
          <w:tblLook w:val="04A0"/>
        </w:tblPrEx>
        <w:trPr>
          <w:trHeight w:hRule="exact" w:val="255"/>
        </w:trPr>
        <w:tc>
          <w:tcPr>
            <w:tcW w:w="3756" w:type="dxa"/>
            <w:tcBorders>
              <w:top w:val="single" w:sz="4" w:space="0" w:color="auto"/>
              <w:left w:val="single" w:sz="4" w:space="0" w:color="auto"/>
              <w:bottom w:val="single" w:sz="4" w:space="0" w:color="auto"/>
              <w:right w:val="single" w:sz="4" w:space="0" w:color="auto"/>
            </w:tcBorders>
            <w:shd w:val="pct25" w:color="auto" w:fill="auto"/>
            <w:noWrap/>
            <w:textDirection w:val="lrTb"/>
            <w:vAlign w:val="bottom"/>
            <w:hideMark/>
          </w:tcPr>
          <w:p w:rsidR="006C0389" w:rsidRPr="009F7AD3" w:rsidP="000008FE">
            <w:pPr>
              <w:bidi w:val="0"/>
              <w:rPr>
                <w:rFonts w:ascii="Times New Roman" w:hAnsi="Times New Roman"/>
                <w:b/>
                <w:bCs/>
                <w:sz w:val="14"/>
                <w:szCs w:val="14"/>
              </w:rPr>
            </w:pPr>
            <w:r w:rsidRPr="009F7AD3">
              <w:rPr>
                <w:rFonts w:ascii="Times New Roman" w:hAnsi="Times New Roman"/>
                <w:b/>
                <w:bCs/>
                <w:sz w:val="14"/>
                <w:szCs w:val="14"/>
              </w:rPr>
              <w:t>Celková bilancia Sociálnej poisťovne</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521 577</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461 387</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545 348</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652 196</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540 646</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553 469</w:t>
            </w:r>
          </w:p>
        </w:tc>
        <w:tc>
          <w:tcPr>
            <w:tcW w:w="780"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566 292</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716F66" w:rsidP="000008FE">
            <w:pPr>
              <w:bidi w:val="0"/>
              <w:rPr>
                <w:rFonts w:ascii="Times New Roman" w:hAnsi="Times New Roman"/>
                <w:sz w:val="14"/>
                <w:szCs w:val="14"/>
              </w:rPr>
            </w:pPr>
            <w:r w:rsidRPr="00716F66">
              <w:rPr>
                <w:rFonts w:ascii="Times New Roman" w:hAnsi="Times New Roman"/>
                <w:bCs/>
                <w:sz w:val="14"/>
                <w:szCs w:val="14"/>
              </w:rPr>
              <w:t>vylúčenie finančných operácií</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-525 610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-513 255</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-517 589</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-455 101</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-646 08</w:t>
            </w:r>
            <w:r>
              <w:rPr>
                <w:rFonts w:ascii="Times New Roman" w:hAnsi="Times New Roman"/>
                <w:sz w:val="14"/>
                <w:szCs w:val="14"/>
              </w:rPr>
              <w:t>2</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-532 920</w:t>
            </w:r>
          </w:p>
        </w:tc>
        <w:tc>
          <w:tcPr>
            <w:tcW w:w="780"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-543 440</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716F66" w:rsidP="000008FE">
            <w:pPr>
              <w:bidi w:val="0"/>
              <w:rPr>
                <w:rFonts w:ascii="Times New Roman" w:hAnsi="Times New Roman"/>
                <w:sz w:val="14"/>
                <w:szCs w:val="14"/>
              </w:rPr>
            </w:pPr>
            <w:r w:rsidRPr="00716F66">
              <w:rPr>
                <w:rFonts w:ascii="Times New Roman" w:hAnsi="Times New Roman"/>
                <w:sz w:val="14"/>
                <w:szCs w:val="14"/>
              </w:rPr>
              <w:t xml:space="preserve"> </w:t>
            </w:r>
            <w:r>
              <w:rPr>
                <w:rFonts w:ascii="Times New Roman" w:hAnsi="Times New Roman"/>
                <w:sz w:val="14"/>
                <w:szCs w:val="14"/>
              </w:rPr>
              <w:t>v tom</w:t>
            </w:r>
            <w:r w:rsidRPr="00716F66">
              <w:rPr>
                <w:rFonts w:ascii="Times New Roman" w:hAnsi="Times New Roman"/>
                <w:bCs/>
                <w:sz w:val="14"/>
                <w:szCs w:val="14"/>
              </w:rPr>
              <w:t>:</w:t>
            </w: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79"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c>
          <w:tcPr>
            <w:tcW w:w="780" w:type="dxa"/>
            <w:tcBorders>
              <w:top w:val="nil"/>
              <w:left w:val="nil"/>
              <w:bottom w:val="single" w:sz="4" w:space="0" w:color="auto"/>
              <w:right w:val="single" w:sz="4" w:space="0" w:color="auto"/>
            </w:tcBorders>
            <w:noWrap/>
            <w:textDirection w:val="lrTb"/>
            <w:vAlign w:val="bottom"/>
          </w:tcPr>
          <w:p w:rsidR="006C0389" w:rsidRPr="00A446EA" w:rsidP="000008FE">
            <w:pPr>
              <w:bidi w:val="0"/>
              <w:jc w:val="right"/>
              <w:rPr>
                <w:rFonts w:ascii="Times New Roman" w:hAnsi="Times New Roman"/>
                <w:sz w:val="14"/>
                <w:szCs w:val="14"/>
              </w:rPr>
            </w:pP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716F66" w:rsidP="000008FE">
            <w:pPr>
              <w:bidi w:val="0"/>
              <w:rPr>
                <w:rFonts w:ascii="Times New Roman" w:hAnsi="Times New Roman"/>
                <w:sz w:val="14"/>
                <w:szCs w:val="14"/>
              </w:rPr>
            </w:pPr>
            <w:r w:rsidRPr="00716F66">
              <w:rPr>
                <w:rFonts w:ascii="Times New Roman" w:hAnsi="Times New Roman"/>
                <w:sz w:val="14"/>
                <w:szCs w:val="14"/>
              </w:rPr>
              <w:t xml:space="preserve">   ▪    vylúčenie príjmových FO</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-541 908</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-527 488</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-536 378</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-470 018</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-662 2</w:t>
            </w:r>
            <w:r>
              <w:rPr>
                <w:rFonts w:ascii="Times New Roman" w:hAnsi="Times New Roman"/>
                <w:sz w:val="14"/>
                <w:szCs w:val="14"/>
              </w:rPr>
              <w:t>59</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-550 526</w:t>
            </w:r>
          </w:p>
        </w:tc>
        <w:tc>
          <w:tcPr>
            <w:tcW w:w="780"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-562 654</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716F66" w:rsidP="000008FE">
            <w:pPr>
              <w:bidi w:val="0"/>
              <w:rPr>
                <w:rFonts w:ascii="Times New Roman" w:hAnsi="Times New Roman"/>
                <w:sz w:val="14"/>
                <w:szCs w:val="14"/>
              </w:rPr>
            </w:pPr>
            <w:r w:rsidRPr="00716F66">
              <w:rPr>
                <w:rFonts w:ascii="Times New Roman" w:hAnsi="Times New Roman"/>
                <w:sz w:val="14"/>
                <w:szCs w:val="14"/>
              </w:rPr>
              <w:t xml:space="preserve">   ▪    vylúčenie výdavkových FO</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16 298</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14 233</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18 789</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14 917</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16 177</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17 606</w:t>
            </w:r>
          </w:p>
        </w:tc>
        <w:tc>
          <w:tcPr>
            <w:tcW w:w="780"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19 214</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716F66" w:rsidP="000008FE">
            <w:pPr>
              <w:bidi w:val="0"/>
              <w:rPr>
                <w:rFonts w:ascii="Times New Roman" w:hAnsi="Times New Roman"/>
                <w:bCs/>
                <w:sz w:val="14"/>
                <w:szCs w:val="14"/>
              </w:rPr>
            </w:pPr>
            <w:r w:rsidRPr="00716F66">
              <w:rPr>
                <w:rFonts w:ascii="Times New Roman" w:hAnsi="Times New Roman"/>
                <w:bCs/>
                <w:sz w:val="14"/>
                <w:szCs w:val="14"/>
              </w:rPr>
              <w:t xml:space="preserve">časové rozlíšenie príjmov z poistného </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43 768</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13 424</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12 800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17 617</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17 113</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23 790</w:t>
            </w:r>
          </w:p>
        </w:tc>
        <w:tc>
          <w:tcPr>
            <w:tcW w:w="780"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25 963</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716F66" w:rsidP="000008FE">
            <w:pPr>
              <w:bidi w:val="0"/>
              <w:rPr>
                <w:rFonts w:ascii="Times New Roman" w:hAnsi="Times New Roman"/>
                <w:bCs/>
                <w:sz w:val="14"/>
                <w:szCs w:val="14"/>
              </w:rPr>
            </w:pPr>
            <w:r w:rsidRPr="00716F66">
              <w:rPr>
                <w:rFonts w:ascii="Times New Roman" w:hAnsi="Times New Roman"/>
                <w:bCs/>
                <w:sz w:val="14"/>
                <w:szCs w:val="14"/>
              </w:rPr>
              <w:t>zmena stavu pohľadávok (bez pohľadávok na poistnom)</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-1 309</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-619</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-6 659</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-6 286</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-6 114</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-7 726</w:t>
            </w:r>
          </w:p>
        </w:tc>
        <w:tc>
          <w:tcPr>
            <w:tcW w:w="780"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-10 029</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716F66" w:rsidP="000008FE">
            <w:pPr>
              <w:bidi w:val="0"/>
              <w:rPr>
                <w:rFonts w:ascii="Times New Roman" w:hAnsi="Times New Roman"/>
                <w:bCs/>
                <w:sz w:val="14"/>
                <w:szCs w:val="14"/>
              </w:rPr>
            </w:pPr>
            <w:r w:rsidRPr="00716F66">
              <w:rPr>
                <w:rFonts w:ascii="Times New Roman" w:hAnsi="Times New Roman"/>
                <w:bCs/>
                <w:sz w:val="14"/>
                <w:szCs w:val="14"/>
              </w:rPr>
              <w:t>zmena stavu záväzkov</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183</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53</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0</w:t>
            </w:r>
          </w:p>
        </w:tc>
        <w:tc>
          <w:tcPr>
            <w:tcW w:w="780"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0</w:t>
            </w:r>
          </w:p>
        </w:tc>
      </w:tr>
      <w:tr>
        <w:tblPrEx>
          <w:tblW w:w="9210" w:type="dxa"/>
          <w:tblLayout w:type="fixed"/>
          <w:tblCellMar>
            <w:left w:w="70" w:type="dxa"/>
            <w:right w:w="70" w:type="dxa"/>
          </w:tblCellMar>
          <w:tblLook w:val="04A0"/>
        </w:tblPrEx>
        <w:trPr>
          <w:trHeight w:hRule="exact" w:val="399"/>
        </w:trPr>
        <w:tc>
          <w:tcPr>
            <w:tcW w:w="3756" w:type="dxa"/>
            <w:tcBorders>
              <w:top w:val="nil"/>
              <w:left w:val="single" w:sz="4" w:space="0" w:color="auto"/>
              <w:bottom w:val="single" w:sz="4" w:space="0" w:color="auto"/>
              <w:right w:val="single" w:sz="4" w:space="0" w:color="auto"/>
            </w:tcBorders>
            <w:textDirection w:val="lrTb"/>
            <w:vAlign w:val="bottom"/>
            <w:hideMark/>
          </w:tcPr>
          <w:p w:rsidR="006C0389" w:rsidRPr="00716F66" w:rsidP="000008FE">
            <w:pPr>
              <w:bidi w:val="0"/>
              <w:rPr>
                <w:rFonts w:ascii="Times New Roman" w:hAnsi="Times New Roman"/>
                <w:bCs/>
                <w:sz w:val="14"/>
                <w:szCs w:val="14"/>
              </w:rPr>
            </w:pPr>
            <w:r w:rsidRPr="00716F66">
              <w:rPr>
                <w:rFonts w:ascii="Times New Roman" w:hAnsi="Times New Roman"/>
                <w:bCs/>
                <w:sz w:val="14"/>
                <w:szCs w:val="14"/>
              </w:rPr>
              <w:t>kapitálové transfery z dôvodu predpokladaných nevymožených pohľadávok GP</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-1 175</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2 321</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0</w:t>
            </w:r>
          </w:p>
        </w:tc>
        <w:tc>
          <w:tcPr>
            <w:tcW w:w="780"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0</w:t>
            </w:r>
          </w:p>
        </w:tc>
      </w:tr>
      <w:tr>
        <w:tblPrEx>
          <w:tblW w:w="9210" w:type="dxa"/>
          <w:tblLayout w:type="fixed"/>
          <w:tblCellMar>
            <w:left w:w="70" w:type="dxa"/>
            <w:right w:w="70" w:type="dxa"/>
          </w:tblCellMar>
          <w:tblLook w:val="04A0"/>
        </w:tblPrEx>
        <w:trPr>
          <w:trHeight w:hRule="exact" w:val="255"/>
        </w:trPr>
        <w:tc>
          <w:tcPr>
            <w:tcW w:w="3756" w:type="dxa"/>
            <w:tcBorders>
              <w:top w:val="nil"/>
              <w:left w:val="single" w:sz="4" w:space="0" w:color="auto"/>
              <w:bottom w:val="single" w:sz="4" w:space="0" w:color="auto"/>
              <w:right w:val="single" w:sz="4" w:space="0" w:color="auto"/>
            </w:tcBorders>
            <w:noWrap/>
            <w:textDirection w:val="lrTb"/>
            <w:vAlign w:val="bottom"/>
            <w:hideMark/>
          </w:tcPr>
          <w:p w:rsidR="006C0389" w:rsidRPr="00716F66" w:rsidP="000008FE">
            <w:pPr>
              <w:bidi w:val="0"/>
              <w:rPr>
                <w:rFonts w:ascii="Times New Roman" w:hAnsi="Times New Roman"/>
                <w:bCs/>
                <w:sz w:val="14"/>
                <w:szCs w:val="14"/>
              </w:rPr>
            </w:pPr>
            <w:r w:rsidRPr="00716F66">
              <w:rPr>
                <w:rFonts w:ascii="Times New Roman" w:hAnsi="Times New Roman"/>
                <w:bCs/>
                <w:sz w:val="14"/>
                <w:szCs w:val="14"/>
              </w:rPr>
              <w:t xml:space="preserve">ostatné úpravy </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-236 139</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-1 880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-577 895</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0</w:t>
            </w:r>
          </w:p>
        </w:tc>
        <w:tc>
          <w:tcPr>
            <w:tcW w:w="779"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0</w:t>
            </w:r>
          </w:p>
        </w:tc>
        <w:tc>
          <w:tcPr>
            <w:tcW w:w="780" w:type="dxa"/>
            <w:tcBorders>
              <w:top w:val="nil"/>
              <w:left w:val="nil"/>
              <w:bottom w:val="single" w:sz="4" w:space="0" w:color="auto"/>
              <w:right w:val="single" w:sz="4" w:space="0" w:color="auto"/>
            </w:tcBorders>
            <w:noWrap/>
            <w:textDirection w:val="lrTb"/>
            <w:vAlign w:val="bottom"/>
            <w:hideMark/>
          </w:tcPr>
          <w:p w:rsidR="006C0389" w:rsidRPr="00A446EA" w:rsidP="000008FE">
            <w:pPr>
              <w:bidi w:val="0"/>
              <w:jc w:val="right"/>
              <w:rPr>
                <w:rFonts w:ascii="Times New Roman" w:hAnsi="Times New Roman"/>
                <w:sz w:val="14"/>
                <w:szCs w:val="14"/>
              </w:rPr>
            </w:pPr>
            <w:r w:rsidRPr="00A446EA">
              <w:rPr>
                <w:rFonts w:ascii="Times New Roman" w:hAnsi="Times New Roman"/>
                <w:sz w:val="14"/>
                <w:szCs w:val="14"/>
              </w:rPr>
              <w:t>0</w:t>
            </w:r>
          </w:p>
        </w:tc>
      </w:tr>
      <w:tr>
        <w:tblPrEx>
          <w:tblW w:w="9210" w:type="dxa"/>
          <w:tblLayout w:type="fixed"/>
          <w:tblCellMar>
            <w:left w:w="70" w:type="dxa"/>
            <w:right w:w="70" w:type="dxa"/>
          </w:tblCellMar>
          <w:tblLook w:val="04A0"/>
        </w:tblPrEx>
        <w:trPr>
          <w:trHeight w:hRule="exact" w:val="255"/>
        </w:trPr>
        <w:tc>
          <w:tcPr>
            <w:tcW w:w="3756" w:type="dxa"/>
            <w:tcBorders>
              <w:top w:val="single" w:sz="4" w:space="0" w:color="auto"/>
              <w:left w:val="single" w:sz="4" w:space="0" w:color="auto"/>
              <w:bottom w:val="single" w:sz="4" w:space="0" w:color="auto"/>
              <w:right w:val="single" w:sz="4" w:space="0" w:color="auto"/>
            </w:tcBorders>
            <w:shd w:val="pct25" w:color="auto" w:fill="auto"/>
            <w:noWrap/>
            <w:textDirection w:val="lrTb"/>
            <w:vAlign w:val="bottom"/>
            <w:hideMark/>
          </w:tcPr>
          <w:p w:rsidR="006C0389" w:rsidRPr="009F7AD3" w:rsidP="0060040C">
            <w:pPr>
              <w:bidi w:val="0"/>
              <w:rPr>
                <w:rFonts w:ascii="Times New Roman" w:hAnsi="Times New Roman"/>
                <w:b/>
                <w:bCs/>
                <w:sz w:val="14"/>
                <w:szCs w:val="14"/>
              </w:rPr>
            </w:pPr>
            <w:r w:rsidRPr="009F7AD3">
              <w:rPr>
                <w:rFonts w:ascii="Times New Roman" w:hAnsi="Times New Roman"/>
                <w:b/>
                <w:bCs/>
                <w:sz w:val="14"/>
                <w:szCs w:val="14"/>
              </w:rPr>
              <w:t xml:space="preserve">Prebytok (+)/schodok </w:t>
            </w:r>
            <w:r w:rsidRPr="003679CA">
              <w:rPr>
                <w:rFonts w:ascii="Times New Roman" w:hAnsi="Times New Roman"/>
                <w:b/>
                <w:bCs/>
                <w:sz w:val="14"/>
                <w:szCs w:val="14"/>
              </w:rPr>
              <w:t>(-) S</w:t>
            </w:r>
            <w:r w:rsidRPr="003679CA" w:rsidR="008D4822">
              <w:rPr>
                <w:rFonts w:ascii="Times New Roman" w:hAnsi="Times New Roman"/>
                <w:b/>
                <w:bCs/>
                <w:sz w:val="14"/>
                <w:szCs w:val="14"/>
              </w:rPr>
              <w:t>ociálnej poisťovne</w:t>
            </w:r>
            <w:r w:rsidR="008D4822">
              <w:rPr>
                <w:rFonts w:ascii="Times New Roman" w:hAnsi="Times New Roman"/>
                <w:b/>
                <w:bCs/>
                <w:sz w:val="14"/>
                <w:szCs w:val="14"/>
              </w:rPr>
              <w:t xml:space="preserve"> </w:t>
            </w:r>
            <w:r w:rsidRPr="009F7AD3">
              <w:rPr>
                <w:rFonts w:ascii="Times New Roman" w:hAnsi="Times New Roman"/>
                <w:b/>
                <w:bCs/>
                <w:sz w:val="14"/>
                <w:szCs w:val="14"/>
              </w:rPr>
              <w:t xml:space="preserve">(ESA </w:t>
            </w:r>
            <w:r>
              <w:rPr>
                <w:rFonts w:ascii="Times New Roman" w:hAnsi="Times New Roman"/>
                <w:b/>
                <w:bCs/>
                <w:sz w:val="14"/>
                <w:szCs w:val="14"/>
              </w:rPr>
              <w:t>2010)</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-198 705</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-38 569</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33 900</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-369 469</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-94 43</w:t>
            </w:r>
            <w:r>
              <w:rPr>
                <w:rFonts w:ascii="Times New Roman" w:hAnsi="Times New Roman"/>
                <w:b/>
                <w:bCs/>
                <w:sz w:val="14"/>
                <w:szCs w:val="14"/>
              </w:rPr>
              <w:t>7</w:t>
            </w:r>
          </w:p>
        </w:tc>
        <w:tc>
          <w:tcPr>
            <w:tcW w:w="779"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36 613</w:t>
            </w:r>
          </w:p>
        </w:tc>
        <w:tc>
          <w:tcPr>
            <w:tcW w:w="780" w:type="dxa"/>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A446EA" w:rsidP="000008FE">
            <w:pPr>
              <w:bidi w:val="0"/>
              <w:jc w:val="right"/>
              <w:rPr>
                <w:rFonts w:ascii="Times New Roman" w:hAnsi="Times New Roman"/>
                <w:b/>
                <w:bCs/>
                <w:sz w:val="14"/>
                <w:szCs w:val="14"/>
              </w:rPr>
            </w:pPr>
            <w:r w:rsidRPr="00A446EA">
              <w:rPr>
                <w:rFonts w:ascii="Times New Roman" w:hAnsi="Times New Roman"/>
                <w:b/>
                <w:bCs/>
                <w:sz w:val="14"/>
                <w:szCs w:val="14"/>
              </w:rPr>
              <w:t>38 786</w:t>
            </w:r>
          </w:p>
        </w:tc>
      </w:tr>
    </w:tbl>
    <w:p w:rsidR="002E4E0E" w:rsidRPr="002E4E0E" w:rsidP="002E4E0E">
      <w:pPr>
        <w:bidi w:val="0"/>
        <w:jc w:val="both"/>
        <w:rPr>
          <w:rFonts w:ascii="Times New Roman" w:hAnsi="Times New Roman"/>
        </w:rPr>
      </w:pPr>
    </w:p>
    <w:p w:rsidR="006C0389" w:rsidRPr="00C9762D" w:rsidP="006C0389">
      <w:pPr>
        <w:bidi w:val="0"/>
        <w:ind w:firstLine="708"/>
        <w:jc w:val="both"/>
        <w:rPr>
          <w:rFonts w:ascii="Times New Roman" w:hAnsi="Times New Roman"/>
        </w:rPr>
      </w:pPr>
      <w:r w:rsidRPr="00C9762D">
        <w:rPr>
          <w:rFonts w:ascii="Times New Roman" w:hAnsi="Times New Roman"/>
        </w:rPr>
        <w:t>Celkové príjmy na rok 201</w:t>
      </w:r>
      <w:r>
        <w:rPr>
          <w:rFonts w:ascii="Times New Roman" w:hAnsi="Times New Roman"/>
        </w:rPr>
        <w:t>6</w:t>
      </w:r>
      <w:r w:rsidRPr="00C9762D">
        <w:rPr>
          <w:rFonts w:ascii="Times New Roman" w:hAnsi="Times New Roman"/>
        </w:rPr>
        <w:t xml:space="preserve"> sa rozpočtujú v sume 7,</w:t>
      </w:r>
      <w:r>
        <w:rPr>
          <w:rFonts w:ascii="Times New Roman" w:hAnsi="Times New Roman"/>
        </w:rPr>
        <w:t>85</w:t>
      </w:r>
      <w:r w:rsidRPr="00C9762D">
        <w:rPr>
          <w:rFonts w:ascii="Times New Roman" w:hAnsi="Times New Roman"/>
        </w:rPr>
        <w:t xml:space="preserve"> mld. eur, čo oproti schválenému rozpočtu na rok 201</w:t>
      </w:r>
      <w:r>
        <w:rPr>
          <w:rFonts w:ascii="Times New Roman" w:hAnsi="Times New Roman"/>
        </w:rPr>
        <w:t>5</w:t>
      </w:r>
      <w:r w:rsidRPr="00C9762D">
        <w:rPr>
          <w:rFonts w:ascii="Times New Roman" w:hAnsi="Times New Roman"/>
        </w:rPr>
        <w:t xml:space="preserve"> predstavuje nárast o 2,</w:t>
      </w:r>
      <w:r>
        <w:rPr>
          <w:rFonts w:ascii="Times New Roman" w:hAnsi="Times New Roman"/>
        </w:rPr>
        <w:t>57</w:t>
      </w:r>
      <w:r w:rsidRPr="00C9762D">
        <w:rPr>
          <w:rFonts w:ascii="Times New Roman" w:hAnsi="Times New Roman"/>
        </w:rPr>
        <w:t xml:space="preserve"> %. Rozpočet premieta očakávaný prevod finančných prostriedkov z roku 201</w:t>
      </w:r>
      <w:r>
        <w:rPr>
          <w:rFonts w:ascii="Times New Roman" w:hAnsi="Times New Roman"/>
        </w:rPr>
        <w:t>5</w:t>
      </w:r>
      <w:r w:rsidRPr="00C9762D">
        <w:rPr>
          <w:rFonts w:ascii="Times New Roman" w:hAnsi="Times New Roman"/>
        </w:rPr>
        <w:t xml:space="preserve"> vo výške </w:t>
      </w:r>
      <w:r>
        <w:rPr>
          <w:rFonts w:ascii="Times New Roman" w:hAnsi="Times New Roman"/>
        </w:rPr>
        <w:t>652</w:t>
      </w:r>
      <w:r w:rsidRPr="00C9762D">
        <w:rPr>
          <w:rFonts w:ascii="Times New Roman" w:hAnsi="Times New Roman"/>
        </w:rPr>
        <w:t xml:space="preserve"> mil. eur. Objemovo najväčšiu položku predstavujú daňové príjmy, ktorých podiel na celkových príjmoch </w:t>
      </w:r>
      <w:r w:rsidR="000008FE">
        <w:rPr>
          <w:rFonts w:ascii="Times New Roman" w:hAnsi="Times New Roman"/>
        </w:rPr>
        <w:t xml:space="preserve">             </w:t>
      </w:r>
      <w:r w:rsidRPr="00C9762D">
        <w:rPr>
          <w:rFonts w:ascii="Times New Roman" w:hAnsi="Times New Roman"/>
        </w:rPr>
        <w:t xml:space="preserve">v sledovanom období predstavuje </w:t>
      </w:r>
      <w:r>
        <w:rPr>
          <w:rFonts w:ascii="Times New Roman" w:hAnsi="Times New Roman"/>
        </w:rPr>
        <w:t>približne</w:t>
      </w:r>
      <w:r w:rsidRPr="00C9762D">
        <w:rPr>
          <w:rFonts w:ascii="Times New Roman" w:hAnsi="Times New Roman"/>
        </w:rPr>
        <w:t xml:space="preserve"> </w:t>
      </w:r>
      <w:r>
        <w:rPr>
          <w:rFonts w:ascii="Times New Roman" w:hAnsi="Times New Roman"/>
        </w:rPr>
        <w:t>83,3</w:t>
      </w:r>
      <w:r w:rsidRPr="00C9762D">
        <w:rPr>
          <w:rFonts w:ascii="Times New Roman" w:hAnsi="Times New Roman"/>
        </w:rPr>
        <w:t xml:space="preserve"> %. Tieto príjmy zahŕňajú aj príjmy z poistného od ekonomicky aktívnych osôb, </w:t>
      </w:r>
      <w:r>
        <w:rPr>
          <w:rFonts w:ascii="Times New Roman" w:hAnsi="Times New Roman"/>
        </w:rPr>
        <w:t>pri</w:t>
      </w:r>
      <w:r w:rsidRPr="00C9762D">
        <w:rPr>
          <w:rFonts w:ascii="Times New Roman" w:hAnsi="Times New Roman"/>
        </w:rPr>
        <w:t> ktorých sa oproti schválenému rozpočtu na rok 201</w:t>
      </w:r>
      <w:r>
        <w:rPr>
          <w:rFonts w:ascii="Times New Roman" w:hAnsi="Times New Roman"/>
        </w:rPr>
        <w:t>5</w:t>
      </w:r>
      <w:r w:rsidRPr="00C9762D">
        <w:rPr>
          <w:rFonts w:ascii="Times New Roman" w:hAnsi="Times New Roman"/>
        </w:rPr>
        <w:t xml:space="preserve"> predpokladá nárast o</w:t>
      </w:r>
      <w:r>
        <w:rPr>
          <w:rFonts w:ascii="Times New Roman" w:hAnsi="Times New Roman"/>
        </w:rPr>
        <w:t> 6,5</w:t>
      </w:r>
      <w:r w:rsidRPr="00C9762D">
        <w:rPr>
          <w:rFonts w:ascii="Times New Roman" w:hAnsi="Times New Roman"/>
        </w:rPr>
        <w:t xml:space="preserve"> %.</w:t>
      </w:r>
    </w:p>
    <w:p w:rsidR="006C0389" w:rsidRPr="0072248B" w:rsidP="006C0389">
      <w:pPr>
        <w:bidi w:val="0"/>
        <w:ind w:firstLine="708"/>
        <w:jc w:val="both"/>
        <w:rPr>
          <w:rFonts w:ascii="Times New Roman" w:hAnsi="Times New Roman"/>
          <w:sz w:val="16"/>
          <w:szCs w:val="16"/>
        </w:rPr>
      </w:pPr>
    </w:p>
    <w:p w:rsidR="006C0389" w:rsidRPr="00C9762D" w:rsidP="006C0389">
      <w:pPr>
        <w:bidi w:val="0"/>
        <w:ind w:firstLine="708"/>
        <w:jc w:val="both"/>
        <w:rPr>
          <w:rFonts w:ascii="Times New Roman" w:hAnsi="Times New Roman"/>
        </w:rPr>
      </w:pPr>
      <w:r w:rsidRPr="00C9762D">
        <w:rPr>
          <w:rFonts w:ascii="Times New Roman" w:hAnsi="Times New Roman"/>
        </w:rPr>
        <w:t>Na rok 201</w:t>
      </w:r>
      <w:r>
        <w:rPr>
          <w:rFonts w:ascii="Times New Roman" w:hAnsi="Times New Roman"/>
        </w:rPr>
        <w:t>6</w:t>
      </w:r>
      <w:r w:rsidRPr="00C9762D">
        <w:rPr>
          <w:rFonts w:ascii="Times New Roman" w:hAnsi="Times New Roman"/>
        </w:rPr>
        <w:t xml:space="preserve"> sa výška poistného plateného štátom predpokladá v sume </w:t>
      </w:r>
      <w:r>
        <w:rPr>
          <w:rFonts w:ascii="Times New Roman" w:hAnsi="Times New Roman"/>
        </w:rPr>
        <w:t>204</w:t>
      </w:r>
      <w:r w:rsidRPr="00C9762D">
        <w:rPr>
          <w:rFonts w:ascii="Times New Roman" w:hAnsi="Times New Roman"/>
        </w:rPr>
        <w:t xml:space="preserve"> mil. eur, čo oproti schválenému rozpočtu na rok 201</w:t>
      </w:r>
      <w:r>
        <w:rPr>
          <w:rFonts w:ascii="Times New Roman" w:hAnsi="Times New Roman"/>
        </w:rPr>
        <w:t>5</w:t>
      </w:r>
      <w:r w:rsidRPr="00C9762D">
        <w:rPr>
          <w:rFonts w:ascii="Times New Roman" w:hAnsi="Times New Roman"/>
        </w:rPr>
        <w:t xml:space="preserve"> predstavuje </w:t>
      </w:r>
      <w:r>
        <w:rPr>
          <w:rFonts w:ascii="Times New Roman" w:hAnsi="Times New Roman"/>
        </w:rPr>
        <w:t>pokles</w:t>
      </w:r>
      <w:r w:rsidRPr="00C9762D">
        <w:rPr>
          <w:rFonts w:ascii="Times New Roman" w:hAnsi="Times New Roman"/>
        </w:rPr>
        <w:t xml:space="preserve"> o</w:t>
      </w:r>
      <w:r>
        <w:rPr>
          <w:rFonts w:ascii="Times New Roman" w:hAnsi="Times New Roman"/>
        </w:rPr>
        <w:t> 8,02</w:t>
      </w:r>
      <w:r w:rsidRPr="00C9762D">
        <w:rPr>
          <w:rFonts w:ascii="Times New Roman" w:hAnsi="Times New Roman"/>
        </w:rPr>
        <w:t xml:space="preserve"> %.</w:t>
      </w:r>
    </w:p>
    <w:p w:rsidR="006C0389" w:rsidRPr="0072248B" w:rsidP="006C0389">
      <w:pPr>
        <w:bidi w:val="0"/>
        <w:ind w:firstLine="708"/>
        <w:jc w:val="both"/>
        <w:rPr>
          <w:rFonts w:ascii="Times New Roman" w:hAnsi="Times New Roman"/>
          <w:sz w:val="16"/>
          <w:szCs w:val="16"/>
          <w:highlight w:val="yellow"/>
        </w:rPr>
      </w:pPr>
    </w:p>
    <w:p w:rsidR="006C0389" w:rsidRPr="00C9762D" w:rsidP="006C0389">
      <w:pPr>
        <w:bidi w:val="0"/>
        <w:ind w:firstLine="708"/>
        <w:jc w:val="both"/>
        <w:rPr>
          <w:rFonts w:ascii="Times New Roman" w:hAnsi="Times New Roman"/>
        </w:rPr>
      </w:pPr>
      <w:r w:rsidRPr="00C9762D">
        <w:rPr>
          <w:rFonts w:ascii="Times New Roman" w:hAnsi="Times New Roman"/>
        </w:rPr>
        <w:t xml:space="preserve">Na zabezpečenie platobnej schopnosti Sociálnej poisťovne sa predpokladá poskytnutie prostriedkov zo štátneho rozpočtu v sume </w:t>
      </w:r>
      <w:r>
        <w:rPr>
          <w:rFonts w:ascii="Times New Roman" w:hAnsi="Times New Roman"/>
        </w:rPr>
        <w:t>635</w:t>
      </w:r>
      <w:r w:rsidRPr="00C9762D">
        <w:rPr>
          <w:rFonts w:ascii="Times New Roman" w:hAnsi="Times New Roman"/>
        </w:rPr>
        <w:t xml:space="preserve"> m</w:t>
      </w:r>
      <w:r>
        <w:rPr>
          <w:rFonts w:ascii="Times New Roman" w:hAnsi="Times New Roman"/>
        </w:rPr>
        <w:t>il</w:t>
      </w:r>
      <w:r w:rsidRPr="00C9762D">
        <w:rPr>
          <w:rFonts w:ascii="Times New Roman" w:hAnsi="Times New Roman"/>
        </w:rPr>
        <w:t>. eur v roku 201</w:t>
      </w:r>
      <w:r>
        <w:rPr>
          <w:rFonts w:ascii="Times New Roman" w:hAnsi="Times New Roman"/>
        </w:rPr>
        <w:t>6</w:t>
      </w:r>
      <w:r w:rsidRPr="00C9762D">
        <w:rPr>
          <w:rFonts w:ascii="Times New Roman" w:hAnsi="Times New Roman"/>
        </w:rPr>
        <w:t>, v roku 201</w:t>
      </w:r>
      <w:r>
        <w:rPr>
          <w:rFonts w:ascii="Times New Roman" w:hAnsi="Times New Roman"/>
        </w:rPr>
        <w:t>7</w:t>
      </w:r>
      <w:r w:rsidRPr="00C9762D">
        <w:rPr>
          <w:rFonts w:ascii="Times New Roman" w:hAnsi="Times New Roman"/>
        </w:rPr>
        <w:t xml:space="preserve"> v sume </w:t>
        <w:br/>
      </w:r>
      <w:r>
        <w:rPr>
          <w:rFonts w:ascii="Times New Roman" w:hAnsi="Times New Roman"/>
        </w:rPr>
        <w:t>636</w:t>
      </w:r>
      <w:r w:rsidRPr="00C9762D">
        <w:rPr>
          <w:rFonts w:ascii="Times New Roman" w:hAnsi="Times New Roman"/>
        </w:rPr>
        <w:t xml:space="preserve"> m</w:t>
      </w:r>
      <w:r>
        <w:rPr>
          <w:rFonts w:ascii="Times New Roman" w:hAnsi="Times New Roman"/>
        </w:rPr>
        <w:t>il</w:t>
      </w:r>
      <w:r w:rsidRPr="00C9762D">
        <w:rPr>
          <w:rFonts w:ascii="Times New Roman" w:hAnsi="Times New Roman"/>
        </w:rPr>
        <w:t>. eur a v roku 201</w:t>
      </w:r>
      <w:r>
        <w:rPr>
          <w:rFonts w:ascii="Times New Roman" w:hAnsi="Times New Roman"/>
        </w:rPr>
        <w:t>8</w:t>
      </w:r>
      <w:r w:rsidRPr="00C9762D">
        <w:rPr>
          <w:rFonts w:ascii="Times New Roman" w:hAnsi="Times New Roman"/>
        </w:rPr>
        <w:t xml:space="preserve"> v sume </w:t>
      </w:r>
      <w:r>
        <w:rPr>
          <w:rFonts w:ascii="Times New Roman" w:hAnsi="Times New Roman"/>
        </w:rPr>
        <w:t>541</w:t>
      </w:r>
      <w:r w:rsidRPr="00C9762D">
        <w:rPr>
          <w:rFonts w:ascii="Times New Roman" w:hAnsi="Times New Roman"/>
        </w:rPr>
        <w:t xml:space="preserve"> m</w:t>
      </w:r>
      <w:r>
        <w:rPr>
          <w:rFonts w:ascii="Times New Roman" w:hAnsi="Times New Roman"/>
        </w:rPr>
        <w:t>il</w:t>
      </w:r>
      <w:r w:rsidRPr="00C9762D">
        <w:rPr>
          <w:rFonts w:ascii="Times New Roman" w:hAnsi="Times New Roman"/>
        </w:rPr>
        <w:t xml:space="preserve">. eur. Zohľadňuje sa predikcia príjmov a výdavkov poistenia, pričom výška transferu zabezpečuje optimálny disponibilný zostatok prostriedkov s cieľom zabezpečiť plynulé vyplácanie všetkých obligatórnych výdavkov, ktoré administruje Sociálna poisťovňa. </w:t>
      </w:r>
    </w:p>
    <w:p w:rsidR="006C0389" w:rsidRPr="0072248B" w:rsidP="006C0389">
      <w:pPr>
        <w:bidi w:val="0"/>
        <w:jc w:val="both"/>
        <w:rPr>
          <w:rFonts w:ascii="Times New Roman" w:hAnsi="Times New Roman"/>
          <w:sz w:val="16"/>
          <w:szCs w:val="16"/>
          <w:highlight w:val="yellow"/>
        </w:rPr>
      </w:pPr>
    </w:p>
    <w:tbl>
      <w:tblPr>
        <w:tblStyle w:val="TableNormal"/>
        <w:tblW w:w="9072" w:type="dxa"/>
        <w:tblCellMar>
          <w:left w:w="70" w:type="dxa"/>
          <w:right w:w="70" w:type="dxa"/>
        </w:tblCellMar>
        <w:tblLook w:val="04A0"/>
      </w:tblPr>
      <w:tblGrid>
        <w:gridCol w:w="2835"/>
        <w:gridCol w:w="891"/>
        <w:gridCol w:w="891"/>
        <w:gridCol w:w="891"/>
        <w:gridCol w:w="891"/>
        <w:gridCol w:w="891"/>
        <w:gridCol w:w="891"/>
        <w:gridCol w:w="891"/>
      </w:tblGrid>
      <w:tr>
        <w:tblPrEx>
          <w:tblW w:w="9072" w:type="dxa"/>
          <w:tblCellMar>
            <w:left w:w="70" w:type="dxa"/>
            <w:right w:w="70" w:type="dxa"/>
          </w:tblCellMar>
          <w:tblLook w:val="04A0"/>
        </w:tblPrEx>
        <w:trPr>
          <w:trHeight w:hRule="exact" w:val="227"/>
        </w:trPr>
        <w:tc>
          <w:tcPr>
            <w:tcW w:w="0" w:type="auto"/>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6C0389" w:rsidRPr="006101C0" w:rsidP="000008FE">
            <w:pPr>
              <w:bidi w:val="0"/>
              <w:rPr>
                <w:rFonts w:ascii="Times New Roman" w:hAnsi="Times New Roman"/>
                <w:b/>
                <w:bCs/>
                <w:sz w:val="14"/>
                <w:szCs w:val="14"/>
              </w:rPr>
            </w:pPr>
            <w:r w:rsidRPr="006101C0">
              <w:rPr>
                <w:rFonts w:ascii="Times New Roman" w:hAnsi="Times New Roman"/>
                <w:b/>
                <w:bCs/>
                <w:sz w:val="14"/>
                <w:szCs w:val="14"/>
              </w:rPr>
              <w:t>v tis. eur</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center"/>
            <w:hideMark/>
          </w:tcPr>
          <w:p w:rsidR="006C0389" w:rsidRPr="006101C0" w:rsidP="000008FE">
            <w:pPr>
              <w:bidi w:val="0"/>
              <w:jc w:val="center"/>
              <w:rPr>
                <w:rFonts w:ascii="Times New Roman" w:hAnsi="Times New Roman"/>
                <w:b/>
                <w:bCs/>
                <w:sz w:val="14"/>
                <w:szCs w:val="14"/>
              </w:rPr>
            </w:pPr>
            <w:r w:rsidRPr="006101C0">
              <w:rPr>
                <w:rFonts w:ascii="Times New Roman" w:hAnsi="Times New Roman"/>
                <w:b/>
                <w:bCs/>
                <w:sz w:val="14"/>
                <w:szCs w:val="14"/>
              </w:rPr>
              <w:t>2013 S</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center"/>
            <w:hideMark/>
          </w:tcPr>
          <w:p w:rsidR="006C0389" w:rsidRPr="006101C0" w:rsidP="000008FE">
            <w:pPr>
              <w:bidi w:val="0"/>
              <w:jc w:val="center"/>
              <w:rPr>
                <w:rFonts w:ascii="Times New Roman" w:hAnsi="Times New Roman"/>
                <w:b/>
                <w:bCs/>
                <w:sz w:val="14"/>
                <w:szCs w:val="14"/>
              </w:rPr>
            </w:pPr>
            <w:r w:rsidRPr="006101C0">
              <w:rPr>
                <w:rFonts w:ascii="Times New Roman" w:hAnsi="Times New Roman"/>
                <w:b/>
                <w:bCs/>
                <w:sz w:val="14"/>
                <w:szCs w:val="14"/>
              </w:rPr>
              <w:t>2014 S</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center"/>
            <w:hideMark/>
          </w:tcPr>
          <w:p w:rsidR="006C0389" w:rsidRPr="006101C0" w:rsidP="000008FE">
            <w:pPr>
              <w:bidi w:val="0"/>
              <w:jc w:val="center"/>
              <w:rPr>
                <w:rFonts w:ascii="Times New Roman" w:hAnsi="Times New Roman"/>
                <w:b/>
                <w:bCs/>
                <w:sz w:val="14"/>
                <w:szCs w:val="14"/>
              </w:rPr>
            </w:pPr>
            <w:r w:rsidRPr="006101C0">
              <w:rPr>
                <w:rFonts w:ascii="Times New Roman" w:hAnsi="Times New Roman"/>
                <w:b/>
                <w:bCs/>
                <w:sz w:val="14"/>
                <w:szCs w:val="14"/>
              </w:rPr>
              <w:t>2015 R</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center"/>
            <w:hideMark/>
          </w:tcPr>
          <w:p w:rsidR="006C0389" w:rsidRPr="006101C0" w:rsidP="000008FE">
            <w:pPr>
              <w:bidi w:val="0"/>
              <w:jc w:val="center"/>
              <w:rPr>
                <w:rFonts w:ascii="Times New Roman" w:hAnsi="Times New Roman"/>
                <w:b/>
                <w:bCs/>
                <w:sz w:val="14"/>
                <w:szCs w:val="14"/>
              </w:rPr>
            </w:pPr>
            <w:r w:rsidRPr="006101C0">
              <w:rPr>
                <w:rFonts w:ascii="Times New Roman" w:hAnsi="Times New Roman"/>
                <w:b/>
                <w:bCs/>
                <w:sz w:val="14"/>
                <w:szCs w:val="14"/>
              </w:rPr>
              <w:t>2015 OS</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center"/>
            <w:hideMark/>
          </w:tcPr>
          <w:p w:rsidR="006C0389" w:rsidRPr="006101C0" w:rsidP="00F53AF1">
            <w:pPr>
              <w:bidi w:val="0"/>
              <w:jc w:val="center"/>
              <w:rPr>
                <w:rFonts w:ascii="Times New Roman" w:hAnsi="Times New Roman"/>
                <w:b/>
                <w:bCs/>
                <w:sz w:val="14"/>
                <w:szCs w:val="14"/>
              </w:rPr>
            </w:pPr>
            <w:r w:rsidRPr="006101C0">
              <w:rPr>
                <w:rFonts w:ascii="Times New Roman" w:hAnsi="Times New Roman"/>
                <w:b/>
                <w:bCs/>
                <w:sz w:val="14"/>
                <w:szCs w:val="14"/>
              </w:rPr>
              <w:t xml:space="preserve">2016 </w:t>
            </w:r>
            <w:r w:rsidR="00F53AF1">
              <w:rPr>
                <w:rFonts w:ascii="Times New Roman" w:hAnsi="Times New Roman"/>
                <w:b/>
                <w:bCs/>
                <w:sz w:val="14"/>
                <w:szCs w:val="14"/>
              </w:rPr>
              <w:t>N</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center"/>
            <w:hideMark/>
          </w:tcPr>
          <w:p w:rsidR="006C0389" w:rsidRPr="006101C0" w:rsidP="000008FE">
            <w:pPr>
              <w:bidi w:val="0"/>
              <w:jc w:val="center"/>
              <w:rPr>
                <w:rFonts w:ascii="Times New Roman" w:hAnsi="Times New Roman"/>
                <w:b/>
                <w:bCs/>
                <w:sz w:val="14"/>
                <w:szCs w:val="14"/>
              </w:rPr>
            </w:pPr>
            <w:r w:rsidRPr="006101C0">
              <w:rPr>
                <w:rFonts w:ascii="Times New Roman" w:hAnsi="Times New Roman"/>
                <w:b/>
                <w:bCs/>
                <w:sz w:val="14"/>
                <w:szCs w:val="14"/>
              </w:rPr>
              <w:t>2017 N</w:t>
            </w:r>
          </w:p>
        </w:tc>
        <w:tc>
          <w:tcPr>
            <w:tcW w:w="0" w:type="auto"/>
            <w:tcBorders>
              <w:top w:val="single" w:sz="4" w:space="0" w:color="auto"/>
              <w:left w:val="nil"/>
              <w:bottom w:val="single" w:sz="4" w:space="0" w:color="auto"/>
              <w:right w:val="single" w:sz="4" w:space="0" w:color="auto"/>
            </w:tcBorders>
            <w:shd w:val="pct35" w:color="auto" w:fill="auto"/>
            <w:noWrap/>
            <w:textDirection w:val="lrTb"/>
            <w:vAlign w:val="center"/>
            <w:hideMark/>
          </w:tcPr>
          <w:p w:rsidR="006C0389" w:rsidRPr="006101C0" w:rsidP="000008FE">
            <w:pPr>
              <w:bidi w:val="0"/>
              <w:jc w:val="center"/>
              <w:rPr>
                <w:rFonts w:ascii="Times New Roman" w:hAnsi="Times New Roman"/>
                <w:b/>
                <w:bCs/>
                <w:sz w:val="14"/>
                <w:szCs w:val="14"/>
              </w:rPr>
            </w:pPr>
            <w:r w:rsidRPr="006101C0">
              <w:rPr>
                <w:rFonts w:ascii="Times New Roman" w:hAnsi="Times New Roman"/>
                <w:b/>
                <w:bCs/>
                <w:sz w:val="14"/>
                <w:szCs w:val="14"/>
              </w:rPr>
              <w:t>2018 N</w:t>
            </w:r>
          </w:p>
        </w:tc>
      </w:tr>
      <w:tr>
        <w:tblPrEx>
          <w:tblW w:w="9072" w:type="dxa"/>
          <w:tblCellMar>
            <w:left w:w="70" w:type="dxa"/>
            <w:right w:w="70" w:type="dxa"/>
          </w:tblCellMar>
          <w:tblLook w:val="04A0"/>
        </w:tblPrEx>
        <w:trPr>
          <w:trHeight w:hRule="exact" w:val="227"/>
        </w:trPr>
        <w:tc>
          <w:tcPr>
            <w:tcW w:w="0" w:type="auto"/>
            <w:tcBorders>
              <w:top w:val="single" w:sz="4" w:space="0" w:color="auto"/>
              <w:left w:val="single" w:sz="4" w:space="0" w:color="auto"/>
              <w:bottom w:val="single" w:sz="4" w:space="0" w:color="auto"/>
              <w:right w:val="single" w:sz="4" w:space="0" w:color="auto"/>
            </w:tcBorders>
            <w:shd w:val="pct25" w:color="auto" w:fill="auto"/>
            <w:noWrap/>
            <w:textDirection w:val="lrTb"/>
            <w:vAlign w:val="center"/>
            <w:hideMark/>
          </w:tcPr>
          <w:p w:rsidR="006C0389" w:rsidRPr="006101C0" w:rsidP="000008FE">
            <w:pPr>
              <w:bidi w:val="0"/>
              <w:rPr>
                <w:rFonts w:ascii="Times New Roman" w:hAnsi="Times New Roman"/>
                <w:b/>
                <w:bCs/>
                <w:sz w:val="14"/>
                <w:szCs w:val="14"/>
              </w:rPr>
            </w:pPr>
            <w:r w:rsidRPr="006101C0">
              <w:rPr>
                <w:rFonts w:ascii="Times New Roman" w:hAnsi="Times New Roman"/>
                <w:b/>
                <w:bCs/>
                <w:sz w:val="14"/>
                <w:szCs w:val="14"/>
              </w:rPr>
              <w:t>Výdavky spolu</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6 653 267</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6 959 916</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7 104 115</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7 140 776</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7 305 749</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7 480 009</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7 718 408</w:t>
            </w: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noWrap/>
            <w:textDirection w:val="lrTb"/>
            <w:vAlign w:val="center"/>
            <w:hideMark/>
          </w:tcPr>
          <w:p w:rsidR="006C0389" w:rsidRPr="006101C0" w:rsidP="000008FE">
            <w:pPr>
              <w:bidi w:val="0"/>
              <w:rPr>
                <w:rFonts w:ascii="Times New Roman" w:hAnsi="Times New Roman"/>
                <w:sz w:val="14"/>
                <w:szCs w:val="14"/>
              </w:rPr>
            </w:pPr>
            <w:r w:rsidRPr="006101C0">
              <w:rPr>
                <w:rFonts w:ascii="Times New Roman" w:hAnsi="Times New Roman"/>
                <w:sz w:val="14"/>
                <w:szCs w:val="14"/>
              </w:rPr>
              <w:t>v tom:</w:t>
            </w:r>
          </w:p>
        </w:tc>
        <w:tc>
          <w:tcPr>
            <w:tcW w:w="0" w:type="auto"/>
            <w:tcBorders>
              <w:top w:val="nil"/>
              <w:left w:val="nil"/>
              <w:bottom w:val="single" w:sz="4" w:space="0" w:color="auto"/>
              <w:right w:val="single" w:sz="4" w:space="0" w:color="auto"/>
            </w:tcBorders>
            <w:noWrap/>
            <w:textDirection w:val="lrTb"/>
            <w:vAlign w:val="bottom"/>
            <w:hideMark/>
          </w:tcPr>
          <w:p w:rsidR="006C0389" w:rsidRPr="00E133A4" w:rsidP="000008FE">
            <w:pPr>
              <w:bidi w:val="0"/>
              <w:jc w:val="right"/>
              <w:rPr>
                <w:rFonts w:ascii="Times New Roman" w:hAnsi="Times New Roman"/>
              </w:rPr>
            </w:pPr>
          </w:p>
        </w:tc>
        <w:tc>
          <w:tcPr>
            <w:tcW w:w="0" w:type="auto"/>
            <w:tcBorders>
              <w:top w:val="nil"/>
              <w:left w:val="nil"/>
              <w:bottom w:val="single" w:sz="4" w:space="0" w:color="auto"/>
              <w:right w:val="single" w:sz="4" w:space="0" w:color="auto"/>
            </w:tcBorders>
            <w:noWrap/>
            <w:textDirection w:val="lrTb"/>
            <w:vAlign w:val="bottom"/>
            <w:hideMark/>
          </w:tcPr>
          <w:p w:rsidR="006C0389" w:rsidRPr="00E133A4" w:rsidP="000008FE">
            <w:pPr>
              <w:bidi w:val="0"/>
              <w:jc w:val="right"/>
              <w:rPr>
                <w:rFonts w:ascii="Times New Roman" w:hAnsi="Times New Roman"/>
              </w:rPr>
            </w:pPr>
          </w:p>
        </w:tc>
        <w:tc>
          <w:tcPr>
            <w:tcW w:w="0" w:type="auto"/>
            <w:tcBorders>
              <w:top w:val="nil"/>
              <w:left w:val="nil"/>
              <w:bottom w:val="single" w:sz="4" w:space="0" w:color="auto"/>
              <w:right w:val="single" w:sz="4" w:space="0" w:color="auto"/>
            </w:tcBorders>
            <w:noWrap/>
            <w:textDirection w:val="lrTb"/>
            <w:vAlign w:val="bottom"/>
            <w:hideMark/>
          </w:tcPr>
          <w:p w:rsidR="006C0389" w:rsidRPr="00E133A4" w:rsidP="000008FE">
            <w:pPr>
              <w:bidi w:val="0"/>
              <w:jc w:val="right"/>
              <w:rPr>
                <w:rFonts w:ascii="Times New Roman" w:hAnsi="Times New Roman"/>
              </w:rPr>
            </w:pPr>
          </w:p>
        </w:tc>
        <w:tc>
          <w:tcPr>
            <w:tcW w:w="0" w:type="auto"/>
            <w:tcBorders>
              <w:top w:val="nil"/>
              <w:left w:val="nil"/>
              <w:bottom w:val="single" w:sz="4" w:space="0" w:color="auto"/>
              <w:right w:val="single" w:sz="4" w:space="0" w:color="auto"/>
            </w:tcBorders>
            <w:noWrap/>
            <w:textDirection w:val="lrTb"/>
            <w:vAlign w:val="bottom"/>
            <w:hideMark/>
          </w:tcPr>
          <w:p w:rsidR="006C0389" w:rsidRPr="00E133A4" w:rsidP="000008FE">
            <w:pPr>
              <w:bidi w:val="0"/>
              <w:jc w:val="right"/>
              <w:rPr>
                <w:rFonts w:ascii="Times New Roman" w:hAnsi="Times New Roman"/>
              </w:rPr>
            </w:pPr>
          </w:p>
        </w:tc>
        <w:tc>
          <w:tcPr>
            <w:tcW w:w="0" w:type="auto"/>
            <w:tcBorders>
              <w:top w:val="nil"/>
              <w:left w:val="nil"/>
              <w:bottom w:val="single" w:sz="4" w:space="0" w:color="auto"/>
              <w:right w:val="single" w:sz="4" w:space="0" w:color="auto"/>
            </w:tcBorders>
            <w:noWrap/>
            <w:textDirection w:val="lrTb"/>
            <w:vAlign w:val="bottom"/>
            <w:hideMark/>
          </w:tcPr>
          <w:p w:rsidR="006C0389" w:rsidRPr="00E133A4" w:rsidP="000008FE">
            <w:pPr>
              <w:bidi w:val="0"/>
              <w:jc w:val="right"/>
              <w:rPr>
                <w:rFonts w:ascii="Times New Roman" w:hAnsi="Times New Roman"/>
              </w:rPr>
            </w:pPr>
          </w:p>
        </w:tc>
        <w:tc>
          <w:tcPr>
            <w:tcW w:w="0" w:type="auto"/>
            <w:tcBorders>
              <w:top w:val="nil"/>
              <w:left w:val="nil"/>
              <w:bottom w:val="single" w:sz="4" w:space="0" w:color="auto"/>
              <w:right w:val="single" w:sz="4" w:space="0" w:color="auto"/>
            </w:tcBorders>
            <w:noWrap/>
            <w:textDirection w:val="lrTb"/>
            <w:vAlign w:val="bottom"/>
            <w:hideMark/>
          </w:tcPr>
          <w:p w:rsidR="006C0389" w:rsidRPr="00E133A4" w:rsidP="000008FE">
            <w:pPr>
              <w:bidi w:val="0"/>
              <w:jc w:val="right"/>
              <w:rPr>
                <w:rFonts w:ascii="Times New Roman" w:hAnsi="Times New Roman"/>
              </w:rPr>
            </w:pPr>
          </w:p>
        </w:tc>
        <w:tc>
          <w:tcPr>
            <w:tcW w:w="0" w:type="auto"/>
            <w:tcBorders>
              <w:top w:val="nil"/>
              <w:left w:val="nil"/>
              <w:bottom w:val="single" w:sz="4" w:space="0" w:color="auto"/>
              <w:right w:val="single" w:sz="4" w:space="0" w:color="auto"/>
            </w:tcBorders>
            <w:noWrap/>
            <w:textDirection w:val="lrTb"/>
            <w:vAlign w:val="bottom"/>
            <w:hideMark/>
          </w:tcPr>
          <w:p w:rsidR="006C0389" w:rsidRPr="00E133A4" w:rsidP="000008FE">
            <w:pPr>
              <w:bidi w:val="0"/>
              <w:jc w:val="right"/>
              <w:rPr>
                <w:rFonts w:ascii="Times New Roman" w:hAnsi="Times New Roman"/>
              </w:rPr>
            </w:pPr>
          </w:p>
        </w:tc>
      </w:tr>
      <w:tr>
        <w:tblPrEx>
          <w:tblW w:w="9072" w:type="dxa"/>
          <w:tblCellMar>
            <w:left w:w="70" w:type="dxa"/>
            <w:right w:w="70" w:type="dxa"/>
          </w:tblCellMar>
          <w:tblLook w:val="04A0"/>
        </w:tblPrEx>
        <w:trPr>
          <w:trHeight w:hRule="exact" w:val="227"/>
        </w:trPr>
        <w:tc>
          <w:tcPr>
            <w:tcW w:w="0" w:type="auto"/>
            <w:tcBorders>
              <w:top w:val="single" w:sz="4" w:space="0" w:color="auto"/>
              <w:left w:val="single" w:sz="4" w:space="0" w:color="auto"/>
              <w:bottom w:val="single" w:sz="4" w:space="0" w:color="auto"/>
              <w:right w:val="single" w:sz="4" w:space="0" w:color="auto"/>
            </w:tcBorders>
            <w:shd w:val="pct25" w:color="auto" w:fill="auto"/>
            <w:noWrap/>
            <w:textDirection w:val="lrTb"/>
            <w:vAlign w:val="center"/>
            <w:hideMark/>
          </w:tcPr>
          <w:p w:rsidR="006C0389" w:rsidRPr="006101C0" w:rsidP="000008FE">
            <w:pPr>
              <w:bidi w:val="0"/>
              <w:rPr>
                <w:rFonts w:ascii="Times New Roman" w:hAnsi="Times New Roman"/>
                <w:b/>
                <w:bCs/>
                <w:sz w:val="14"/>
                <w:szCs w:val="14"/>
              </w:rPr>
            </w:pPr>
            <w:r w:rsidRPr="006101C0">
              <w:rPr>
                <w:rFonts w:ascii="Times New Roman" w:hAnsi="Times New Roman"/>
                <w:b/>
                <w:bCs/>
                <w:sz w:val="14"/>
                <w:szCs w:val="14"/>
              </w:rPr>
              <w:t>Výdavky poistenia spolu</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6 512 217</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6 822 126</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6 979 326</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7 019 859</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7 183 572</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7 356 403</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7 593 194</w:t>
            </w: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noWrap/>
            <w:textDirection w:val="lrTb"/>
            <w:vAlign w:val="center"/>
            <w:hideMark/>
          </w:tcPr>
          <w:p w:rsidR="006C0389" w:rsidRPr="006101C0" w:rsidP="000008FE">
            <w:pPr>
              <w:bidi w:val="0"/>
              <w:rPr>
                <w:rFonts w:ascii="Times New Roman" w:hAnsi="Times New Roman"/>
                <w:sz w:val="14"/>
                <w:szCs w:val="14"/>
              </w:rPr>
            </w:pPr>
            <w:r w:rsidRPr="006101C0">
              <w:rPr>
                <w:rFonts w:ascii="Times New Roman" w:hAnsi="Times New Roman"/>
                <w:sz w:val="14"/>
                <w:szCs w:val="14"/>
              </w:rPr>
              <w:t>v tom:</w:t>
            </w:r>
          </w:p>
        </w:tc>
        <w:tc>
          <w:tcPr>
            <w:tcW w:w="0" w:type="auto"/>
            <w:tcBorders>
              <w:top w:val="nil"/>
              <w:left w:val="nil"/>
              <w:bottom w:val="single" w:sz="4" w:space="0" w:color="auto"/>
              <w:right w:val="single" w:sz="4" w:space="0" w:color="auto"/>
            </w:tcBorders>
            <w:noWrap/>
            <w:textDirection w:val="lrTb"/>
            <w:vAlign w:val="bottom"/>
            <w:hideMark/>
          </w:tcPr>
          <w:p w:rsidR="006C0389" w:rsidRPr="00E133A4" w:rsidP="000008FE">
            <w:pPr>
              <w:bidi w:val="0"/>
              <w:jc w:val="right"/>
              <w:rPr>
                <w:rFonts w:ascii="Times New Roman" w:hAnsi="Times New Roman"/>
              </w:rPr>
            </w:pPr>
          </w:p>
        </w:tc>
        <w:tc>
          <w:tcPr>
            <w:tcW w:w="0" w:type="auto"/>
            <w:tcBorders>
              <w:top w:val="nil"/>
              <w:left w:val="nil"/>
              <w:bottom w:val="single" w:sz="4" w:space="0" w:color="auto"/>
              <w:right w:val="single" w:sz="4" w:space="0" w:color="auto"/>
            </w:tcBorders>
            <w:noWrap/>
            <w:textDirection w:val="lrTb"/>
            <w:vAlign w:val="bottom"/>
            <w:hideMark/>
          </w:tcPr>
          <w:p w:rsidR="006C0389" w:rsidRPr="00E133A4" w:rsidP="000008FE">
            <w:pPr>
              <w:bidi w:val="0"/>
              <w:jc w:val="right"/>
              <w:rPr>
                <w:rFonts w:ascii="Times New Roman" w:hAnsi="Times New Roman"/>
              </w:rPr>
            </w:pPr>
          </w:p>
        </w:tc>
        <w:tc>
          <w:tcPr>
            <w:tcW w:w="0" w:type="auto"/>
            <w:tcBorders>
              <w:top w:val="nil"/>
              <w:left w:val="nil"/>
              <w:bottom w:val="single" w:sz="4" w:space="0" w:color="auto"/>
              <w:right w:val="single" w:sz="4" w:space="0" w:color="auto"/>
            </w:tcBorders>
            <w:noWrap/>
            <w:textDirection w:val="lrTb"/>
            <w:vAlign w:val="bottom"/>
            <w:hideMark/>
          </w:tcPr>
          <w:p w:rsidR="006C0389" w:rsidRPr="00E133A4" w:rsidP="000008FE">
            <w:pPr>
              <w:bidi w:val="0"/>
              <w:jc w:val="right"/>
              <w:rPr>
                <w:rFonts w:ascii="Times New Roman" w:hAnsi="Times New Roman"/>
              </w:rPr>
            </w:pPr>
          </w:p>
        </w:tc>
        <w:tc>
          <w:tcPr>
            <w:tcW w:w="0" w:type="auto"/>
            <w:tcBorders>
              <w:top w:val="nil"/>
              <w:left w:val="nil"/>
              <w:bottom w:val="single" w:sz="4" w:space="0" w:color="auto"/>
              <w:right w:val="single" w:sz="4" w:space="0" w:color="auto"/>
            </w:tcBorders>
            <w:noWrap/>
            <w:textDirection w:val="lrTb"/>
            <w:vAlign w:val="bottom"/>
            <w:hideMark/>
          </w:tcPr>
          <w:p w:rsidR="006C0389" w:rsidRPr="00E133A4" w:rsidP="000008FE">
            <w:pPr>
              <w:bidi w:val="0"/>
              <w:jc w:val="right"/>
              <w:rPr>
                <w:rFonts w:ascii="Times New Roman" w:hAnsi="Times New Roman"/>
              </w:rPr>
            </w:pPr>
          </w:p>
        </w:tc>
        <w:tc>
          <w:tcPr>
            <w:tcW w:w="0" w:type="auto"/>
            <w:tcBorders>
              <w:top w:val="nil"/>
              <w:left w:val="nil"/>
              <w:bottom w:val="single" w:sz="4" w:space="0" w:color="auto"/>
              <w:right w:val="single" w:sz="4" w:space="0" w:color="auto"/>
            </w:tcBorders>
            <w:noWrap/>
            <w:textDirection w:val="lrTb"/>
            <w:vAlign w:val="bottom"/>
            <w:hideMark/>
          </w:tcPr>
          <w:p w:rsidR="006C0389" w:rsidRPr="00E133A4" w:rsidP="000008FE">
            <w:pPr>
              <w:bidi w:val="0"/>
              <w:jc w:val="right"/>
              <w:rPr>
                <w:rFonts w:ascii="Times New Roman" w:hAnsi="Times New Roman"/>
              </w:rPr>
            </w:pPr>
          </w:p>
        </w:tc>
        <w:tc>
          <w:tcPr>
            <w:tcW w:w="0" w:type="auto"/>
            <w:tcBorders>
              <w:top w:val="nil"/>
              <w:left w:val="nil"/>
              <w:bottom w:val="single" w:sz="4" w:space="0" w:color="auto"/>
              <w:right w:val="single" w:sz="4" w:space="0" w:color="auto"/>
            </w:tcBorders>
            <w:noWrap/>
            <w:textDirection w:val="lrTb"/>
            <w:vAlign w:val="bottom"/>
            <w:hideMark/>
          </w:tcPr>
          <w:p w:rsidR="006C0389" w:rsidRPr="00E133A4" w:rsidP="000008FE">
            <w:pPr>
              <w:bidi w:val="0"/>
              <w:jc w:val="right"/>
              <w:rPr>
                <w:rFonts w:ascii="Times New Roman" w:hAnsi="Times New Roman"/>
              </w:rPr>
            </w:pPr>
          </w:p>
        </w:tc>
        <w:tc>
          <w:tcPr>
            <w:tcW w:w="0" w:type="auto"/>
            <w:tcBorders>
              <w:top w:val="nil"/>
              <w:left w:val="nil"/>
              <w:bottom w:val="single" w:sz="4" w:space="0" w:color="auto"/>
              <w:right w:val="single" w:sz="4" w:space="0" w:color="auto"/>
            </w:tcBorders>
            <w:noWrap/>
            <w:textDirection w:val="lrTb"/>
            <w:vAlign w:val="bottom"/>
            <w:hideMark/>
          </w:tcPr>
          <w:p w:rsidR="006C0389" w:rsidRPr="00E133A4" w:rsidP="000008FE">
            <w:pPr>
              <w:bidi w:val="0"/>
              <w:jc w:val="right"/>
              <w:rPr>
                <w:rFonts w:ascii="Times New Roman" w:hAnsi="Times New Roman"/>
              </w:rPr>
            </w:pP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noWrap/>
            <w:textDirection w:val="lrTb"/>
            <w:vAlign w:val="center"/>
            <w:hideMark/>
          </w:tcPr>
          <w:p w:rsidR="006C0389" w:rsidRPr="006101C0" w:rsidP="000008FE">
            <w:pPr>
              <w:bidi w:val="0"/>
              <w:rPr>
                <w:rFonts w:ascii="Times New Roman" w:hAnsi="Times New Roman"/>
                <w:sz w:val="14"/>
                <w:szCs w:val="14"/>
              </w:rPr>
            </w:pPr>
            <w:r w:rsidRPr="006101C0">
              <w:rPr>
                <w:rFonts w:ascii="Times New Roman" w:hAnsi="Times New Roman"/>
                <w:sz w:val="14"/>
                <w:szCs w:val="14"/>
              </w:rPr>
              <w:t>výdavky nemocenského poistenia</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399 434</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380 812</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416 469</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416 540</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440 924</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454 238</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465 729</w:t>
            </w: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noWrap/>
            <w:textDirection w:val="lrTb"/>
            <w:vAlign w:val="center"/>
            <w:hideMark/>
          </w:tcPr>
          <w:p w:rsidR="006C0389" w:rsidRPr="006101C0" w:rsidP="000008FE">
            <w:pPr>
              <w:bidi w:val="0"/>
              <w:rPr>
                <w:rFonts w:ascii="Times New Roman" w:hAnsi="Times New Roman"/>
                <w:sz w:val="14"/>
                <w:szCs w:val="14"/>
              </w:rPr>
            </w:pPr>
            <w:r w:rsidRPr="006101C0">
              <w:rPr>
                <w:rFonts w:ascii="Times New Roman" w:hAnsi="Times New Roman"/>
                <w:sz w:val="14"/>
                <w:szCs w:val="14"/>
              </w:rPr>
              <w:t>výdavky dôchodkového poistenia</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5 894 195</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6 242 010</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6 358 669</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6 398 587</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6 545 873</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6 711 521</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6 941 139</w:t>
            </w: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noWrap/>
            <w:textDirection w:val="lrTb"/>
            <w:vAlign w:val="center"/>
            <w:hideMark/>
          </w:tcPr>
          <w:p w:rsidR="006C0389" w:rsidRPr="006101C0" w:rsidP="000008FE">
            <w:pPr>
              <w:bidi w:val="0"/>
              <w:rPr>
                <w:rFonts w:ascii="Times New Roman" w:hAnsi="Times New Roman"/>
                <w:sz w:val="14"/>
                <w:szCs w:val="14"/>
              </w:rPr>
            </w:pPr>
            <w:r w:rsidRPr="006101C0">
              <w:rPr>
                <w:rFonts w:ascii="Times New Roman" w:hAnsi="Times New Roman"/>
                <w:sz w:val="14"/>
                <w:szCs w:val="14"/>
              </w:rPr>
              <w:t>výdavky poistenia v nezamestnanosti</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174 308</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154 721</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46 902</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157 286</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147 126</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138 577</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130 883</w:t>
            </w: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noWrap/>
            <w:textDirection w:val="lrTb"/>
            <w:vAlign w:val="center"/>
            <w:hideMark/>
          </w:tcPr>
          <w:p w:rsidR="006C0389" w:rsidRPr="006101C0" w:rsidP="000008FE">
            <w:pPr>
              <w:bidi w:val="0"/>
              <w:rPr>
                <w:rFonts w:ascii="Times New Roman" w:hAnsi="Times New Roman"/>
                <w:sz w:val="14"/>
                <w:szCs w:val="14"/>
              </w:rPr>
            </w:pPr>
            <w:r w:rsidRPr="006101C0">
              <w:rPr>
                <w:rFonts w:ascii="Times New Roman" w:hAnsi="Times New Roman"/>
                <w:sz w:val="14"/>
                <w:szCs w:val="14"/>
              </w:rPr>
              <w:t>výdavky úrazového poistenia</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44 280</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44 583</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157 286</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47 446</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49 649</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52 067</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color w:val="000000"/>
                <w:sz w:val="14"/>
                <w:szCs w:val="14"/>
              </w:rPr>
            </w:pPr>
            <w:r w:rsidRPr="006101C0">
              <w:rPr>
                <w:rFonts w:ascii="Times New Roman" w:hAnsi="Times New Roman"/>
                <w:color w:val="000000"/>
                <w:sz w:val="14"/>
                <w:szCs w:val="14"/>
              </w:rPr>
              <w:t>55 443</w:t>
            </w: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noWrap/>
            <w:textDirection w:val="lrTb"/>
            <w:vAlign w:val="center"/>
            <w:hideMark/>
          </w:tcPr>
          <w:p w:rsidR="006C0389" w:rsidRPr="006101C0" w:rsidP="000008FE">
            <w:pPr>
              <w:bidi w:val="0"/>
              <w:rPr>
                <w:rFonts w:ascii="Times New Roman" w:hAnsi="Times New Roman"/>
                <w:sz w:val="14"/>
                <w:szCs w:val="14"/>
              </w:rPr>
            </w:pPr>
            <w:r w:rsidRPr="006101C0">
              <w:rPr>
                <w:rFonts w:ascii="Times New Roman" w:hAnsi="Times New Roman"/>
                <w:sz w:val="14"/>
                <w:szCs w:val="14"/>
              </w:rPr>
              <w:t> </w:t>
            </w:r>
          </w:p>
        </w:tc>
        <w:tc>
          <w:tcPr>
            <w:tcW w:w="0" w:type="auto"/>
            <w:tcBorders>
              <w:top w:val="nil"/>
              <w:left w:val="nil"/>
              <w:bottom w:val="single" w:sz="4" w:space="0" w:color="auto"/>
              <w:right w:val="single" w:sz="4" w:space="0" w:color="auto"/>
            </w:tcBorders>
            <w:noWrap/>
            <w:textDirection w:val="lrTb"/>
            <w:vAlign w:val="bottom"/>
            <w:hideMark/>
          </w:tcPr>
          <w:p w:rsidR="006C0389" w:rsidRPr="00AB5185" w:rsidP="000008FE">
            <w:pPr>
              <w:bidi w:val="0"/>
              <w:jc w:val="right"/>
              <w:rPr>
                <w:rFonts w:ascii="Times New Roman" w:hAnsi="Times New Roman"/>
              </w:rPr>
            </w:pPr>
          </w:p>
        </w:tc>
        <w:tc>
          <w:tcPr>
            <w:tcW w:w="0" w:type="auto"/>
            <w:tcBorders>
              <w:top w:val="nil"/>
              <w:left w:val="nil"/>
              <w:bottom w:val="single" w:sz="4" w:space="0" w:color="auto"/>
              <w:right w:val="single" w:sz="4" w:space="0" w:color="auto"/>
            </w:tcBorders>
            <w:noWrap/>
            <w:textDirection w:val="lrTb"/>
            <w:vAlign w:val="bottom"/>
            <w:hideMark/>
          </w:tcPr>
          <w:p w:rsidR="006C0389" w:rsidRPr="00AB5185" w:rsidP="000008FE">
            <w:pPr>
              <w:bidi w:val="0"/>
              <w:jc w:val="right"/>
              <w:rPr>
                <w:rFonts w:ascii="Times New Roman" w:hAnsi="Times New Roman"/>
              </w:rPr>
            </w:pPr>
          </w:p>
        </w:tc>
        <w:tc>
          <w:tcPr>
            <w:tcW w:w="0" w:type="auto"/>
            <w:tcBorders>
              <w:top w:val="nil"/>
              <w:left w:val="nil"/>
              <w:bottom w:val="single" w:sz="4" w:space="0" w:color="auto"/>
              <w:right w:val="single" w:sz="4" w:space="0" w:color="auto"/>
            </w:tcBorders>
            <w:noWrap/>
            <w:textDirection w:val="lrTb"/>
            <w:vAlign w:val="bottom"/>
            <w:hideMark/>
          </w:tcPr>
          <w:p w:rsidR="006C0389" w:rsidRPr="00AB5185" w:rsidP="000008FE">
            <w:pPr>
              <w:bidi w:val="0"/>
              <w:jc w:val="right"/>
              <w:rPr>
                <w:rFonts w:ascii="Times New Roman" w:hAnsi="Times New Roman"/>
              </w:rPr>
            </w:pPr>
          </w:p>
        </w:tc>
        <w:tc>
          <w:tcPr>
            <w:tcW w:w="0" w:type="auto"/>
            <w:tcBorders>
              <w:top w:val="nil"/>
              <w:left w:val="nil"/>
              <w:bottom w:val="single" w:sz="4" w:space="0" w:color="auto"/>
              <w:right w:val="single" w:sz="4" w:space="0" w:color="auto"/>
            </w:tcBorders>
            <w:noWrap/>
            <w:textDirection w:val="lrTb"/>
            <w:vAlign w:val="bottom"/>
            <w:hideMark/>
          </w:tcPr>
          <w:p w:rsidR="006C0389" w:rsidRPr="00AB5185" w:rsidP="000008FE">
            <w:pPr>
              <w:bidi w:val="0"/>
              <w:jc w:val="right"/>
              <w:rPr>
                <w:rFonts w:ascii="Times New Roman" w:hAnsi="Times New Roman"/>
              </w:rPr>
            </w:pPr>
          </w:p>
        </w:tc>
        <w:tc>
          <w:tcPr>
            <w:tcW w:w="0" w:type="auto"/>
            <w:tcBorders>
              <w:top w:val="nil"/>
              <w:left w:val="nil"/>
              <w:bottom w:val="single" w:sz="4" w:space="0" w:color="auto"/>
              <w:right w:val="single" w:sz="4" w:space="0" w:color="auto"/>
            </w:tcBorders>
            <w:noWrap/>
            <w:textDirection w:val="lrTb"/>
            <w:vAlign w:val="bottom"/>
            <w:hideMark/>
          </w:tcPr>
          <w:p w:rsidR="006C0389" w:rsidRPr="00AB5185" w:rsidP="000008FE">
            <w:pPr>
              <w:bidi w:val="0"/>
              <w:jc w:val="right"/>
              <w:rPr>
                <w:rFonts w:ascii="Times New Roman" w:hAnsi="Times New Roman"/>
              </w:rPr>
            </w:pPr>
          </w:p>
        </w:tc>
        <w:tc>
          <w:tcPr>
            <w:tcW w:w="0" w:type="auto"/>
            <w:tcBorders>
              <w:top w:val="nil"/>
              <w:left w:val="nil"/>
              <w:bottom w:val="single" w:sz="4" w:space="0" w:color="auto"/>
              <w:right w:val="single" w:sz="4" w:space="0" w:color="auto"/>
            </w:tcBorders>
            <w:noWrap/>
            <w:textDirection w:val="lrTb"/>
            <w:vAlign w:val="bottom"/>
            <w:hideMark/>
          </w:tcPr>
          <w:p w:rsidR="006C0389" w:rsidRPr="00AB5185" w:rsidP="000008FE">
            <w:pPr>
              <w:bidi w:val="0"/>
              <w:jc w:val="right"/>
              <w:rPr>
                <w:rFonts w:ascii="Times New Roman" w:hAnsi="Times New Roman"/>
              </w:rPr>
            </w:pPr>
          </w:p>
        </w:tc>
        <w:tc>
          <w:tcPr>
            <w:tcW w:w="0" w:type="auto"/>
            <w:tcBorders>
              <w:top w:val="nil"/>
              <w:left w:val="nil"/>
              <w:bottom w:val="single" w:sz="4" w:space="0" w:color="auto"/>
              <w:right w:val="single" w:sz="4" w:space="0" w:color="auto"/>
            </w:tcBorders>
            <w:noWrap/>
            <w:textDirection w:val="lrTb"/>
            <w:vAlign w:val="bottom"/>
            <w:hideMark/>
          </w:tcPr>
          <w:p w:rsidR="006C0389" w:rsidRPr="00AB5185" w:rsidP="000008FE">
            <w:pPr>
              <w:bidi w:val="0"/>
              <w:jc w:val="right"/>
              <w:rPr>
                <w:rFonts w:ascii="Times New Roman" w:hAnsi="Times New Roman"/>
              </w:rPr>
            </w:pPr>
          </w:p>
        </w:tc>
      </w:tr>
      <w:tr>
        <w:tblPrEx>
          <w:tblW w:w="9072" w:type="dxa"/>
          <w:tblCellMar>
            <w:left w:w="70" w:type="dxa"/>
            <w:right w:w="70" w:type="dxa"/>
          </w:tblCellMar>
          <w:tblLook w:val="04A0"/>
        </w:tblPrEx>
        <w:trPr>
          <w:trHeight w:hRule="exact" w:val="227"/>
        </w:trPr>
        <w:tc>
          <w:tcPr>
            <w:tcW w:w="0" w:type="auto"/>
            <w:tcBorders>
              <w:top w:val="single" w:sz="4" w:space="0" w:color="auto"/>
              <w:left w:val="single" w:sz="4" w:space="0" w:color="auto"/>
              <w:bottom w:val="single" w:sz="4" w:space="0" w:color="auto"/>
              <w:right w:val="single" w:sz="4" w:space="0" w:color="auto"/>
            </w:tcBorders>
            <w:shd w:val="pct25" w:color="auto" w:fill="auto"/>
            <w:noWrap/>
            <w:textDirection w:val="lrTb"/>
            <w:vAlign w:val="center"/>
            <w:hideMark/>
          </w:tcPr>
          <w:p w:rsidR="006C0389" w:rsidRPr="006101C0" w:rsidP="000008FE">
            <w:pPr>
              <w:bidi w:val="0"/>
              <w:rPr>
                <w:rFonts w:ascii="Times New Roman" w:hAnsi="Times New Roman"/>
                <w:b/>
                <w:bCs/>
                <w:sz w:val="14"/>
                <w:szCs w:val="14"/>
              </w:rPr>
            </w:pPr>
            <w:r w:rsidRPr="006101C0">
              <w:rPr>
                <w:rFonts w:ascii="Times New Roman" w:hAnsi="Times New Roman"/>
                <w:b/>
                <w:bCs/>
                <w:sz w:val="14"/>
                <w:szCs w:val="14"/>
              </w:rPr>
              <w:t>Výdavky garančného poistenia</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16 298</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14 233</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18 789</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14 917</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16 177</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17 606</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19 214</w:t>
            </w:r>
          </w:p>
        </w:tc>
      </w:tr>
      <w:tr>
        <w:tblPrEx>
          <w:tblW w:w="9072" w:type="dxa"/>
          <w:tblCellMar>
            <w:left w:w="70" w:type="dxa"/>
            <w:right w:w="70" w:type="dxa"/>
          </w:tblCellMar>
          <w:tblLook w:val="04A0"/>
        </w:tblPrEx>
        <w:trPr>
          <w:trHeight w:hRule="exact" w:val="227"/>
        </w:trPr>
        <w:tc>
          <w:tcPr>
            <w:tcW w:w="0" w:type="auto"/>
            <w:tcBorders>
              <w:top w:val="nil"/>
              <w:left w:val="single" w:sz="4" w:space="0" w:color="auto"/>
              <w:bottom w:val="single" w:sz="4" w:space="0" w:color="auto"/>
              <w:right w:val="single" w:sz="4" w:space="0" w:color="auto"/>
            </w:tcBorders>
            <w:noWrap/>
            <w:textDirection w:val="lrTb"/>
            <w:vAlign w:val="center"/>
            <w:hideMark/>
          </w:tcPr>
          <w:p w:rsidR="006C0389" w:rsidRPr="006101C0" w:rsidP="000008FE">
            <w:pPr>
              <w:bidi w:val="0"/>
              <w:rPr>
                <w:rFonts w:ascii="Times New Roman" w:hAnsi="Times New Roman"/>
                <w:sz w:val="14"/>
                <w:szCs w:val="14"/>
              </w:rPr>
            </w:pPr>
            <w:r w:rsidRPr="006101C0">
              <w:rPr>
                <w:rFonts w:ascii="Times New Roman" w:hAnsi="Times New Roman"/>
                <w:sz w:val="14"/>
                <w:szCs w:val="14"/>
              </w:rPr>
              <w:t> </w:t>
            </w: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b/>
                <w:bCs/>
                <w:color w:val="000000"/>
                <w:sz w:val="14"/>
                <w:szCs w:val="14"/>
              </w:rPr>
            </w:pP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b/>
                <w:bCs/>
                <w:color w:val="000000"/>
                <w:sz w:val="14"/>
                <w:szCs w:val="14"/>
              </w:rPr>
            </w:pP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b/>
                <w:bCs/>
                <w:color w:val="000000"/>
                <w:sz w:val="14"/>
                <w:szCs w:val="14"/>
              </w:rPr>
            </w:pP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b/>
                <w:bCs/>
                <w:color w:val="000000"/>
                <w:sz w:val="14"/>
                <w:szCs w:val="14"/>
              </w:rPr>
            </w:pP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b/>
                <w:bCs/>
                <w:color w:val="000000"/>
                <w:sz w:val="14"/>
                <w:szCs w:val="14"/>
              </w:rPr>
            </w:pP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b/>
                <w:bCs/>
                <w:color w:val="000000"/>
                <w:sz w:val="14"/>
                <w:szCs w:val="14"/>
              </w:rPr>
            </w:pPr>
          </w:p>
        </w:tc>
        <w:tc>
          <w:tcPr>
            <w:tcW w:w="0" w:type="auto"/>
            <w:tcBorders>
              <w:top w:val="nil"/>
              <w:left w:val="nil"/>
              <w:bottom w:val="single" w:sz="4" w:space="0" w:color="auto"/>
              <w:right w:val="single" w:sz="4" w:space="0" w:color="auto"/>
            </w:tcBorders>
            <w:noWrap/>
            <w:textDirection w:val="lrTb"/>
            <w:vAlign w:val="bottom"/>
            <w:hideMark/>
          </w:tcPr>
          <w:p w:rsidR="006C0389" w:rsidRPr="006101C0" w:rsidP="000008FE">
            <w:pPr>
              <w:bidi w:val="0"/>
              <w:jc w:val="right"/>
              <w:rPr>
                <w:rFonts w:ascii="Times New Roman" w:hAnsi="Times New Roman"/>
                <w:b/>
                <w:bCs/>
                <w:color w:val="000000"/>
                <w:sz w:val="14"/>
                <w:szCs w:val="14"/>
              </w:rPr>
            </w:pPr>
          </w:p>
        </w:tc>
      </w:tr>
      <w:tr>
        <w:tblPrEx>
          <w:tblW w:w="9072" w:type="dxa"/>
          <w:tblCellMar>
            <w:left w:w="70" w:type="dxa"/>
            <w:right w:w="70" w:type="dxa"/>
          </w:tblCellMar>
          <w:tblLook w:val="04A0"/>
        </w:tblPrEx>
        <w:trPr>
          <w:trHeight w:hRule="exact" w:val="227"/>
        </w:trPr>
        <w:tc>
          <w:tcPr>
            <w:tcW w:w="0" w:type="auto"/>
            <w:tcBorders>
              <w:top w:val="single" w:sz="4" w:space="0" w:color="auto"/>
              <w:left w:val="single" w:sz="4" w:space="0" w:color="auto"/>
              <w:bottom w:val="single" w:sz="4" w:space="0" w:color="auto"/>
              <w:right w:val="single" w:sz="4" w:space="0" w:color="auto"/>
            </w:tcBorders>
            <w:shd w:val="pct25" w:color="auto" w:fill="auto"/>
            <w:noWrap/>
            <w:textDirection w:val="lrTb"/>
            <w:vAlign w:val="center"/>
            <w:hideMark/>
          </w:tcPr>
          <w:p w:rsidR="006C0389" w:rsidRPr="006101C0" w:rsidP="000008FE">
            <w:pPr>
              <w:bidi w:val="0"/>
              <w:rPr>
                <w:rFonts w:ascii="Times New Roman" w:hAnsi="Times New Roman"/>
                <w:b/>
                <w:bCs/>
                <w:sz w:val="14"/>
                <w:szCs w:val="14"/>
              </w:rPr>
            </w:pPr>
            <w:r w:rsidRPr="006101C0">
              <w:rPr>
                <w:rFonts w:ascii="Times New Roman" w:hAnsi="Times New Roman"/>
                <w:b/>
                <w:bCs/>
                <w:sz w:val="14"/>
                <w:szCs w:val="14"/>
              </w:rPr>
              <w:t>Výdavky správneho fondu</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124 752</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123 557</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106 000</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106 000</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106 000</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106 000</w:t>
            </w:r>
          </w:p>
        </w:tc>
        <w:tc>
          <w:tcPr>
            <w:tcW w:w="0" w:type="auto"/>
            <w:tcBorders>
              <w:top w:val="single" w:sz="4" w:space="0" w:color="auto"/>
              <w:left w:val="nil"/>
              <w:bottom w:val="single" w:sz="4" w:space="0" w:color="auto"/>
              <w:right w:val="single" w:sz="4" w:space="0" w:color="auto"/>
            </w:tcBorders>
            <w:shd w:val="pct25" w:color="auto" w:fill="auto"/>
            <w:noWrap/>
            <w:textDirection w:val="lrTb"/>
            <w:vAlign w:val="bottom"/>
            <w:hideMark/>
          </w:tcPr>
          <w:p w:rsidR="006C0389" w:rsidRPr="006101C0" w:rsidP="000008FE">
            <w:pPr>
              <w:bidi w:val="0"/>
              <w:jc w:val="right"/>
              <w:rPr>
                <w:rFonts w:ascii="Times New Roman" w:hAnsi="Times New Roman"/>
                <w:b/>
                <w:bCs/>
                <w:color w:val="000000"/>
                <w:sz w:val="14"/>
                <w:szCs w:val="14"/>
              </w:rPr>
            </w:pPr>
            <w:r w:rsidRPr="006101C0">
              <w:rPr>
                <w:rFonts w:ascii="Times New Roman" w:hAnsi="Times New Roman"/>
                <w:b/>
                <w:bCs/>
                <w:color w:val="000000"/>
                <w:sz w:val="14"/>
                <w:szCs w:val="14"/>
              </w:rPr>
              <w:t>106 000</w:t>
            </w:r>
          </w:p>
        </w:tc>
      </w:tr>
    </w:tbl>
    <w:p w:rsidR="006C0389" w:rsidP="006C0389">
      <w:pPr>
        <w:bidi w:val="0"/>
        <w:jc w:val="both"/>
        <w:rPr>
          <w:rFonts w:ascii="Times New Roman" w:hAnsi="Times New Roman"/>
        </w:rPr>
      </w:pPr>
    </w:p>
    <w:p w:rsidR="006C0389" w:rsidRPr="00C9762D" w:rsidP="006C0389">
      <w:pPr>
        <w:bidi w:val="0"/>
        <w:ind w:firstLine="708"/>
        <w:jc w:val="both"/>
        <w:rPr>
          <w:rFonts w:ascii="Times New Roman" w:hAnsi="Times New Roman"/>
        </w:rPr>
      </w:pPr>
      <w:r w:rsidRPr="00C9762D">
        <w:rPr>
          <w:rFonts w:ascii="Times New Roman" w:hAnsi="Times New Roman"/>
        </w:rPr>
        <w:t>Celkové výdavky na rok 201</w:t>
      </w:r>
      <w:r>
        <w:rPr>
          <w:rFonts w:ascii="Times New Roman" w:hAnsi="Times New Roman"/>
        </w:rPr>
        <w:t>6</w:t>
      </w:r>
      <w:r w:rsidRPr="00C9762D">
        <w:rPr>
          <w:rFonts w:ascii="Times New Roman" w:hAnsi="Times New Roman"/>
        </w:rPr>
        <w:t xml:space="preserve"> sa rozpočtujú v sume </w:t>
      </w:r>
      <w:r>
        <w:rPr>
          <w:rFonts w:ascii="Times New Roman" w:hAnsi="Times New Roman"/>
        </w:rPr>
        <w:t>7,31</w:t>
      </w:r>
      <w:r w:rsidRPr="00C9762D">
        <w:rPr>
          <w:rFonts w:ascii="Times New Roman" w:hAnsi="Times New Roman"/>
        </w:rPr>
        <w:t xml:space="preserve"> mld. eur, čo oproti schválenému rozpočtu na rok 201</w:t>
      </w:r>
      <w:r>
        <w:rPr>
          <w:rFonts w:ascii="Times New Roman" w:hAnsi="Times New Roman"/>
        </w:rPr>
        <w:t>5</w:t>
      </w:r>
      <w:r w:rsidRPr="00C9762D">
        <w:rPr>
          <w:rFonts w:ascii="Times New Roman" w:hAnsi="Times New Roman"/>
        </w:rPr>
        <w:t xml:space="preserve"> predstavuje nárast o</w:t>
      </w:r>
      <w:r>
        <w:rPr>
          <w:rFonts w:ascii="Times New Roman" w:hAnsi="Times New Roman"/>
        </w:rPr>
        <w:t> 2,84</w:t>
      </w:r>
      <w:r w:rsidRPr="00C9762D">
        <w:rPr>
          <w:rFonts w:ascii="Times New Roman" w:hAnsi="Times New Roman"/>
        </w:rPr>
        <w:t xml:space="preserve"> %, v absolútnom vyjadrení </w:t>
        <w:br/>
        <w:t>o </w:t>
      </w:r>
      <w:r>
        <w:rPr>
          <w:rFonts w:ascii="Times New Roman" w:hAnsi="Times New Roman"/>
        </w:rPr>
        <w:t>202</w:t>
      </w:r>
      <w:r w:rsidRPr="00C9762D">
        <w:rPr>
          <w:rFonts w:ascii="Times New Roman" w:hAnsi="Times New Roman"/>
        </w:rPr>
        <w:t xml:space="preserve"> mil. eur.</w:t>
      </w:r>
    </w:p>
    <w:p w:rsidR="006C0389" w:rsidRPr="00784895" w:rsidP="006C0389">
      <w:pPr>
        <w:bidi w:val="0"/>
        <w:ind w:firstLine="708"/>
        <w:jc w:val="both"/>
        <w:rPr>
          <w:rFonts w:ascii="Times New Roman" w:hAnsi="Times New Roman"/>
          <w:sz w:val="16"/>
          <w:szCs w:val="16"/>
          <w:highlight w:val="yellow"/>
        </w:rPr>
      </w:pPr>
    </w:p>
    <w:p w:rsidR="006C0389" w:rsidRPr="00C9762D" w:rsidP="006C0389">
      <w:pPr>
        <w:bidi w:val="0"/>
        <w:ind w:firstLine="708"/>
        <w:jc w:val="both"/>
        <w:rPr>
          <w:rFonts w:ascii="Times New Roman" w:hAnsi="Times New Roman"/>
        </w:rPr>
      </w:pPr>
      <w:r w:rsidRPr="00C9762D">
        <w:rPr>
          <w:rFonts w:ascii="Times New Roman" w:hAnsi="Times New Roman"/>
        </w:rPr>
        <w:t>Výdavky na nemocenské dávky, ktoré sa rozpočtujú v rámci výdavkov sociálneho poistenia, vychádzajú z predpokladu, že percento pracovnej neschopnosti pre chorobu a úraz bude na úrovni očakávanej skutočnosti v roku 201</w:t>
      </w:r>
      <w:r>
        <w:rPr>
          <w:rFonts w:ascii="Times New Roman" w:hAnsi="Times New Roman"/>
        </w:rPr>
        <w:t>5</w:t>
      </w:r>
      <w:r w:rsidRPr="00C9762D">
        <w:rPr>
          <w:rFonts w:ascii="Times New Roman" w:hAnsi="Times New Roman"/>
        </w:rPr>
        <w:t>, t. j. 3,5 %.</w:t>
      </w:r>
    </w:p>
    <w:p w:rsidR="006C0389" w:rsidRPr="00784895" w:rsidP="006C0389">
      <w:pPr>
        <w:bidi w:val="0"/>
        <w:ind w:firstLine="708"/>
        <w:jc w:val="both"/>
        <w:rPr>
          <w:rFonts w:ascii="Times New Roman" w:hAnsi="Times New Roman"/>
          <w:sz w:val="16"/>
          <w:szCs w:val="16"/>
          <w:highlight w:val="yellow"/>
        </w:rPr>
      </w:pPr>
      <w:r w:rsidRPr="00C9762D">
        <w:rPr>
          <w:rFonts w:ascii="Times New Roman" w:hAnsi="Times New Roman"/>
          <w:highlight w:val="yellow"/>
        </w:rPr>
        <w:t xml:space="preserve"> </w:t>
      </w:r>
    </w:p>
    <w:p w:rsidR="006C0389" w:rsidP="006C0389">
      <w:pPr>
        <w:bidi w:val="0"/>
        <w:ind w:firstLine="708"/>
        <w:jc w:val="both"/>
        <w:rPr>
          <w:rFonts w:ascii="Times New Roman" w:hAnsi="Times New Roman"/>
        </w:rPr>
      </w:pPr>
      <w:r w:rsidRPr="00C9762D">
        <w:rPr>
          <w:rFonts w:ascii="Times New Roman" w:hAnsi="Times New Roman"/>
        </w:rPr>
        <w:t xml:space="preserve">Od roku 2013 sa dôchodky zvyšujú o pevnú sumu určenú percentom z priemernej mesačnej sumy jednotlivých druhov dôchodkov. Uvedené percento závisí od priemerného medziročného rastu spotrebiteľských cien a medziročného </w:t>
      </w:r>
      <w:r>
        <w:rPr>
          <w:rFonts w:ascii="Times New Roman" w:hAnsi="Times New Roman"/>
        </w:rPr>
        <w:t>rastu priemernej mesačnej mzdy.</w:t>
      </w:r>
    </w:p>
    <w:p w:rsidR="006C0389" w:rsidRPr="00784895" w:rsidP="006C0389">
      <w:pPr>
        <w:bidi w:val="0"/>
        <w:ind w:firstLine="708"/>
        <w:jc w:val="both"/>
        <w:rPr>
          <w:rFonts w:ascii="Times New Roman" w:hAnsi="Times New Roman"/>
          <w:sz w:val="16"/>
          <w:szCs w:val="16"/>
        </w:rPr>
      </w:pPr>
    </w:p>
    <w:p w:rsidR="006C0389" w:rsidRPr="00C9762D" w:rsidP="006C0389">
      <w:pPr>
        <w:bidi w:val="0"/>
        <w:ind w:firstLine="708"/>
        <w:jc w:val="both"/>
        <w:rPr>
          <w:rFonts w:ascii="Times New Roman" w:hAnsi="Times New Roman"/>
        </w:rPr>
      </w:pPr>
      <w:r w:rsidRPr="00C9762D">
        <w:rPr>
          <w:rFonts w:ascii="Times New Roman" w:hAnsi="Times New Roman"/>
        </w:rPr>
        <w:t>Výdavky správneho fondu na rok 201</w:t>
      </w:r>
      <w:r>
        <w:rPr>
          <w:rFonts w:ascii="Times New Roman" w:hAnsi="Times New Roman"/>
        </w:rPr>
        <w:t>6</w:t>
      </w:r>
      <w:r w:rsidRPr="00C9762D">
        <w:rPr>
          <w:rFonts w:ascii="Times New Roman" w:hAnsi="Times New Roman"/>
        </w:rPr>
        <w:t xml:space="preserve"> sa rozpočtujú v sume 106 mil. eur, čo </w:t>
      </w:r>
      <w:r>
        <w:rPr>
          <w:rFonts w:ascii="Times New Roman" w:hAnsi="Times New Roman"/>
        </w:rPr>
        <w:t>predstavuje úroveň</w:t>
      </w:r>
      <w:r w:rsidRPr="00C9762D">
        <w:rPr>
          <w:rFonts w:ascii="Times New Roman" w:hAnsi="Times New Roman"/>
        </w:rPr>
        <w:t xml:space="preserve"> schválené</w:t>
      </w:r>
      <w:r>
        <w:rPr>
          <w:rFonts w:ascii="Times New Roman" w:hAnsi="Times New Roman"/>
        </w:rPr>
        <w:t>ho</w:t>
      </w:r>
      <w:r w:rsidRPr="00C9762D">
        <w:rPr>
          <w:rFonts w:ascii="Times New Roman" w:hAnsi="Times New Roman"/>
        </w:rPr>
        <w:t xml:space="preserve"> rozpočtu na rok 201</w:t>
      </w:r>
      <w:r>
        <w:rPr>
          <w:rFonts w:ascii="Times New Roman" w:hAnsi="Times New Roman"/>
        </w:rPr>
        <w:t>5</w:t>
      </w:r>
      <w:r w:rsidRPr="00C9762D">
        <w:rPr>
          <w:rFonts w:ascii="Times New Roman" w:hAnsi="Times New Roman"/>
        </w:rPr>
        <w:t>. Výška výdavkov  správneho fondu na rok 201</w:t>
      </w:r>
      <w:r>
        <w:rPr>
          <w:rFonts w:ascii="Times New Roman" w:hAnsi="Times New Roman"/>
        </w:rPr>
        <w:t>6</w:t>
      </w:r>
      <w:r w:rsidRPr="00C9762D">
        <w:rPr>
          <w:rFonts w:ascii="Times New Roman" w:hAnsi="Times New Roman"/>
        </w:rPr>
        <w:t xml:space="preserve"> zabezpečuje plnenie úloh súvisiacich s činnosťou jednotlivých organizačných zložiek Sociálnej poisťovne.</w:t>
      </w:r>
    </w:p>
    <w:p w:rsidR="006C0389" w:rsidRPr="00784895" w:rsidP="006C0389">
      <w:pPr>
        <w:bidi w:val="0"/>
        <w:ind w:firstLine="708"/>
        <w:jc w:val="both"/>
        <w:rPr>
          <w:rFonts w:ascii="Times New Roman" w:hAnsi="Times New Roman"/>
          <w:sz w:val="16"/>
          <w:szCs w:val="16"/>
          <w:highlight w:val="yellow"/>
        </w:rPr>
      </w:pPr>
    </w:p>
    <w:p w:rsidR="006C0389" w:rsidP="006C0389">
      <w:pPr>
        <w:bidi w:val="0"/>
        <w:jc w:val="both"/>
        <w:rPr>
          <w:rFonts w:ascii="Arial Narrow" w:hAnsi="Arial Narrow" w:cs="Arial"/>
          <w:sz w:val="22"/>
          <w:szCs w:val="22"/>
        </w:rPr>
      </w:pPr>
      <w:r w:rsidRPr="00C9762D">
        <w:rPr>
          <w:rFonts w:ascii="Arial Narrow" w:hAnsi="Arial Narrow" w:cs="Arial"/>
          <w:sz w:val="22"/>
          <w:szCs w:val="22"/>
        </w:rPr>
        <w:t xml:space="preserve"> </w:t>
        <w:tab/>
      </w:r>
      <w:r w:rsidRPr="00C9762D">
        <w:rPr>
          <w:rFonts w:ascii="Times New Roman" w:hAnsi="Times New Roman"/>
        </w:rPr>
        <w:t>Celkový hotovostný prebytok Sociálnej poisťovne sa v roku 201</w:t>
      </w:r>
      <w:r>
        <w:rPr>
          <w:rFonts w:ascii="Times New Roman" w:hAnsi="Times New Roman"/>
        </w:rPr>
        <w:t>6</w:t>
      </w:r>
      <w:r w:rsidRPr="00C9762D">
        <w:rPr>
          <w:rFonts w:ascii="Times New Roman" w:hAnsi="Times New Roman"/>
        </w:rPr>
        <w:t xml:space="preserve"> predpokladá vo výške </w:t>
      </w:r>
      <w:r>
        <w:rPr>
          <w:rFonts w:ascii="Times New Roman" w:hAnsi="Times New Roman"/>
        </w:rPr>
        <w:t>541</w:t>
      </w:r>
      <w:r w:rsidRPr="00C9762D">
        <w:rPr>
          <w:rFonts w:ascii="Times New Roman" w:hAnsi="Times New Roman"/>
        </w:rPr>
        <w:t xml:space="preserve"> mil. eur, v roku 201</w:t>
      </w:r>
      <w:r>
        <w:rPr>
          <w:rFonts w:ascii="Times New Roman" w:hAnsi="Times New Roman"/>
        </w:rPr>
        <w:t>7</w:t>
      </w:r>
      <w:r w:rsidRPr="00C9762D">
        <w:rPr>
          <w:rFonts w:ascii="Times New Roman" w:hAnsi="Times New Roman"/>
        </w:rPr>
        <w:t xml:space="preserve"> sa predpokladá celkový prebytok na  úrovni 5</w:t>
      </w:r>
      <w:r>
        <w:rPr>
          <w:rFonts w:ascii="Times New Roman" w:hAnsi="Times New Roman"/>
        </w:rPr>
        <w:t>53</w:t>
      </w:r>
      <w:r w:rsidRPr="00C9762D">
        <w:rPr>
          <w:rFonts w:ascii="Times New Roman" w:hAnsi="Times New Roman"/>
        </w:rPr>
        <w:t xml:space="preserve"> mil. eur </w:t>
      </w:r>
      <w:r w:rsidR="00372110">
        <w:rPr>
          <w:rFonts w:ascii="Times New Roman" w:hAnsi="Times New Roman"/>
        </w:rPr>
        <w:t xml:space="preserve">       </w:t>
      </w:r>
      <w:r w:rsidRPr="00C9762D">
        <w:rPr>
          <w:rFonts w:ascii="Times New Roman" w:hAnsi="Times New Roman"/>
        </w:rPr>
        <w:t>a v roku 201</w:t>
      </w:r>
      <w:r>
        <w:rPr>
          <w:rFonts w:ascii="Times New Roman" w:hAnsi="Times New Roman"/>
        </w:rPr>
        <w:t>8</w:t>
      </w:r>
      <w:r w:rsidRPr="00C9762D">
        <w:rPr>
          <w:rFonts w:ascii="Times New Roman" w:hAnsi="Times New Roman"/>
        </w:rPr>
        <w:t xml:space="preserve"> vo výške </w:t>
      </w:r>
      <w:r>
        <w:rPr>
          <w:rFonts w:ascii="Times New Roman" w:hAnsi="Times New Roman"/>
        </w:rPr>
        <w:t>566</w:t>
      </w:r>
      <w:r w:rsidRPr="00C9762D">
        <w:rPr>
          <w:rFonts w:ascii="Times New Roman" w:hAnsi="Times New Roman"/>
        </w:rPr>
        <w:t xml:space="preserve"> mil. eur. V metodike ESA</w:t>
      </w:r>
      <w:r>
        <w:rPr>
          <w:rFonts w:ascii="Times New Roman" w:hAnsi="Times New Roman"/>
        </w:rPr>
        <w:t xml:space="preserve"> 2010</w:t>
      </w:r>
      <w:r w:rsidRPr="00C9762D">
        <w:rPr>
          <w:rFonts w:ascii="Times New Roman" w:hAnsi="Times New Roman"/>
        </w:rPr>
        <w:t xml:space="preserve"> je predpokladaný </w:t>
      </w:r>
      <w:r>
        <w:rPr>
          <w:rFonts w:ascii="Times New Roman" w:hAnsi="Times New Roman"/>
        </w:rPr>
        <w:t>schodok</w:t>
      </w:r>
      <w:r w:rsidRPr="00C9762D">
        <w:rPr>
          <w:rFonts w:ascii="Times New Roman" w:hAnsi="Times New Roman"/>
        </w:rPr>
        <w:t xml:space="preserve"> hospodárenia Sociálnej poisťovne v roku 201</w:t>
      </w:r>
      <w:r>
        <w:rPr>
          <w:rFonts w:ascii="Times New Roman" w:hAnsi="Times New Roman"/>
        </w:rPr>
        <w:t>6</w:t>
      </w:r>
      <w:r w:rsidRPr="00C9762D">
        <w:rPr>
          <w:rFonts w:ascii="Times New Roman" w:hAnsi="Times New Roman"/>
        </w:rPr>
        <w:t xml:space="preserve"> vo výške</w:t>
      </w:r>
      <w:r>
        <w:rPr>
          <w:rFonts w:ascii="Times New Roman" w:hAnsi="Times New Roman"/>
        </w:rPr>
        <w:t xml:space="preserve"> 94,4 </w:t>
      </w:r>
      <w:r w:rsidRPr="00C9762D">
        <w:rPr>
          <w:rFonts w:ascii="Times New Roman" w:hAnsi="Times New Roman"/>
        </w:rPr>
        <w:t>mil. eur, v roku 201</w:t>
      </w:r>
      <w:r>
        <w:rPr>
          <w:rFonts w:ascii="Times New Roman" w:hAnsi="Times New Roman"/>
        </w:rPr>
        <w:t>7</w:t>
      </w:r>
      <w:r w:rsidRPr="00C9762D">
        <w:rPr>
          <w:rFonts w:ascii="Times New Roman" w:hAnsi="Times New Roman"/>
        </w:rPr>
        <w:t xml:space="preserve"> prebytok vo výške </w:t>
      </w:r>
      <w:r>
        <w:rPr>
          <w:rFonts w:ascii="Times New Roman" w:hAnsi="Times New Roman"/>
        </w:rPr>
        <w:t>36,6</w:t>
      </w:r>
      <w:r w:rsidRPr="00C9762D">
        <w:rPr>
          <w:rFonts w:ascii="Times New Roman" w:hAnsi="Times New Roman"/>
        </w:rPr>
        <w:t xml:space="preserve"> mil. eur a v roku 201</w:t>
      </w:r>
      <w:r>
        <w:rPr>
          <w:rFonts w:ascii="Times New Roman" w:hAnsi="Times New Roman"/>
        </w:rPr>
        <w:t>8</w:t>
      </w:r>
      <w:r w:rsidRPr="00C9762D">
        <w:rPr>
          <w:rFonts w:ascii="Times New Roman" w:hAnsi="Times New Roman"/>
        </w:rPr>
        <w:t xml:space="preserve"> prebytok vo výške </w:t>
      </w:r>
      <w:r>
        <w:rPr>
          <w:rFonts w:ascii="Times New Roman" w:hAnsi="Times New Roman"/>
        </w:rPr>
        <w:t>38,8</w:t>
      </w:r>
      <w:r w:rsidRPr="00C9762D">
        <w:rPr>
          <w:rFonts w:ascii="Times New Roman" w:hAnsi="Times New Roman"/>
        </w:rPr>
        <w:t xml:space="preserve"> mil. eur</w:t>
      </w:r>
      <w:r w:rsidRPr="00C9762D">
        <w:rPr>
          <w:rFonts w:ascii="Arial Narrow" w:hAnsi="Arial Narrow" w:cs="Arial"/>
          <w:sz w:val="22"/>
          <w:szCs w:val="22"/>
        </w:rPr>
        <w:t>.</w:t>
      </w:r>
    </w:p>
    <w:p w:rsidR="006C0389" w:rsidP="006C0389">
      <w:pPr>
        <w:bidi w:val="0"/>
        <w:jc w:val="both"/>
        <w:rPr>
          <w:rFonts w:ascii="Times New Roman" w:hAnsi="Times New Roman"/>
        </w:rPr>
      </w:pPr>
    </w:p>
    <w:p w:rsidR="006C0389" w:rsidRPr="00F64586" w:rsidP="006C0389">
      <w:pPr>
        <w:bidi w:val="0"/>
        <w:jc w:val="both"/>
        <w:rPr>
          <w:rFonts w:ascii="Times New Roman" w:hAnsi="Times New Roman"/>
          <w:b/>
          <w:bCs/>
        </w:rPr>
      </w:pPr>
      <w:r w:rsidRPr="00F64586">
        <w:rPr>
          <w:rFonts w:ascii="Times New Roman" w:hAnsi="Times New Roman"/>
          <w:b/>
          <w:bCs/>
        </w:rPr>
        <w:t xml:space="preserve">3. Verejné zdravotné poistenie             </w:t>
      </w:r>
    </w:p>
    <w:p w:rsidR="006C0389" w:rsidRPr="00F64586" w:rsidP="006C0389">
      <w:pPr>
        <w:bidi w:val="0"/>
        <w:jc w:val="both"/>
        <w:rPr>
          <w:rFonts w:ascii="Times New Roman" w:hAnsi="Times New Roman"/>
          <w:sz w:val="16"/>
          <w:szCs w:val="16"/>
        </w:rPr>
      </w:pPr>
    </w:p>
    <w:p w:rsidR="006C0389" w:rsidRPr="00F64586" w:rsidP="006C0389">
      <w:pPr>
        <w:bidi w:val="0"/>
        <w:ind w:firstLine="708"/>
        <w:jc w:val="both"/>
        <w:rPr>
          <w:rFonts w:ascii="Times New Roman" w:hAnsi="Times New Roman"/>
        </w:rPr>
      </w:pPr>
      <w:r w:rsidRPr="00F64586">
        <w:rPr>
          <w:rFonts w:ascii="Times New Roman" w:hAnsi="Times New Roman"/>
        </w:rPr>
        <w:t xml:space="preserve">Návrh rozpočtu zohľadňuje septembrovú makroekonomickú </w:t>
      </w:r>
      <w:r>
        <w:rPr>
          <w:rFonts w:ascii="Times New Roman" w:hAnsi="Times New Roman"/>
        </w:rPr>
        <w:t xml:space="preserve">aj daňovo-odvodovú </w:t>
      </w:r>
      <w:r w:rsidRPr="00F64586">
        <w:rPr>
          <w:rFonts w:ascii="Times New Roman" w:hAnsi="Times New Roman"/>
        </w:rPr>
        <w:t>prognózu</w:t>
      </w:r>
      <w:r>
        <w:rPr>
          <w:rFonts w:ascii="Times New Roman" w:hAnsi="Times New Roman"/>
        </w:rPr>
        <w:t xml:space="preserve"> </w:t>
      </w:r>
      <w:r w:rsidRPr="00F64586">
        <w:rPr>
          <w:rFonts w:ascii="Times New Roman" w:hAnsi="Times New Roman"/>
        </w:rPr>
        <w:t>Ministerstva financií SR</w:t>
      </w:r>
      <w:r>
        <w:rPr>
          <w:rFonts w:ascii="Times New Roman" w:hAnsi="Times New Roman"/>
        </w:rPr>
        <w:t xml:space="preserve"> a zavedenie odvodovej odpočítateľnej položky</w:t>
      </w:r>
      <w:r w:rsidRPr="00F64586">
        <w:rPr>
          <w:rFonts w:ascii="Times New Roman" w:hAnsi="Times New Roman"/>
        </w:rPr>
        <w:t>.</w:t>
      </w:r>
    </w:p>
    <w:p w:rsidR="006C0389" w:rsidRPr="00F64586" w:rsidP="006C0389">
      <w:pPr>
        <w:bidi w:val="0"/>
        <w:ind w:firstLine="708"/>
        <w:jc w:val="both"/>
        <w:rPr>
          <w:rFonts w:ascii="Times New Roman" w:hAnsi="Times New Roman"/>
          <w:sz w:val="16"/>
          <w:szCs w:val="16"/>
        </w:rPr>
      </w:pPr>
    </w:p>
    <w:p w:rsidR="006C0389" w:rsidP="006C0389">
      <w:pPr>
        <w:bidi w:val="0"/>
        <w:ind w:firstLine="708"/>
        <w:jc w:val="both"/>
        <w:rPr>
          <w:rFonts w:ascii="Times New Roman" w:hAnsi="Times New Roman"/>
        </w:rPr>
      </w:pPr>
      <w:r w:rsidRPr="00F64586">
        <w:rPr>
          <w:rFonts w:ascii="Times New Roman" w:hAnsi="Times New Roman"/>
        </w:rPr>
        <w:t>Vývoj príjmovej a výdavkovej časti rozpočtu verejného zd</w:t>
      </w:r>
      <w:r>
        <w:rPr>
          <w:rFonts w:ascii="Times New Roman" w:hAnsi="Times New Roman"/>
        </w:rPr>
        <w:t>ravotného poistenia na roky 2016 až 2018</w:t>
      </w:r>
      <w:r w:rsidRPr="00F64586">
        <w:rPr>
          <w:rFonts w:ascii="Times New Roman" w:hAnsi="Times New Roman"/>
        </w:rPr>
        <w:t xml:space="preserve"> je v porovnaní s predchádzajúcimi rokmi nasledovný:</w:t>
      </w: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357B76">
      <w:pPr>
        <w:bidi w:val="0"/>
        <w:jc w:val="both"/>
        <w:rPr>
          <w:rFonts w:ascii="Times New Roman" w:hAnsi="Times New Roman"/>
        </w:rPr>
      </w:pPr>
    </w:p>
    <w:p w:rsidR="00357B76" w:rsidP="00357B76">
      <w:pPr>
        <w:bidi w:val="0"/>
        <w:jc w:val="both"/>
        <w:rPr>
          <w:rFonts w:ascii="Times New Roman" w:hAnsi="Times New Roman"/>
        </w:rPr>
      </w:pPr>
    </w:p>
    <w:p w:rsidR="006C0389" w:rsidRPr="00372110" w:rsidP="006C0389">
      <w:pPr>
        <w:bidi w:val="0"/>
        <w:ind w:firstLine="708"/>
        <w:jc w:val="both"/>
        <w:rPr>
          <w:rFonts w:ascii="Times New Roman" w:hAnsi="Times New Roman"/>
          <w:sz w:val="16"/>
          <w:szCs w:val="16"/>
        </w:rPr>
      </w:pPr>
    </w:p>
    <w:tbl>
      <w:tblPr>
        <w:tblStyle w:val="TableNormal"/>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905"/>
        <w:gridCol w:w="797"/>
        <w:gridCol w:w="825"/>
        <w:gridCol w:w="784"/>
        <w:gridCol w:w="776"/>
        <w:gridCol w:w="732"/>
        <w:gridCol w:w="792"/>
        <w:gridCol w:w="730"/>
      </w:tblGrid>
      <w:tr>
        <w:tblPrEx>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shd w:val="pct35" w:color="A6A6A6" w:fill="A6A6A6"/>
            <w:noWrap/>
            <w:textDirection w:val="lrTb"/>
            <w:vAlign w:val="center"/>
            <w:hideMark/>
          </w:tcPr>
          <w:p w:rsidR="006C0389" w:rsidRPr="005240DB" w:rsidP="000008FE">
            <w:pPr>
              <w:bidi w:val="0"/>
              <w:rPr>
                <w:rFonts w:ascii="Times New Roman" w:hAnsi="Times New Roman"/>
                <w:b/>
                <w:bCs/>
                <w:color w:val="000000"/>
                <w:sz w:val="14"/>
                <w:szCs w:val="14"/>
              </w:rPr>
            </w:pPr>
            <w:r w:rsidRPr="005240DB">
              <w:rPr>
                <w:rFonts w:ascii="Times New Roman" w:hAnsi="Times New Roman"/>
                <w:b/>
                <w:bCs/>
                <w:color w:val="000000"/>
                <w:sz w:val="14"/>
                <w:szCs w:val="14"/>
              </w:rPr>
              <w:t>v tis. eur</w:t>
            </w:r>
          </w:p>
        </w:tc>
        <w:tc>
          <w:tcPr>
            <w:tcW w:w="797" w:type="dxa"/>
            <w:tcBorders>
              <w:top w:val="single" w:sz="4" w:space="0" w:color="auto"/>
              <w:left w:val="single" w:sz="4" w:space="0" w:color="auto"/>
              <w:bottom w:val="single" w:sz="4" w:space="0" w:color="auto"/>
              <w:right w:val="single" w:sz="4" w:space="0" w:color="auto"/>
            </w:tcBorders>
            <w:shd w:val="pct35" w:color="A6A6A6" w:fill="A6A6A6"/>
            <w:noWrap/>
            <w:textDirection w:val="lrTb"/>
            <w:vAlign w:val="center"/>
            <w:hideMark/>
          </w:tcPr>
          <w:p w:rsidR="006C0389" w:rsidRPr="005240DB" w:rsidP="000008FE">
            <w:pPr>
              <w:bidi w:val="0"/>
              <w:jc w:val="center"/>
              <w:rPr>
                <w:rFonts w:ascii="Times New Roman" w:hAnsi="Times New Roman"/>
                <w:b/>
                <w:bCs/>
                <w:color w:val="000000"/>
                <w:sz w:val="14"/>
                <w:szCs w:val="14"/>
              </w:rPr>
            </w:pPr>
            <w:r w:rsidRPr="005240DB">
              <w:rPr>
                <w:rFonts w:ascii="Times New Roman" w:hAnsi="Times New Roman"/>
                <w:b/>
                <w:bCs/>
                <w:color w:val="000000"/>
                <w:sz w:val="14"/>
                <w:szCs w:val="14"/>
              </w:rPr>
              <w:t>2013 S</w:t>
            </w:r>
          </w:p>
        </w:tc>
        <w:tc>
          <w:tcPr>
            <w:tcW w:w="825" w:type="dxa"/>
            <w:tcBorders>
              <w:top w:val="single" w:sz="4" w:space="0" w:color="auto"/>
              <w:left w:val="single" w:sz="4" w:space="0" w:color="auto"/>
              <w:bottom w:val="single" w:sz="4" w:space="0" w:color="auto"/>
              <w:right w:val="single" w:sz="4" w:space="0" w:color="auto"/>
            </w:tcBorders>
            <w:shd w:val="pct35" w:color="A6A6A6" w:fill="A6A6A6"/>
            <w:noWrap/>
            <w:textDirection w:val="lrTb"/>
            <w:vAlign w:val="center"/>
            <w:hideMark/>
          </w:tcPr>
          <w:p w:rsidR="006C0389" w:rsidRPr="005240DB" w:rsidP="000008FE">
            <w:pPr>
              <w:bidi w:val="0"/>
              <w:jc w:val="center"/>
              <w:rPr>
                <w:rFonts w:ascii="Times New Roman" w:hAnsi="Times New Roman"/>
                <w:b/>
                <w:bCs/>
                <w:color w:val="000000"/>
                <w:sz w:val="14"/>
                <w:szCs w:val="14"/>
              </w:rPr>
            </w:pPr>
            <w:r w:rsidRPr="005240DB">
              <w:rPr>
                <w:rFonts w:ascii="Times New Roman" w:hAnsi="Times New Roman"/>
                <w:b/>
                <w:bCs/>
                <w:color w:val="000000"/>
                <w:sz w:val="14"/>
                <w:szCs w:val="14"/>
              </w:rPr>
              <w:t>2014 S</w:t>
            </w:r>
          </w:p>
        </w:tc>
        <w:tc>
          <w:tcPr>
            <w:tcW w:w="784" w:type="dxa"/>
            <w:tcBorders>
              <w:top w:val="single" w:sz="4" w:space="0" w:color="auto"/>
              <w:left w:val="single" w:sz="4" w:space="0" w:color="auto"/>
              <w:bottom w:val="single" w:sz="4" w:space="0" w:color="auto"/>
              <w:right w:val="single" w:sz="4" w:space="0" w:color="auto"/>
            </w:tcBorders>
            <w:shd w:val="pct35" w:color="A6A6A6" w:fill="A6A6A6"/>
            <w:noWrap/>
            <w:textDirection w:val="lrTb"/>
            <w:vAlign w:val="center"/>
            <w:hideMark/>
          </w:tcPr>
          <w:p w:rsidR="006C0389" w:rsidRPr="005240DB" w:rsidP="000008FE">
            <w:pPr>
              <w:bidi w:val="0"/>
              <w:jc w:val="center"/>
              <w:rPr>
                <w:rFonts w:ascii="Times New Roman" w:hAnsi="Times New Roman"/>
                <w:b/>
                <w:bCs/>
                <w:color w:val="000000"/>
                <w:sz w:val="14"/>
                <w:szCs w:val="14"/>
              </w:rPr>
            </w:pPr>
            <w:r w:rsidRPr="005240DB">
              <w:rPr>
                <w:rFonts w:ascii="Times New Roman" w:hAnsi="Times New Roman"/>
                <w:b/>
                <w:bCs/>
                <w:color w:val="000000"/>
                <w:sz w:val="14"/>
                <w:szCs w:val="14"/>
              </w:rPr>
              <w:t xml:space="preserve">2015 R </w:t>
            </w:r>
          </w:p>
        </w:tc>
        <w:tc>
          <w:tcPr>
            <w:tcW w:w="776" w:type="dxa"/>
            <w:tcBorders>
              <w:top w:val="single" w:sz="4" w:space="0" w:color="auto"/>
              <w:left w:val="single" w:sz="4" w:space="0" w:color="auto"/>
              <w:bottom w:val="single" w:sz="4" w:space="0" w:color="auto"/>
              <w:right w:val="single" w:sz="4" w:space="0" w:color="auto"/>
            </w:tcBorders>
            <w:shd w:val="pct35" w:color="A6A6A6" w:fill="A6A6A6"/>
            <w:noWrap/>
            <w:textDirection w:val="lrTb"/>
            <w:vAlign w:val="center"/>
            <w:hideMark/>
          </w:tcPr>
          <w:p w:rsidR="006C0389" w:rsidRPr="005240DB" w:rsidP="000008FE">
            <w:pPr>
              <w:bidi w:val="0"/>
              <w:jc w:val="center"/>
              <w:rPr>
                <w:rFonts w:ascii="Times New Roman" w:hAnsi="Times New Roman"/>
                <w:b/>
                <w:bCs/>
                <w:color w:val="000000"/>
                <w:sz w:val="14"/>
                <w:szCs w:val="14"/>
              </w:rPr>
            </w:pPr>
            <w:r w:rsidRPr="005240DB">
              <w:rPr>
                <w:rFonts w:ascii="Times New Roman" w:hAnsi="Times New Roman"/>
                <w:b/>
                <w:bCs/>
                <w:color w:val="000000"/>
                <w:sz w:val="14"/>
                <w:szCs w:val="14"/>
              </w:rPr>
              <w:t>2015 OS</w:t>
            </w:r>
          </w:p>
        </w:tc>
        <w:tc>
          <w:tcPr>
            <w:tcW w:w="732" w:type="dxa"/>
            <w:tcBorders>
              <w:top w:val="single" w:sz="4" w:space="0" w:color="auto"/>
              <w:left w:val="single" w:sz="4" w:space="0" w:color="auto"/>
              <w:bottom w:val="single" w:sz="4" w:space="0" w:color="auto"/>
              <w:right w:val="single" w:sz="4" w:space="0" w:color="auto"/>
            </w:tcBorders>
            <w:shd w:val="pct35" w:color="A6A6A6" w:fill="A6A6A6"/>
            <w:noWrap/>
            <w:textDirection w:val="lrTb"/>
            <w:vAlign w:val="center"/>
            <w:hideMark/>
          </w:tcPr>
          <w:p w:rsidR="006C0389" w:rsidRPr="005240DB" w:rsidP="000008FE">
            <w:pPr>
              <w:bidi w:val="0"/>
              <w:jc w:val="center"/>
              <w:rPr>
                <w:rFonts w:ascii="Times New Roman" w:hAnsi="Times New Roman"/>
                <w:b/>
                <w:bCs/>
                <w:color w:val="000000"/>
                <w:sz w:val="14"/>
                <w:szCs w:val="14"/>
              </w:rPr>
            </w:pPr>
            <w:r w:rsidRPr="005240DB">
              <w:rPr>
                <w:rFonts w:ascii="Times New Roman" w:hAnsi="Times New Roman"/>
                <w:b/>
                <w:bCs/>
                <w:color w:val="000000"/>
                <w:sz w:val="14"/>
                <w:szCs w:val="14"/>
              </w:rPr>
              <w:t>2016 N</w:t>
            </w:r>
          </w:p>
        </w:tc>
        <w:tc>
          <w:tcPr>
            <w:tcW w:w="792" w:type="dxa"/>
            <w:tcBorders>
              <w:top w:val="single" w:sz="4" w:space="0" w:color="auto"/>
              <w:left w:val="single" w:sz="4" w:space="0" w:color="auto"/>
              <w:bottom w:val="single" w:sz="4" w:space="0" w:color="auto"/>
              <w:right w:val="single" w:sz="4" w:space="0" w:color="auto"/>
            </w:tcBorders>
            <w:shd w:val="pct35" w:color="A6A6A6" w:fill="A6A6A6"/>
            <w:noWrap/>
            <w:textDirection w:val="lrTb"/>
            <w:vAlign w:val="center"/>
            <w:hideMark/>
          </w:tcPr>
          <w:p w:rsidR="006C0389" w:rsidRPr="005240DB" w:rsidP="000008FE">
            <w:pPr>
              <w:bidi w:val="0"/>
              <w:jc w:val="center"/>
              <w:rPr>
                <w:rFonts w:ascii="Times New Roman" w:hAnsi="Times New Roman"/>
                <w:b/>
                <w:bCs/>
                <w:color w:val="000000"/>
                <w:sz w:val="14"/>
                <w:szCs w:val="14"/>
              </w:rPr>
            </w:pPr>
            <w:r w:rsidRPr="005240DB">
              <w:rPr>
                <w:rFonts w:ascii="Times New Roman" w:hAnsi="Times New Roman"/>
                <w:b/>
                <w:bCs/>
                <w:color w:val="000000"/>
                <w:sz w:val="14"/>
                <w:szCs w:val="14"/>
              </w:rPr>
              <w:t>2017 N</w:t>
            </w:r>
          </w:p>
        </w:tc>
        <w:tc>
          <w:tcPr>
            <w:tcW w:w="730" w:type="dxa"/>
            <w:tcBorders>
              <w:top w:val="single" w:sz="4" w:space="0" w:color="auto"/>
              <w:left w:val="single" w:sz="4" w:space="0" w:color="auto"/>
              <w:bottom w:val="single" w:sz="4" w:space="0" w:color="auto"/>
              <w:right w:val="single" w:sz="4" w:space="0" w:color="auto"/>
            </w:tcBorders>
            <w:shd w:val="pct35" w:color="A6A6A6" w:fill="A6A6A6"/>
            <w:noWrap/>
            <w:textDirection w:val="lrTb"/>
            <w:vAlign w:val="center"/>
            <w:hideMark/>
          </w:tcPr>
          <w:p w:rsidR="006C0389" w:rsidRPr="005240DB" w:rsidP="000008FE">
            <w:pPr>
              <w:bidi w:val="0"/>
              <w:jc w:val="center"/>
              <w:rPr>
                <w:rFonts w:ascii="Times New Roman" w:hAnsi="Times New Roman"/>
                <w:b/>
                <w:bCs/>
                <w:color w:val="000000"/>
                <w:sz w:val="14"/>
                <w:szCs w:val="14"/>
              </w:rPr>
            </w:pPr>
            <w:r w:rsidRPr="005240DB">
              <w:rPr>
                <w:rFonts w:ascii="Times New Roman" w:hAnsi="Times New Roman"/>
                <w:b/>
                <w:bCs/>
                <w:color w:val="000000"/>
                <w:sz w:val="14"/>
                <w:szCs w:val="14"/>
              </w:rPr>
              <w:t>2018 N</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rPr>
                <w:rFonts w:ascii="Times New Roman" w:hAnsi="Times New Roman"/>
                <w:b/>
                <w:bCs/>
                <w:color w:val="000000"/>
                <w:sz w:val="14"/>
                <w:szCs w:val="14"/>
              </w:rPr>
            </w:pPr>
            <w:r w:rsidRPr="005240DB">
              <w:rPr>
                <w:rFonts w:ascii="Times New Roman" w:hAnsi="Times New Roman"/>
                <w:b/>
                <w:bCs/>
                <w:color w:val="000000"/>
                <w:sz w:val="14"/>
                <w:szCs w:val="14"/>
              </w:rPr>
              <w:t>Príjmy verejného zdravotného poistenia spolu</w:t>
            </w:r>
          </w:p>
        </w:tc>
        <w:tc>
          <w:tcPr>
            <w:tcW w:w="797"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4 223 716</w:t>
            </w:r>
          </w:p>
        </w:tc>
        <w:tc>
          <w:tcPr>
            <w:tcW w:w="825"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4 314 643</w:t>
            </w:r>
          </w:p>
        </w:tc>
        <w:tc>
          <w:tcPr>
            <w:tcW w:w="784"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4 260 343</w:t>
            </w:r>
          </w:p>
        </w:tc>
        <w:tc>
          <w:tcPr>
            <w:tcW w:w="776"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4 492 121</w:t>
            </w:r>
          </w:p>
        </w:tc>
        <w:tc>
          <w:tcPr>
            <w:tcW w:w="732"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4 535 477</w:t>
            </w:r>
          </w:p>
        </w:tc>
        <w:tc>
          <w:tcPr>
            <w:tcW w:w="792"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4 621 653</w:t>
            </w:r>
          </w:p>
        </w:tc>
        <w:tc>
          <w:tcPr>
            <w:tcW w:w="730"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4 841 353</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0008FE">
            <w:pPr>
              <w:bidi w:val="0"/>
              <w:rPr>
                <w:rFonts w:ascii="Times New Roman" w:hAnsi="Times New Roman"/>
                <w:b/>
                <w:bCs/>
                <w:i/>
                <w:iCs/>
                <w:color w:val="000000"/>
                <w:sz w:val="14"/>
                <w:szCs w:val="14"/>
              </w:rPr>
            </w:pPr>
            <w:r w:rsidRPr="005240DB">
              <w:rPr>
                <w:rFonts w:ascii="Times New Roman" w:hAnsi="Times New Roman"/>
                <w:b/>
                <w:bCs/>
                <w:i/>
                <w:iCs/>
                <w:color w:val="000000"/>
                <w:sz w:val="14"/>
                <w:szCs w:val="14"/>
              </w:rPr>
              <w:t>z toho: </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   daňové príjmy, z toho:</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3 892 846</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3 984 954</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3 994 807</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4 234 796</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4 234 941</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4 327 117</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4 553 817</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ekonomicky aktívne osoby (EAO)  </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2 563 058</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2 717 782</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2 660 357</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2 812 012</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2 937 773</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3 081 831</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3 255 040</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platba štátu  (preddavky)  </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1 248 446</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1 190 366</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1 280 555</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1 367 485</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1 377 769</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1 313 015</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1 353 347</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ročné zúčtovanie poistného od EAO</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48 238</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52 163</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52 486</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53 401</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-81 749</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-68 877</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-55 718</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ročné zúčtovanie poistného od štátu</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28 382</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21 169</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sankcie súvisiace s poistným</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1 409</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1 148</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1 409</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1 148</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1 148</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1 148</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1 148</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odplata za postúpenie pohľadávky ZP</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3 313</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2 326</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750</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   nedaňové príjmy</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24 641</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31 929</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30 421</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30 421</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30 421</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30 421</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30 421</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   transfery v rámci VS</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171</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19</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115</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115</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115</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115</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115</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60040C">
            <w:pPr>
              <w:bidi w:val="0"/>
              <w:rPr>
                <w:rFonts w:ascii="Times New Roman" w:hAnsi="Times New Roman"/>
                <w:color w:val="000000"/>
                <w:sz w:val="14"/>
                <w:szCs w:val="14"/>
              </w:rPr>
            </w:pPr>
            <w:r w:rsidRPr="005240DB">
              <w:rPr>
                <w:rFonts w:ascii="Times New Roman" w:hAnsi="Times New Roman"/>
                <w:color w:val="000000"/>
                <w:sz w:val="14"/>
                <w:szCs w:val="14"/>
              </w:rPr>
              <w:t xml:space="preserve">  ▪    zostatok prostriedk</w:t>
            </w:r>
            <w:r w:rsidR="0060040C">
              <w:rPr>
                <w:rFonts w:ascii="Times New Roman" w:hAnsi="Times New Roman"/>
                <w:color w:val="000000"/>
                <w:sz w:val="14"/>
                <w:szCs w:val="14"/>
              </w:rPr>
              <w:t>ov</w:t>
            </w:r>
            <w:r w:rsidRPr="005240DB">
              <w:rPr>
                <w:rFonts w:ascii="Times New Roman" w:hAnsi="Times New Roman"/>
                <w:color w:val="000000"/>
                <w:sz w:val="14"/>
                <w:szCs w:val="14"/>
              </w:rPr>
              <w:t xml:space="preserve"> z predchádzajúcich rokov  (FO)</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306 058</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297 741</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235 000</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226 789</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270 000</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264 000</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257 000</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rPr>
                <w:rFonts w:ascii="Times New Roman" w:hAnsi="Times New Roman"/>
                <w:b/>
                <w:bCs/>
                <w:color w:val="000000"/>
                <w:sz w:val="14"/>
                <w:szCs w:val="14"/>
              </w:rPr>
            </w:pPr>
            <w:r w:rsidRPr="005240DB">
              <w:rPr>
                <w:rFonts w:ascii="Times New Roman" w:hAnsi="Times New Roman"/>
                <w:b/>
                <w:bCs/>
                <w:color w:val="000000"/>
                <w:sz w:val="14"/>
                <w:szCs w:val="14"/>
              </w:rPr>
              <w:t>Výdavky verejného zdravotného poistenia spolu</w:t>
            </w:r>
          </w:p>
        </w:tc>
        <w:tc>
          <w:tcPr>
            <w:tcW w:w="797"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3 927 074</w:t>
            </w:r>
          </w:p>
        </w:tc>
        <w:tc>
          <w:tcPr>
            <w:tcW w:w="825"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4 087 854</w:t>
            </w:r>
          </w:p>
        </w:tc>
        <w:tc>
          <w:tcPr>
            <w:tcW w:w="784"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3 987 343</w:t>
            </w:r>
          </w:p>
        </w:tc>
        <w:tc>
          <w:tcPr>
            <w:tcW w:w="776"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4 222 121</w:t>
            </w:r>
          </w:p>
        </w:tc>
        <w:tc>
          <w:tcPr>
            <w:tcW w:w="732"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4 271 477</w:t>
            </w:r>
          </w:p>
        </w:tc>
        <w:tc>
          <w:tcPr>
            <w:tcW w:w="792"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4 364 653</w:t>
            </w:r>
          </w:p>
        </w:tc>
        <w:tc>
          <w:tcPr>
            <w:tcW w:w="730"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4 592 353</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0008FE">
            <w:pPr>
              <w:bidi w:val="0"/>
              <w:rPr>
                <w:rFonts w:ascii="Times New Roman" w:hAnsi="Times New Roman"/>
                <w:b/>
                <w:bCs/>
                <w:i/>
                <w:iCs/>
                <w:color w:val="000000"/>
                <w:sz w:val="14"/>
                <w:szCs w:val="14"/>
              </w:rPr>
            </w:pPr>
            <w:r w:rsidRPr="005240DB">
              <w:rPr>
                <w:rFonts w:ascii="Times New Roman" w:hAnsi="Times New Roman"/>
                <w:b/>
                <w:bCs/>
                <w:i/>
                <w:iCs/>
                <w:color w:val="000000"/>
                <w:sz w:val="14"/>
                <w:szCs w:val="14"/>
              </w:rPr>
              <w:t>z toho: </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   výdavky poistenia</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3 672 270</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3 882 150</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3 731 975</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4 005 466</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4 047 870</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4 136 649</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4 355 268</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   výdavky na prevádzkové činnosti štátnej zdravotnej poisťovne    </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68 869</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72 148</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77 167</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83 639</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83 124</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85 883</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90 829</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   úhrada za správu verejného zdravotného poistenia</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45 615</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50 237</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56 653</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58 007</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57 568</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59 196</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62 270</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   príspevok na činnosť UDZS*</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16 072</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16 810</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16 881</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17 021</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18 096</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18 099</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18 494</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   príspevok na činnosť OS ZZS**</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12 501</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13 075</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13 130</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13 238</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14 074</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14 077</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14 384</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   príspevok na činnosť NCZI***</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14 370</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10 086</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10 129</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10 212</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16 487</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16 491</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16 850</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  iné úhrady - záväzky </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97 377</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38</w:t>
            </w:r>
            <w:r>
              <w:rPr>
                <w:rFonts w:ascii="Times New Roman" w:hAnsi="Times New Roman"/>
                <w:color w:val="000000"/>
                <w:sz w:val="14"/>
                <w:szCs w:val="14"/>
              </w:rPr>
              <w:t xml:space="preserve"> </w:t>
            </w:r>
            <w:r w:rsidRPr="005240DB">
              <w:rPr>
                <w:rFonts w:ascii="Times New Roman" w:hAnsi="Times New Roman"/>
                <w:color w:val="000000"/>
                <w:sz w:val="14"/>
                <w:szCs w:val="14"/>
              </w:rPr>
              <w:t>542</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73 250</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26 380</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26 250</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26 250</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26 250</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   výdavkové finančné operácie</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rPr>
                <w:rFonts w:ascii="Times New Roman" w:hAnsi="Times New Roman"/>
                <w:b/>
                <w:bCs/>
                <w:color w:val="000000"/>
                <w:sz w:val="14"/>
                <w:szCs w:val="14"/>
              </w:rPr>
            </w:pPr>
            <w:r w:rsidRPr="005240DB">
              <w:rPr>
                <w:rFonts w:ascii="Times New Roman" w:hAnsi="Times New Roman"/>
                <w:b/>
                <w:bCs/>
                <w:color w:val="000000"/>
                <w:sz w:val="14"/>
                <w:szCs w:val="14"/>
              </w:rPr>
              <w:t>Celkový prebytok verejného zdravotného poistenia</w:t>
            </w:r>
          </w:p>
        </w:tc>
        <w:tc>
          <w:tcPr>
            <w:tcW w:w="797"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296 642</w:t>
            </w:r>
          </w:p>
        </w:tc>
        <w:tc>
          <w:tcPr>
            <w:tcW w:w="825"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226 789</w:t>
            </w:r>
          </w:p>
        </w:tc>
        <w:tc>
          <w:tcPr>
            <w:tcW w:w="784"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273 000</w:t>
            </w:r>
          </w:p>
        </w:tc>
        <w:tc>
          <w:tcPr>
            <w:tcW w:w="776"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270 000</w:t>
            </w:r>
          </w:p>
        </w:tc>
        <w:tc>
          <w:tcPr>
            <w:tcW w:w="732"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264 000</w:t>
            </w:r>
          </w:p>
        </w:tc>
        <w:tc>
          <w:tcPr>
            <w:tcW w:w="792"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257 000</w:t>
            </w:r>
          </w:p>
        </w:tc>
        <w:tc>
          <w:tcPr>
            <w:tcW w:w="730"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249 000</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b/>
                <w:bCs/>
                <w:i/>
                <w:iCs/>
                <w:color w:val="000000"/>
                <w:sz w:val="14"/>
                <w:szCs w:val="14"/>
              </w:rPr>
            </w:pPr>
            <w:r w:rsidRPr="005240DB">
              <w:rPr>
                <w:rFonts w:ascii="Times New Roman" w:hAnsi="Times New Roman"/>
                <w:b/>
                <w:bCs/>
                <w:i/>
                <w:iCs/>
                <w:color w:val="000000"/>
                <w:sz w:val="14"/>
                <w:szCs w:val="14"/>
              </w:rPr>
              <w:t>vylúčenie finančných operácií</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i/>
                <w:iCs/>
                <w:color w:val="000000"/>
                <w:sz w:val="14"/>
                <w:szCs w:val="14"/>
              </w:rPr>
            </w:pPr>
            <w:r w:rsidRPr="005240DB">
              <w:rPr>
                <w:rFonts w:ascii="Times New Roman" w:hAnsi="Times New Roman"/>
                <w:b/>
                <w:bCs/>
                <w:i/>
                <w:iCs/>
                <w:color w:val="000000"/>
                <w:sz w:val="14"/>
                <w:szCs w:val="14"/>
              </w:rPr>
              <w:t>-306 058</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i/>
                <w:iCs/>
                <w:color w:val="000000"/>
                <w:sz w:val="14"/>
                <w:szCs w:val="14"/>
              </w:rPr>
            </w:pPr>
            <w:r w:rsidRPr="005240DB">
              <w:rPr>
                <w:rFonts w:ascii="Times New Roman" w:hAnsi="Times New Roman"/>
                <w:b/>
                <w:bCs/>
                <w:i/>
                <w:iCs/>
                <w:color w:val="000000"/>
                <w:sz w:val="14"/>
                <w:szCs w:val="14"/>
              </w:rPr>
              <w:t>-297 741</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i/>
                <w:iCs/>
                <w:color w:val="000000"/>
                <w:sz w:val="14"/>
                <w:szCs w:val="14"/>
              </w:rPr>
            </w:pPr>
            <w:r w:rsidRPr="005240DB">
              <w:rPr>
                <w:rFonts w:ascii="Times New Roman" w:hAnsi="Times New Roman"/>
                <w:b/>
                <w:bCs/>
                <w:i/>
                <w:iCs/>
                <w:color w:val="000000"/>
                <w:sz w:val="14"/>
                <w:szCs w:val="14"/>
              </w:rPr>
              <w:t>-235 000</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i/>
                <w:iCs/>
                <w:color w:val="000000"/>
                <w:sz w:val="14"/>
                <w:szCs w:val="14"/>
              </w:rPr>
            </w:pPr>
            <w:r w:rsidRPr="005240DB">
              <w:rPr>
                <w:rFonts w:ascii="Times New Roman" w:hAnsi="Times New Roman"/>
                <w:b/>
                <w:bCs/>
                <w:i/>
                <w:iCs/>
                <w:color w:val="000000"/>
                <w:sz w:val="14"/>
                <w:szCs w:val="14"/>
              </w:rPr>
              <w:t>-226 790</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i/>
                <w:iCs/>
                <w:color w:val="000000"/>
                <w:sz w:val="14"/>
                <w:szCs w:val="14"/>
              </w:rPr>
            </w:pPr>
            <w:r w:rsidRPr="005240DB">
              <w:rPr>
                <w:rFonts w:ascii="Times New Roman" w:hAnsi="Times New Roman"/>
                <w:b/>
                <w:bCs/>
                <w:i/>
                <w:iCs/>
                <w:color w:val="000000"/>
                <w:sz w:val="14"/>
                <w:szCs w:val="14"/>
              </w:rPr>
              <w:t>-270 000</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i/>
                <w:iCs/>
                <w:color w:val="000000"/>
                <w:sz w:val="14"/>
                <w:szCs w:val="14"/>
              </w:rPr>
            </w:pPr>
            <w:r w:rsidRPr="005240DB">
              <w:rPr>
                <w:rFonts w:ascii="Times New Roman" w:hAnsi="Times New Roman"/>
                <w:b/>
                <w:bCs/>
                <w:i/>
                <w:iCs/>
                <w:color w:val="000000"/>
                <w:sz w:val="14"/>
                <w:szCs w:val="14"/>
              </w:rPr>
              <w:t>-264 000</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i/>
                <w:iCs/>
                <w:color w:val="000000"/>
                <w:sz w:val="14"/>
                <w:szCs w:val="14"/>
              </w:rPr>
            </w:pPr>
            <w:r w:rsidRPr="005240DB">
              <w:rPr>
                <w:rFonts w:ascii="Times New Roman" w:hAnsi="Times New Roman"/>
                <w:b/>
                <w:bCs/>
                <w:i/>
                <w:iCs/>
                <w:color w:val="000000"/>
                <w:sz w:val="14"/>
                <w:szCs w:val="14"/>
              </w:rPr>
              <w:t>-257 000</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   vylúčenie príjmových  FO</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-306 058</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-297 741</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-235 000</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-226 790</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-270 000</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-264 000</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-257 000</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0008FE">
            <w:pPr>
              <w:bidi w:val="0"/>
              <w:rPr>
                <w:rFonts w:ascii="Times New Roman" w:hAnsi="Times New Roman"/>
                <w:color w:val="000000"/>
                <w:sz w:val="14"/>
                <w:szCs w:val="14"/>
              </w:rPr>
            </w:pPr>
            <w:r w:rsidRPr="005240DB">
              <w:rPr>
                <w:rFonts w:ascii="Times New Roman" w:hAnsi="Times New Roman"/>
                <w:color w:val="000000"/>
                <w:sz w:val="14"/>
                <w:szCs w:val="14"/>
              </w:rPr>
              <w:t xml:space="preserve">  ▪   vylúčenie výdavkových  FO</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color w:val="000000"/>
                <w:sz w:val="14"/>
                <w:szCs w:val="14"/>
              </w:rPr>
            </w:pPr>
            <w:r w:rsidRPr="005240DB">
              <w:rPr>
                <w:rFonts w:ascii="Times New Roman" w:hAnsi="Times New Roman"/>
                <w:color w:val="000000"/>
                <w:sz w:val="14"/>
                <w:szCs w:val="14"/>
              </w:rPr>
              <w:t>0</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0008FE">
            <w:pPr>
              <w:bidi w:val="0"/>
              <w:rPr>
                <w:rFonts w:ascii="Times New Roman" w:hAnsi="Times New Roman"/>
                <w:b/>
                <w:bCs/>
                <w:i/>
                <w:iCs/>
                <w:color w:val="000000"/>
                <w:sz w:val="14"/>
                <w:szCs w:val="14"/>
              </w:rPr>
            </w:pPr>
            <w:r w:rsidRPr="005240DB">
              <w:rPr>
                <w:rFonts w:ascii="Times New Roman" w:hAnsi="Times New Roman"/>
                <w:b/>
                <w:bCs/>
                <w:i/>
                <w:iCs/>
                <w:color w:val="000000"/>
                <w:sz w:val="14"/>
                <w:szCs w:val="14"/>
              </w:rPr>
              <w:t>zahrnutie časového rozlíšenia</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24 904</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8 608</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-4 744</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8 747</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-953</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14 667</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15 853</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textDirection w:val="lrTb"/>
            <w:vAlign w:val="center"/>
            <w:hideMark/>
          </w:tcPr>
          <w:p w:rsidR="006C0389" w:rsidRPr="005240DB" w:rsidP="000008FE">
            <w:pPr>
              <w:bidi w:val="0"/>
              <w:rPr>
                <w:rFonts w:ascii="Times New Roman" w:hAnsi="Times New Roman"/>
                <w:b/>
                <w:bCs/>
                <w:i/>
                <w:iCs/>
                <w:color w:val="000000"/>
                <w:sz w:val="14"/>
                <w:szCs w:val="14"/>
              </w:rPr>
            </w:pPr>
            <w:r w:rsidRPr="005240DB">
              <w:rPr>
                <w:rFonts w:ascii="Times New Roman" w:hAnsi="Times New Roman"/>
                <w:b/>
                <w:bCs/>
                <w:i/>
                <w:iCs/>
                <w:color w:val="000000"/>
                <w:sz w:val="14"/>
                <w:szCs w:val="14"/>
              </w:rPr>
              <w:t>ostatné úpravy****</w:t>
            </w:r>
          </w:p>
        </w:tc>
        <w:tc>
          <w:tcPr>
            <w:tcW w:w="797"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-10 321</w:t>
            </w:r>
          </w:p>
        </w:tc>
        <w:tc>
          <w:tcPr>
            <w:tcW w:w="825"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-7 724</w:t>
            </w:r>
          </w:p>
        </w:tc>
        <w:tc>
          <w:tcPr>
            <w:tcW w:w="784"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0</w:t>
            </w:r>
          </w:p>
        </w:tc>
        <w:tc>
          <w:tcPr>
            <w:tcW w:w="776"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0</w:t>
            </w:r>
          </w:p>
        </w:tc>
        <w:tc>
          <w:tcPr>
            <w:tcW w:w="73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0</w:t>
            </w:r>
          </w:p>
        </w:tc>
        <w:tc>
          <w:tcPr>
            <w:tcW w:w="792"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0</w:t>
            </w:r>
          </w:p>
        </w:tc>
        <w:tc>
          <w:tcPr>
            <w:tcW w:w="73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0</w:t>
            </w:r>
          </w:p>
        </w:tc>
      </w:tr>
      <w:tr>
        <w:tblPrEx>
          <w:tblW w:w="9341" w:type="dxa"/>
          <w:jc w:val="center"/>
          <w:tblCellMar>
            <w:left w:w="70" w:type="dxa"/>
            <w:right w:w="70" w:type="dxa"/>
          </w:tblCellMar>
          <w:tblLook w:val="04A0"/>
        </w:tblPrEx>
        <w:trPr>
          <w:trHeight w:val="255"/>
          <w:jc w:val="center"/>
        </w:trPr>
        <w:tc>
          <w:tcPr>
            <w:tcW w:w="3905" w:type="dxa"/>
            <w:tcBorders>
              <w:top w:val="single" w:sz="4" w:space="0" w:color="auto"/>
              <w:left w:val="single" w:sz="4" w:space="0" w:color="auto"/>
              <w:bottom w:val="single" w:sz="4" w:space="0" w:color="auto"/>
              <w:right w:val="single" w:sz="4" w:space="0" w:color="auto"/>
            </w:tcBorders>
            <w:shd w:val="pct25" w:color="BFBFBF" w:fill="BFBFBF"/>
            <w:textDirection w:val="lrTb"/>
            <w:vAlign w:val="center"/>
            <w:hideMark/>
          </w:tcPr>
          <w:p w:rsidR="006C0389" w:rsidRPr="0090374E" w:rsidP="000008FE">
            <w:pPr>
              <w:bidi w:val="0"/>
              <w:rPr>
                <w:rFonts w:ascii="Times New Roman" w:hAnsi="Times New Roman"/>
                <w:b/>
                <w:bCs/>
                <w:color w:val="FF0000"/>
                <w:sz w:val="14"/>
                <w:szCs w:val="14"/>
              </w:rPr>
            </w:pPr>
            <w:r w:rsidRPr="005240DB">
              <w:rPr>
                <w:rFonts w:ascii="Times New Roman" w:hAnsi="Times New Roman"/>
                <w:b/>
                <w:bCs/>
                <w:color w:val="000000"/>
                <w:sz w:val="14"/>
                <w:szCs w:val="14"/>
              </w:rPr>
              <w:t>Prebytok</w:t>
            </w:r>
            <w:r w:rsidRPr="003679CA" w:rsidR="0090374E">
              <w:rPr>
                <w:rFonts w:ascii="Times New Roman" w:hAnsi="Times New Roman"/>
                <w:b/>
                <w:bCs/>
                <w:sz w:val="14"/>
                <w:szCs w:val="14"/>
              </w:rPr>
              <w:t>(+)</w:t>
            </w:r>
            <w:r w:rsidRPr="003679CA">
              <w:rPr>
                <w:rFonts w:ascii="Times New Roman" w:hAnsi="Times New Roman"/>
                <w:b/>
                <w:bCs/>
                <w:sz w:val="14"/>
                <w:szCs w:val="14"/>
              </w:rPr>
              <w:t>/schodok</w:t>
            </w:r>
            <w:r w:rsidR="0060040C">
              <w:rPr>
                <w:rFonts w:ascii="Times New Roman" w:hAnsi="Times New Roman"/>
                <w:b/>
                <w:bCs/>
                <w:sz w:val="14"/>
                <w:szCs w:val="14"/>
              </w:rPr>
              <w:t xml:space="preserve"> </w:t>
            </w:r>
            <w:r w:rsidRPr="003679CA" w:rsidR="0060040C">
              <w:rPr>
                <w:rFonts w:ascii="Times New Roman" w:hAnsi="Times New Roman"/>
                <w:b/>
                <w:bCs/>
                <w:sz w:val="14"/>
                <w:szCs w:val="14"/>
              </w:rPr>
              <w:t>(-)</w:t>
            </w:r>
            <w:r w:rsidRPr="003679CA">
              <w:rPr>
                <w:rFonts w:ascii="Times New Roman" w:hAnsi="Times New Roman"/>
                <w:b/>
                <w:bCs/>
                <w:sz w:val="14"/>
                <w:szCs w:val="14"/>
              </w:rPr>
              <w:t xml:space="preserve"> verejného zdravotného poistenia</w:t>
            </w:r>
          </w:p>
          <w:p w:rsidR="006C0389" w:rsidRPr="005240DB" w:rsidP="000008FE">
            <w:pPr>
              <w:bidi w:val="0"/>
              <w:rPr>
                <w:rFonts w:ascii="Times New Roman" w:hAnsi="Times New Roman"/>
                <w:b/>
                <w:bCs/>
                <w:color w:val="000000"/>
                <w:sz w:val="14"/>
                <w:szCs w:val="14"/>
              </w:rPr>
            </w:pPr>
            <w:r w:rsidRPr="005240DB">
              <w:rPr>
                <w:rFonts w:ascii="Times New Roman" w:hAnsi="Times New Roman"/>
                <w:b/>
                <w:bCs/>
                <w:color w:val="000000"/>
                <w:sz w:val="14"/>
                <w:szCs w:val="14"/>
              </w:rPr>
              <w:t xml:space="preserve"> (ESA 2010)</w:t>
            </w:r>
          </w:p>
        </w:tc>
        <w:tc>
          <w:tcPr>
            <w:tcW w:w="797"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5 167</w:t>
            </w:r>
          </w:p>
        </w:tc>
        <w:tc>
          <w:tcPr>
            <w:tcW w:w="825"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-70 068</w:t>
            </w:r>
          </w:p>
        </w:tc>
        <w:tc>
          <w:tcPr>
            <w:tcW w:w="784"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33 256</w:t>
            </w:r>
          </w:p>
        </w:tc>
        <w:tc>
          <w:tcPr>
            <w:tcW w:w="776"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51 957</w:t>
            </w:r>
          </w:p>
        </w:tc>
        <w:tc>
          <w:tcPr>
            <w:tcW w:w="732"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-6 953</w:t>
            </w:r>
          </w:p>
        </w:tc>
        <w:tc>
          <w:tcPr>
            <w:tcW w:w="792"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7 667</w:t>
            </w:r>
          </w:p>
        </w:tc>
        <w:tc>
          <w:tcPr>
            <w:tcW w:w="73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5240DB" w:rsidP="000008FE">
            <w:pPr>
              <w:bidi w:val="0"/>
              <w:jc w:val="right"/>
              <w:rPr>
                <w:rFonts w:ascii="Times New Roman" w:hAnsi="Times New Roman"/>
                <w:b/>
                <w:bCs/>
                <w:color w:val="000000"/>
                <w:sz w:val="14"/>
                <w:szCs w:val="14"/>
              </w:rPr>
            </w:pPr>
            <w:r w:rsidRPr="005240DB">
              <w:rPr>
                <w:rFonts w:ascii="Times New Roman" w:hAnsi="Times New Roman"/>
                <w:b/>
                <w:bCs/>
                <w:color w:val="000000"/>
                <w:sz w:val="14"/>
                <w:szCs w:val="14"/>
              </w:rPr>
              <w:t>7 853</w:t>
            </w:r>
          </w:p>
        </w:tc>
      </w:tr>
    </w:tbl>
    <w:p w:rsidR="006C0389" w:rsidRPr="00FD438E" w:rsidP="006C0389">
      <w:pPr>
        <w:tabs>
          <w:tab w:val="left" w:pos="6946"/>
        </w:tabs>
        <w:bidi w:val="0"/>
        <w:ind w:firstLine="708"/>
        <w:jc w:val="both"/>
        <w:rPr>
          <w:rFonts w:ascii="Times New Roman" w:hAnsi="Times New Roman"/>
          <w:sz w:val="16"/>
          <w:szCs w:val="16"/>
        </w:rPr>
      </w:pPr>
    </w:p>
    <w:p w:rsidR="006C0389" w:rsidRPr="00F64586" w:rsidP="006C0389">
      <w:pPr>
        <w:bidi w:val="0"/>
        <w:ind w:firstLine="284"/>
        <w:jc w:val="both"/>
        <w:rPr>
          <w:rFonts w:ascii="Times New Roman" w:hAnsi="Times New Roman"/>
          <w:sz w:val="14"/>
          <w:szCs w:val="14"/>
        </w:rPr>
      </w:pPr>
      <w:r w:rsidRPr="00F64586">
        <w:rPr>
          <w:rFonts w:ascii="Times New Roman" w:hAnsi="Times New Roman"/>
          <w:sz w:val="14"/>
          <w:szCs w:val="14"/>
        </w:rPr>
        <w:t>* UDZS - Úrad pre dohľad nad zdravotnou starostlivosťou</w:t>
      </w:r>
    </w:p>
    <w:p w:rsidR="006C0389" w:rsidRPr="00F64586" w:rsidP="006C0389">
      <w:pPr>
        <w:bidi w:val="0"/>
        <w:ind w:firstLine="284"/>
        <w:jc w:val="both"/>
        <w:rPr>
          <w:rFonts w:ascii="Times New Roman" w:hAnsi="Times New Roman"/>
        </w:rPr>
      </w:pPr>
      <w:r w:rsidRPr="00F64586">
        <w:rPr>
          <w:rFonts w:ascii="Times New Roman" w:hAnsi="Times New Roman"/>
          <w:sz w:val="14"/>
          <w:szCs w:val="14"/>
        </w:rPr>
        <w:t xml:space="preserve">** OS ZZS - </w:t>
      </w:r>
      <w:r>
        <w:rPr>
          <w:rFonts w:ascii="Times New Roman" w:hAnsi="Times New Roman"/>
          <w:sz w:val="14"/>
          <w:szCs w:val="14"/>
        </w:rPr>
        <w:t>O</w:t>
      </w:r>
      <w:r w:rsidRPr="00F64586">
        <w:rPr>
          <w:rFonts w:ascii="Times New Roman" w:hAnsi="Times New Roman"/>
          <w:sz w:val="14"/>
          <w:szCs w:val="14"/>
        </w:rPr>
        <w:t>peračné strediská záchrannej zdravotnej služby</w:t>
      </w:r>
    </w:p>
    <w:p w:rsidR="006C0389" w:rsidRPr="00F64586" w:rsidP="006C0389">
      <w:pPr>
        <w:bidi w:val="0"/>
        <w:ind w:firstLine="284"/>
        <w:jc w:val="both"/>
        <w:rPr>
          <w:rFonts w:ascii="Times New Roman" w:hAnsi="Times New Roman"/>
          <w:sz w:val="14"/>
          <w:szCs w:val="14"/>
        </w:rPr>
      </w:pPr>
      <w:r w:rsidRPr="00F64586">
        <w:rPr>
          <w:rFonts w:ascii="Times New Roman" w:hAnsi="Times New Roman"/>
          <w:sz w:val="14"/>
          <w:szCs w:val="14"/>
        </w:rPr>
        <w:t>*** NCZI – Národné centrum zdravotníckych informácií</w:t>
      </w:r>
    </w:p>
    <w:p w:rsidR="006C0389" w:rsidRPr="00F64586" w:rsidP="006C0389">
      <w:pPr>
        <w:bidi w:val="0"/>
        <w:ind w:firstLine="284"/>
        <w:jc w:val="both"/>
        <w:rPr>
          <w:rFonts w:ascii="Times New Roman" w:hAnsi="Times New Roman"/>
          <w:sz w:val="14"/>
          <w:szCs w:val="14"/>
        </w:rPr>
      </w:pPr>
      <w:r w:rsidRPr="00F64586">
        <w:rPr>
          <w:rFonts w:ascii="Times New Roman" w:hAnsi="Times New Roman"/>
          <w:sz w:val="14"/>
          <w:szCs w:val="14"/>
        </w:rPr>
        <w:t>**** ostatné úpravy - zmena stavu vybraných aktív a pasív, ostatné úpravy pre metodiku ESA 2010</w:t>
      </w:r>
    </w:p>
    <w:p w:rsidR="006C0389" w:rsidRPr="00FD438E" w:rsidP="006C0389">
      <w:pPr>
        <w:bidi w:val="0"/>
        <w:jc w:val="both"/>
        <w:rPr>
          <w:rFonts w:ascii="Times New Roman" w:hAnsi="Times New Roman"/>
        </w:rPr>
      </w:pPr>
    </w:p>
    <w:p w:rsidR="006C0389" w:rsidRPr="00F64586" w:rsidP="006C0389">
      <w:pPr>
        <w:bidi w:val="0"/>
        <w:ind w:firstLine="708"/>
        <w:jc w:val="both"/>
        <w:rPr>
          <w:rFonts w:ascii="Times New Roman" w:hAnsi="Times New Roman"/>
          <w:szCs w:val="22"/>
        </w:rPr>
      </w:pPr>
      <w:r w:rsidRPr="00F64586">
        <w:rPr>
          <w:rFonts w:ascii="Times New Roman" w:hAnsi="Times New Roman"/>
          <w:szCs w:val="22"/>
        </w:rPr>
        <w:t>Celkové príjmy v systéme verejného zdravotného poistenia sa na rok</w:t>
      </w:r>
      <w:r>
        <w:rPr>
          <w:rFonts w:ascii="Times New Roman" w:hAnsi="Times New Roman"/>
          <w:szCs w:val="22"/>
        </w:rPr>
        <w:t xml:space="preserve"> 2016</w:t>
      </w:r>
      <w:r w:rsidRPr="00F64586">
        <w:rPr>
          <w:rFonts w:ascii="Times New Roman" w:hAnsi="Times New Roman"/>
          <w:szCs w:val="22"/>
        </w:rPr>
        <w:t xml:space="preserve"> predpokladajú vo </w:t>
      </w:r>
      <w:r>
        <w:rPr>
          <w:rFonts w:ascii="Times New Roman" w:hAnsi="Times New Roman"/>
          <w:szCs w:val="22"/>
        </w:rPr>
        <w:t>výške 4,54</w:t>
      </w:r>
      <w:r w:rsidRPr="001A78B0">
        <w:rPr>
          <w:rFonts w:ascii="Times New Roman" w:hAnsi="Times New Roman"/>
          <w:szCs w:val="22"/>
        </w:rPr>
        <w:t> mld</w:t>
      </w:r>
      <w:r>
        <w:rPr>
          <w:rFonts w:ascii="Times New Roman" w:hAnsi="Times New Roman"/>
          <w:szCs w:val="22"/>
        </w:rPr>
        <w:t>. eur. Na rok 2017</w:t>
      </w:r>
      <w:r w:rsidRPr="00F64586">
        <w:rPr>
          <w:rFonts w:ascii="Times New Roman" w:hAnsi="Times New Roman"/>
          <w:szCs w:val="22"/>
        </w:rPr>
        <w:t xml:space="preserve"> sa celkové príjmy predpokladajú v </w:t>
      </w:r>
      <w:r w:rsidRPr="001A78B0">
        <w:rPr>
          <w:rFonts w:ascii="Times New Roman" w:hAnsi="Times New Roman"/>
          <w:szCs w:val="22"/>
        </w:rPr>
        <w:t>objeme 4,62 mld.</w:t>
      </w:r>
      <w:r w:rsidRPr="00F64586">
        <w:rPr>
          <w:rFonts w:ascii="Times New Roman" w:hAnsi="Times New Roman"/>
          <w:szCs w:val="22"/>
        </w:rPr>
        <w:t xml:space="preserve"> eur s medziročným rastom </w:t>
      </w:r>
      <w:r>
        <w:rPr>
          <w:rFonts w:ascii="Times New Roman" w:hAnsi="Times New Roman"/>
          <w:szCs w:val="22"/>
        </w:rPr>
        <w:t>1,90</w:t>
      </w:r>
      <w:r w:rsidRPr="008155B8">
        <w:rPr>
          <w:rFonts w:ascii="Times New Roman" w:hAnsi="Times New Roman"/>
          <w:szCs w:val="22"/>
        </w:rPr>
        <w:t> %</w:t>
      </w:r>
      <w:r>
        <w:rPr>
          <w:rFonts w:ascii="Times New Roman" w:hAnsi="Times New Roman"/>
          <w:szCs w:val="22"/>
        </w:rPr>
        <w:t xml:space="preserve"> a na rok 2018</w:t>
      </w:r>
      <w:r w:rsidRPr="00F64586">
        <w:rPr>
          <w:rFonts w:ascii="Times New Roman" w:hAnsi="Times New Roman"/>
          <w:szCs w:val="22"/>
        </w:rPr>
        <w:t xml:space="preserve"> v objeme </w:t>
      </w:r>
      <w:r w:rsidRPr="001A78B0">
        <w:rPr>
          <w:rFonts w:ascii="Times New Roman" w:hAnsi="Times New Roman"/>
          <w:szCs w:val="22"/>
        </w:rPr>
        <w:t>4,84</w:t>
      </w:r>
      <w:r w:rsidRPr="00F64586">
        <w:rPr>
          <w:rFonts w:ascii="Times New Roman" w:hAnsi="Times New Roman"/>
          <w:szCs w:val="22"/>
        </w:rPr>
        <w:t xml:space="preserve"> mld. eur s medziročným </w:t>
      </w:r>
      <w:r w:rsidRPr="008155B8">
        <w:rPr>
          <w:rFonts w:ascii="Times New Roman" w:hAnsi="Times New Roman"/>
          <w:szCs w:val="22"/>
        </w:rPr>
        <w:t>rastom 4,75 %.</w:t>
      </w:r>
    </w:p>
    <w:p w:rsidR="006C0389" w:rsidRPr="00F64586" w:rsidP="006C0389">
      <w:pPr>
        <w:bidi w:val="0"/>
        <w:ind w:firstLine="708"/>
        <w:jc w:val="both"/>
        <w:rPr>
          <w:rFonts w:ascii="Times New Roman" w:hAnsi="Times New Roman" w:cs="Courier"/>
          <w:sz w:val="16"/>
          <w:szCs w:val="16"/>
          <w:lang w:eastAsia="cs-CZ"/>
        </w:rPr>
      </w:pPr>
    </w:p>
    <w:p w:rsidR="006C0389" w:rsidRPr="00DE3945" w:rsidP="006C0389">
      <w:pPr>
        <w:bidi w:val="0"/>
        <w:ind w:firstLine="708"/>
        <w:jc w:val="both"/>
        <w:rPr>
          <w:rFonts w:ascii="Times New Roman" w:hAnsi="Times New Roman" w:cs="Courier"/>
          <w:lang w:eastAsia="cs-CZ"/>
        </w:rPr>
      </w:pPr>
      <w:r w:rsidRPr="00DE3945">
        <w:rPr>
          <w:rFonts w:ascii="Times New Roman" w:hAnsi="Times New Roman" w:cs="Courier"/>
          <w:lang w:eastAsia="cs-CZ"/>
        </w:rPr>
        <w:t xml:space="preserve">Rozpočet príjmov z poistného od ekonomicky aktívnych osôb nadväzuje na </w:t>
      </w:r>
      <w:r>
        <w:rPr>
          <w:rFonts w:ascii="Times New Roman" w:hAnsi="Times New Roman" w:cs="Courier"/>
          <w:lang w:eastAsia="cs-CZ"/>
        </w:rPr>
        <w:t>septembrovú</w:t>
      </w:r>
      <w:r w:rsidRPr="00DE3945">
        <w:rPr>
          <w:rFonts w:ascii="Times New Roman" w:hAnsi="Times New Roman" w:cs="Courier"/>
          <w:lang w:eastAsia="cs-CZ"/>
        </w:rPr>
        <w:t xml:space="preserve"> prognózu daňových príjmov</w:t>
      </w:r>
      <w:r>
        <w:rPr>
          <w:rFonts w:ascii="Times New Roman" w:hAnsi="Times New Roman" w:cs="Courier"/>
          <w:lang w:eastAsia="cs-CZ"/>
        </w:rPr>
        <w:t xml:space="preserve">. </w:t>
      </w:r>
      <w:r w:rsidRPr="00DE3945">
        <w:rPr>
          <w:rFonts w:ascii="Times New Roman" w:hAnsi="Times New Roman" w:cs="Courier"/>
          <w:lang w:eastAsia="cs-CZ"/>
        </w:rPr>
        <w:t>Príjmy od ekonomicky aktívnych osôb vrátane ročného zúčtovania poistného v roku 201</w:t>
      </w:r>
      <w:r>
        <w:rPr>
          <w:rFonts w:ascii="Times New Roman" w:hAnsi="Times New Roman" w:cs="Courier"/>
          <w:lang w:eastAsia="cs-CZ"/>
        </w:rPr>
        <w:t>6</w:t>
      </w:r>
      <w:r w:rsidRPr="00DE3945">
        <w:rPr>
          <w:rFonts w:ascii="Times New Roman" w:hAnsi="Times New Roman" w:cs="Courier"/>
          <w:lang w:eastAsia="cs-CZ"/>
        </w:rPr>
        <w:t xml:space="preserve"> </w:t>
      </w:r>
      <w:r>
        <w:rPr>
          <w:rFonts w:ascii="Times New Roman" w:hAnsi="Times New Roman" w:cs="Courier"/>
          <w:lang w:eastAsia="cs-CZ"/>
        </w:rPr>
        <w:t>sa rozpočtujú v sume 2,</w:t>
      </w:r>
      <w:r w:rsidR="007A13CC">
        <w:rPr>
          <w:rFonts w:ascii="Times New Roman" w:hAnsi="Times New Roman" w:cs="Courier"/>
          <w:lang w:eastAsia="cs-CZ"/>
        </w:rPr>
        <w:t>86</w:t>
      </w:r>
      <w:r w:rsidRPr="00DE3945">
        <w:rPr>
          <w:rFonts w:ascii="Times New Roman" w:hAnsi="Times New Roman" w:cs="Courier"/>
          <w:lang w:eastAsia="cs-CZ"/>
        </w:rPr>
        <w:t> mld. eur. V roku 201</w:t>
      </w:r>
      <w:r>
        <w:rPr>
          <w:rFonts w:ascii="Times New Roman" w:hAnsi="Times New Roman" w:cs="Courier"/>
          <w:lang w:eastAsia="cs-CZ"/>
        </w:rPr>
        <w:t>7</w:t>
      </w:r>
      <w:r w:rsidRPr="00DE3945">
        <w:rPr>
          <w:rFonts w:ascii="Times New Roman" w:hAnsi="Times New Roman" w:cs="Courier"/>
          <w:lang w:eastAsia="cs-CZ"/>
        </w:rPr>
        <w:t xml:space="preserve"> sa výška príjmov od ekonomicky aktívnych</w:t>
      </w:r>
      <w:r>
        <w:rPr>
          <w:rFonts w:ascii="Times New Roman" w:hAnsi="Times New Roman" w:cs="Courier"/>
          <w:lang w:eastAsia="cs-CZ"/>
        </w:rPr>
        <w:t xml:space="preserve"> osôb predpokladá na úrovni 3,08</w:t>
      </w:r>
      <w:r w:rsidRPr="00DE3945">
        <w:rPr>
          <w:rFonts w:ascii="Times New Roman" w:hAnsi="Times New Roman" w:cs="Courier"/>
          <w:lang w:eastAsia="cs-CZ"/>
        </w:rPr>
        <w:t xml:space="preserve"> mld. </w:t>
      </w:r>
      <w:r w:rsidR="00372110">
        <w:rPr>
          <w:rFonts w:ascii="Times New Roman" w:hAnsi="Times New Roman" w:cs="Courier"/>
          <w:lang w:eastAsia="cs-CZ"/>
        </w:rPr>
        <w:t>e</w:t>
      </w:r>
      <w:r w:rsidRPr="00DE3945">
        <w:rPr>
          <w:rFonts w:ascii="Times New Roman" w:hAnsi="Times New Roman" w:cs="Courier"/>
          <w:lang w:eastAsia="cs-CZ"/>
        </w:rPr>
        <w:t>ur</w:t>
      </w:r>
      <w:r w:rsidR="00372110">
        <w:rPr>
          <w:rFonts w:ascii="Times New Roman" w:hAnsi="Times New Roman" w:cs="Courier"/>
          <w:lang w:eastAsia="cs-CZ"/>
        </w:rPr>
        <w:t xml:space="preserve">           </w:t>
      </w:r>
      <w:r w:rsidRPr="00DE3945">
        <w:rPr>
          <w:rFonts w:ascii="Times New Roman" w:hAnsi="Times New Roman" w:cs="Courier"/>
          <w:lang w:eastAsia="cs-CZ"/>
        </w:rPr>
        <w:t xml:space="preserve"> s medziročným rastom o</w:t>
      </w:r>
      <w:r>
        <w:rPr>
          <w:rFonts w:ascii="Times New Roman" w:hAnsi="Times New Roman" w:cs="Courier"/>
          <w:lang w:eastAsia="cs-CZ"/>
        </w:rPr>
        <w:t> 4,9</w:t>
      </w:r>
      <w:r w:rsidRPr="00DE3945">
        <w:rPr>
          <w:rFonts w:ascii="Times New Roman" w:hAnsi="Times New Roman" w:cs="Courier"/>
          <w:lang w:eastAsia="cs-CZ"/>
        </w:rPr>
        <w:t> % a v roku 201</w:t>
      </w:r>
      <w:r>
        <w:rPr>
          <w:rFonts w:ascii="Times New Roman" w:hAnsi="Times New Roman" w:cs="Courier"/>
          <w:lang w:eastAsia="cs-CZ"/>
        </w:rPr>
        <w:t>8 na úrovni 3,25</w:t>
      </w:r>
      <w:r w:rsidRPr="00DE3945">
        <w:rPr>
          <w:rFonts w:ascii="Times New Roman" w:hAnsi="Times New Roman" w:cs="Courier"/>
          <w:lang w:eastAsia="cs-CZ"/>
        </w:rPr>
        <w:t xml:space="preserve"> mld. eur s medziročným rastom </w:t>
      </w:r>
      <w:r>
        <w:rPr>
          <w:rFonts w:ascii="Times New Roman" w:hAnsi="Times New Roman" w:cs="Courier"/>
          <w:lang w:eastAsia="cs-CZ"/>
        </w:rPr>
        <w:t>5,62</w:t>
      </w:r>
      <w:r w:rsidRPr="00B918E5">
        <w:rPr>
          <w:rFonts w:ascii="Times New Roman" w:hAnsi="Times New Roman" w:cs="Courier"/>
          <w:lang w:eastAsia="cs-CZ"/>
        </w:rPr>
        <w:t> %.</w:t>
      </w:r>
      <w:r w:rsidRPr="00DE3945">
        <w:rPr>
          <w:rFonts w:ascii="Times New Roman" w:hAnsi="Times New Roman" w:cs="Courier"/>
          <w:lang w:eastAsia="cs-CZ"/>
        </w:rPr>
        <w:t xml:space="preserve"> </w:t>
      </w:r>
    </w:p>
    <w:p w:rsidR="006C0389" w:rsidRPr="00DE3945" w:rsidP="006C0389">
      <w:pPr>
        <w:bidi w:val="0"/>
        <w:ind w:firstLine="708"/>
        <w:jc w:val="both"/>
        <w:rPr>
          <w:rFonts w:ascii="Times New Roman" w:hAnsi="Times New Roman" w:cs="Courier"/>
          <w:sz w:val="16"/>
          <w:szCs w:val="16"/>
          <w:lang w:eastAsia="cs-CZ"/>
        </w:rPr>
      </w:pPr>
    </w:p>
    <w:p w:rsidR="006C0389" w:rsidRPr="00DE3945" w:rsidP="006C0389">
      <w:pPr>
        <w:bidi w:val="0"/>
        <w:ind w:firstLine="708"/>
        <w:jc w:val="both"/>
        <w:rPr>
          <w:rFonts w:ascii="Times New Roman" w:hAnsi="Times New Roman" w:cs="Courier"/>
          <w:lang w:eastAsia="cs-CZ"/>
        </w:rPr>
      </w:pPr>
      <w:r w:rsidRPr="00DE3945">
        <w:rPr>
          <w:rFonts w:ascii="Times New Roman" w:hAnsi="Times New Roman" w:cs="Courier"/>
          <w:lang w:eastAsia="cs-CZ"/>
        </w:rPr>
        <w:t>Preddavky na poistné platené štátom, určené pre zákonom vymedzené kategórie osôb, sa na rok 201</w:t>
      </w:r>
      <w:r>
        <w:rPr>
          <w:rFonts w:ascii="Times New Roman" w:hAnsi="Times New Roman" w:cs="Courier"/>
          <w:lang w:eastAsia="cs-CZ"/>
        </w:rPr>
        <w:t>6</w:t>
      </w:r>
      <w:r w:rsidRPr="00DE3945">
        <w:rPr>
          <w:rFonts w:ascii="Times New Roman" w:hAnsi="Times New Roman" w:cs="Courier"/>
          <w:lang w:eastAsia="cs-CZ"/>
        </w:rPr>
        <w:t xml:space="preserve"> rozpočtujú v sume </w:t>
      </w:r>
      <w:r>
        <w:rPr>
          <w:rFonts w:ascii="Times New Roman" w:hAnsi="Times New Roman" w:cs="Courier"/>
          <w:lang w:eastAsia="cs-CZ"/>
        </w:rPr>
        <w:t>1,38</w:t>
      </w:r>
      <w:r w:rsidRPr="00DE3945">
        <w:rPr>
          <w:rFonts w:ascii="Times New Roman" w:hAnsi="Times New Roman" w:cs="Courier"/>
          <w:lang w:eastAsia="cs-CZ"/>
        </w:rPr>
        <w:t> mld. eur. Na rok 201</w:t>
      </w:r>
      <w:r>
        <w:rPr>
          <w:rFonts w:ascii="Times New Roman" w:hAnsi="Times New Roman" w:cs="Courier"/>
          <w:lang w:eastAsia="cs-CZ"/>
        </w:rPr>
        <w:t>7</w:t>
      </w:r>
      <w:r w:rsidRPr="00DE3945">
        <w:rPr>
          <w:rFonts w:ascii="Times New Roman" w:hAnsi="Times New Roman" w:cs="Courier"/>
          <w:lang w:eastAsia="cs-CZ"/>
        </w:rPr>
        <w:t xml:space="preserve"> sa poistné platené štátom navrhuje vo výške </w:t>
      </w:r>
      <w:r w:rsidRPr="00A035B7">
        <w:rPr>
          <w:rFonts w:ascii="Times New Roman" w:hAnsi="Times New Roman" w:cs="Courier"/>
          <w:lang w:eastAsia="cs-CZ"/>
        </w:rPr>
        <w:t>1,31</w:t>
      </w:r>
      <w:r w:rsidRPr="00DE3945">
        <w:rPr>
          <w:rFonts w:ascii="Times New Roman" w:hAnsi="Times New Roman" w:cs="Courier"/>
          <w:lang w:eastAsia="cs-CZ"/>
        </w:rPr>
        <w:t> mld. eur a na rok 201</w:t>
      </w:r>
      <w:r>
        <w:rPr>
          <w:rFonts w:ascii="Times New Roman" w:hAnsi="Times New Roman" w:cs="Courier"/>
          <w:lang w:eastAsia="cs-CZ"/>
        </w:rPr>
        <w:t>8</w:t>
      </w:r>
      <w:r w:rsidRPr="00DE3945">
        <w:rPr>
          <w:rFonts w:ascii="Times New Roman" w:hAnsi="Times New Roman" w:cs="Courier"/>
          <w:lang w:eastAsia="cs-CZ"/>
        </w:rPr>
        <w:t xml:space="preserve"> na úrovni </w:t>
      </w:r>
      <w:r w:rsidRPr="00A035B7">
        <w:rPr>
          <w:rFonts w:ascii="Times New Roman" w:hAnsi="Times New Roman" w:cs="Courier"/>
          <w:lang w:eastAsia="cs-CZ"/>
        </w:rPr>
        <w:t>1,35 mld</w:t>
      </w:r>
      <w:r w:rsidRPr="00DE3945">
        <w:rPr>
          <w:rFonts w:ascii="Times New Roman" w:hAnsi="Times New Roman" w:cs="Courier"/>
          <w:lang w:eastAsia="cs-CZ"/>
        </w:rPr>
        <w:t xml:space="preserve">. eur.  </w:t>
      </w:r>
    </w:p>
    <w:p w:rsidR="006C0389" w:rsidRPr="00DE3945" w:rsidP="006C0389">
      <w:pPr>
        <w:bidi w:val="0"/>
        <w:ind w:firstLine="708"/>
        <w:jc w:val="both"/>
        <w:rPr>
          <w:rFonts w:ascii="Times New Roman" w:hAnsi="Times New Roman" w:cs="Courier"/>
          <w:sz w:val="16"/>
          <w:szCs w:val="16"/>
          <w:lang w:eastAsia="cs-CZ"/>
        </w:rPr>
      </w:pPr>
    </w:p>
    <w:p w:rsidR="006C0389" w:rsidRPr="00DE3945" w:rsidP="006C0389">
      <w:pPr>
        <w:bidi w:val="0"/>
        <w:ind w:firstLine="708"/>
        <w:jc w:val="both"/>
        <w:rPr>
          <w:rFonts w:ascii="Times New Roman" w:hAnsi="Times New Roman"/>
        </w:rPr>
      </w:pPr>
      <w:r w:rsidRPr="00DE3945">
        <w:rPr>
          <w:rFonts w:ascii="Times New Roman" w:hAnsi="Times New Roman"/>
        </w:rPr>
        <w:t xml:space="preserve">Do súhrnu daňových príjmov verejného zdravotného poistenia sa započítavajú každoročne aj sankcie súvisiace so zdravotným poistením vo výške </w:t>
      </w:r>
      <w:r>
        <w:rPr>
          <w:rFonts w:ascii="Times New Roman" w:hAnsi="Times New Roman"/>
        </w:rPr>
        <w:t>1,</w:t>
      </w:r>
      <w:r w:rsidR="007A13CC">
        <w:rPr>
          <w:rFonts w:ascii="Times New Roman" w:hAnsi="Times New Roman"/>
        </w:rPr>
        <w:t>15</w:t>
      </w:r>
      <w:r w:rsidRPr="00DE3945">
        <w:rPr>
          <w:rFonts w:ascii="Times New Roman" w:hAnsi="Times New Roman"/>
        </w:rPr>
        <w:t> mil. eur. Nedaňové príjmy sa predpokladajú na rok 201</w:t>
      </w:r>
      <w:r>
        <w:rPr>
          <w:rFonts w:ascii="Times New Roman" w:hAnsi="Times New Roman"/>
        </w:rPr>
        <w:t>6</w:t>
      </w:r>
      <w:r w:rsidRPr="00DE3945">
        <w:rPr>
          <w:rFonts w:ascii="Times New Roman" w:hAnsi="Times New Roman"/>
        </w:rPr>
        <w:t xml:space="preserve"> na úrovni </w:t>
      </w:r>
      <w:r w:rsidRPr="00A035B7">
        <w:rPr>
          <w:rFonts w:ascii="Times New Roman" w:hAnsi="Times New Roman"/>
        </w:rPr>
        <w:t>30,4 mil</w:t>
      </w:r>
      <w:r w:rsidRPr="00DE3945">
        <w:rPr>
          <w:rFonts w:ascii="Times New Roman" w:hAnsi="Times New Roman"/>
        </w:rPr>
        <w:t xml:space="preserve">. eur. V príjmovej časti rozpočtu verejného zdravotného poistenia je započítaný transfer z Ministerstva zdravotníctva SR v ročnej výške 115 tis. eur na úhradu neodkladnej zdravotnej starostlivosti v súlade so zákonom č. 580/2004 Z. z. o zdravotnom poistení. </w:t>
      </w:r>
    </w:p>
    <w:p w:rsidR="006C0389" w:rsidRPr="006A7F93" w:rsidP="006C0389">
      <w:pPr>
        <w:bidi w:val="0"/>
        <w:jc w:val="both"/>
        <w:rPr>
          <w:rFonts w:ascii="Times New Roman" w:hAnsi="Times New Roman"/>
          <w:sz w:val="16"/>
          <w:szCs w:val="16"/>
        </w:rPr>
      </w:pPr>
    </w:p>
    <w:p w:rsidR="006C0389" w:rsidRPr="00F64586" w:rsidP="006C0389">
      <w:pPr>
        <w:bidi w:val="0"/>
        <w:ind w:firstLine="708"/>
        <w:jc w:val="both"/>
        <w:rPr>
          <w:rFonts w:ascii="Times New Roman" w:hAnsi="Times New Roman"/>
        </w:rPr>
      </w:pPr>
      <w:r w:rsidRPr="00F64586">
        <w:rPr>
          <w:rFonts w:ascii="Times New Roman" w:hAnsi="Times New Roman"/>
        </w:rPr>
        <w:t>Celkové výdavky verejného zdra</w:t>
      </w:r>
      <w:r>
        <w:rPr>
          <w:rFonts w:ascii="Times New Roman" w:hAnsi="Times New Roman"/>
        </w:rPr>
        <w:t>votného poistenia sa na rok 2016</w:t>
      </w:r>
      <w:r w:rsidRPr="00F64586">
        <w:rPr>
          <w:rFonts w:ascii="Times New Roman" w:hAnsi="Times New Roman"/>
        </w:rPr>
        <w:t xml:space="preserve"> predpokladajú na úrovni </w:t>
      </w:r>
      <w:r>
        <w:rPr>
          <w:rFonts w:ascii="Times New Roman" w:hAnsi="Times New Roman"/>
        </w:rPr>
        <w:t>4,27</w:t>
      </w:r>
      <w:r w:rsidRPr="00A035B7">
        <w:rPr>
          <w:rFonts w:ascii="Times New Roman" w:hAnsi="Times New Roman"/>
        </w:rPr>
        <w:t> mld</w:t>
      </w:r>
      <w:r w:rsidRPr="00F64586">
        <w:rPr>
          <w:rFonts w:ascii="Times New Roman" w:hAnsi="Times New Roman"/>
        </w:rPr>
        <w:t>. eur, v porovnaní s</w:t>
      </w:r>
      <w:r>
        <w:rPr>
          <w:rFonts w:ascii="Times New Roman" w:hAnsi="Times New Roman"/>
        </w:rPr>
        <w:t>o schváleným rozpočtom roku 2015</w:t>
      </w:r>
      <w:r w:rsidRPr="00F64586">
        <w:rPr>
          <w:rFonts w:ascii="Times New Roman" w:hAnsi="Times New Roman"/>
        </w:rPr>
        <w:t xml:space="preserve"> dochádza k ich rastu o </w:t>
      </w:r>
      <w:r>
        <w:rPr>
          <w:rFonts w:ascii="Times New Roman" w:hAnsi="Times New Roman"/>
        </w:rPr>
        <w:t xml:space="preserve">284 mil. </w:t>
      </w:r>
      <w:r w:rsidRPr="00B918E5">
        <w:rPr>
          <w:rFonts w:ascii="Times New Roman" w:hAnsi="Times New Roman"/>
        </w:rPr>
        <w:t>eur, t. j. o </w:t>
      </w:r>
      <w:r>
        <w:rPr>
          <w:rFonts w:ascii="Times New Roman" w:hAnsi="Times New Roman"/>
        </w:rPr>
        <w:t>7,12 %. Na rok 2017</w:t>
      </w:r>
      <w:r w:rsidRPr="00F64586">
        <w:rPr>
          <w:rFonts w:ascii="Times New Roman" w:hAnsi="Times New Roman"/>
        </w:rPr>
        <w:t xml:space="preserve"> sa celkové vý</w:t>
      </w:r>
      <w:r>
        <w:rPr>
          <w:rFonts w:ascii="Times New Roman" w:hAnsi="Times New Roman"/>
        </w:rPr>
        <w:t>davky predpokladajú v objeme 4,36 mld. eur a na rok 2018 v objeme 4,60</w:t>
      </w:r>
      <w:r w:rsidRPr="00F64586">
        <w:rPr>
          <w:rFonts w:ascii="Times New Roman" w:hAnsi="Times New Roman"/>
        </w:rPr>
        <w:t> mld. eur.</w:t>
      </w:r>
    </w:p>
    <w:p w:rsidR="006C0389" w:rsidRPr="00F64586" w:rsidP="006C0389">
      <w:pPr>
        <w:bidi w:val="0"/>
        <w:jc w:val="both"/>
        <w:rPr>
          <w:rFonts w:ascii="Times New Roman" w:hAnsi="Times New Roman"/>
          <w:sz w:val="16"/>
          <w:szCs w:val="16"/>
        </w:rPr>
      </w:pPr>
    </w:p>
    <w:p w:rsidR="006C0389" w:rsidRPr="00F64586" w:rsidP="006C0389">
      <w:pPr>
        <w:bidi w:val="0"/>
        <w:ind w:firstLine="708"/>
        <w:jc w:val="both"/>
        <w:rPr>
          <w:rFonts w:ascii="Times New Roman" w:hAnsi="Times New Roman"/>
        </w:rPr>
      </w:pPr>
      <w:r w:rsidRPr="00F64586">
        <w:rPr>
          <w:rFonts w:ascii="Times New Roman" w:hAnsi="Times New Roman"/>
        </w:rPr>
        <w:t>V súlade s legislatívnou úpravou zdravotného poistenia je ako bežný transfer vo výdavkoch verejného zdravotného poistenia zapracovaný príspevok na činnosť Úradu pre dohľad nad zdravotnou starost</w:t>
      </w:r>
      <w:r>
        <w:rPr>
          <w:rFonts w:ascii="Times New Roman" w:hAnsi="Times New Roman"/>
        </w:rPr>
        <w:t>livosťou, príspevok na činnosť O</w:t>
      </w:r>
      <w:r w:rsidRPr="00F64586">
        <w:rPr>
          <w:rFonts w:ascii="Times New Roman" w:hAnsi="Times New Roman"/>
        </w:rPr>
        <w:t>peračných stredísk tiesňového volania záchrannej zdravotnej služby a príspevok na činnosť Národného centra zdravotníckych informác</w:t>
      </w:r>
      <w:r>
        <w:rPr>
          <w:rFonts w:ascii="Times New Roman" w:hAnsi="Times New Roman"/>
        </w:rPr>
        <w:t>ií. Výška príspevkov na rok 2016</w:t>
      </w:r>
      <w:r w:rsidRPr="00F64586">
        <w:rPr>
          <w:rFonts w:ascii="Times New Roman" w:hAnsi="Times New Roman"/>
        </w:rPr>
        <w:t xml:space="preserve"> vychádza z predpokladaného výberu poistného zdr</w:t>
      </w:r>
      <w:r>
        <w:rPr>
          <w:rFonts w:ascii="Times New Roman" w:hAnsi="Times New Roman"/>
        </w:rPr>
        <w:t>avotnými poisťovňami v roku 2015</w:t>
      </w:r>
      <w:r w:rsidRPr="00F64586">
        <w:rPr>
          <w:rFonts w:ascii="Times New Roman" w:hAnsi="Times New Roman"/>
        </w:rPr>
        <w:t>.</w:t>
      </w:r>
    </w:p>
    <w:p w:rsidR="006C0389" w:rsidRPr="00F64586" w:rsidP="006C0389">
      <w:pPr>
        <w:bidi w:val="0"/>
        <w:ind w:firstLine="708"/>
        <w:jc w:val="both"/>
        <w:rPr>
          <w:rFonts w:ascii="Times New Roman" w:hAnsi="Times New Roman"/>
          <w:sz w:val="16"/>
          <w:szCs w:val="16"/>
        </w:rPr>
      </w:pPr>
    </w:p>
    <w:p w:rsidR="006C0389" w:rsidP="006C0389">
      <w:pPr>
        <w:bidi w:val="0"/>
        <w:ind w:firstLine="708"/>
        <w:jc w:val="both"/>
        <w:rPr>
          <w:rFonts w:ascii="Times New Roman" w:hAnsi="Times New Roman"/>
        </w:rPr>
      </w:pPr>
      <w:r w:rsidRPr="00F64586">
        <w:rPr>
          <w:rFonts w:ascii="Times New Roman" w:hAnsi="Times New Roman"/>
        </w:rPr>
        <w:t>Výdavky na prevádzkové činnosti štátnej zdravotnej poisťovne a výdavky súkromných zdravotných poisťovní na správu verejného zdravotného poistenia zahŕňajú predpoklad bežných aj kapitálových výdavkov na prevádzkové činnosti zdravotných poisťovní kryté príjmom z výberu poistného.</w:t>
      </w:r>
    </w:p>
    <w:p w:rsidR="006C0389" w:rsidRPr="006A7F93" w:rsidP="006C0389">
      <w:pPr>
        <w:bidi w:val="0"/>
        <w:ind w:firstLine="708"/>
        <w:jc w:val="both"/>
        <w:rPr>
          <w:rFonts w:ascii="Times New Roman" w:hAnsi="Times New Roman"/>
          <w:sz w:val="16"/>
          <w:szCs w:val="16"/>
        </w:rPr>
      </w:pPr>
    </w:p>
    <w:p w:rsidR="006C0389" w:rsidP="004E1866">
      <w:pPr>
        <w:bidi w:val="0"/>
        <w:ind w:firstLine="708"/>
        <w:jc w:val="both"/>
        <w:rPr>
          <w:rFonts w:ascii="Times New Roman" w:hAnsi="Times New Roman"/>
        </w:rPr>
      </w:pPr>
      <w:r>
        <w:rPr>
          <w:rFonts w:ascii="Times New Roman" w:hAnsi="Times New Roman"/>
        </w:rPr>
        <w:t>V</w:t>
      </w:r>
      <w:r w:rsidRPr="00F64586">
        <w:rPr>
          <w:rFonts w:ascii="Times New Roman" w:hAnsi="Times New Roman"/>
        </w:rPr>
        <w:t xml:space="preserve"> </w:t>
      </w:r>
      <w:r>
        <w:rPr>
          <w:rFonts w:ascii="Times New Roman" w:hAnsi="Times New Roman"/>
        </w:rPr>
        <w:t>metodike ESA 2010 sa v roku 2016</w:t>
      </w:r>
      <w:r w:rsidRPr="00F64586">
        <w:rPr>
          <w:rFonts w:ascii="Times New Roman" w:hAnsi="Times New Roman"/>
        </w:rPr>
        <w:t xml:space="preserve"> predpokladá</w:t>
      </w:r>
      <w:r>
        <w:rPr>
          <w:rFonts w:ascii="Times New Roman" w:hAnsi="Times New Roman"/>
        </w:rPr>
        <w:t xml:space="preserve"> schodok</w:t>
      </w:r>
      <w:r w:rsidRPr="00F64586">
        <w:rPr>
          <w:rFonts w:ascii="Times New Roman" w:hAnsi="Times New Roman"/>
        </w:rPr>
        <w:t xml:space="preserve"> </w:t>
      </w:r>
      <w:r>
        <w:rPr>
          <w:rFonts w:ascii="Times New Roman" w:hAnsi="Times New Roman"/>
        </w:rPr>
        <w:t>v sume</w:t>
      </w:r>
      <w:r w:rsidRPr="00F64586">
        <w:rPr>
          <w:rFonts w:ascii="Times New Roman" w:hAnsi="Times New Roman"/>
        </w:rPr>
        <w:t xml:space="preserve"> </w:t>
      </w:r>
      <w:r>
        <w:rPr>
          <w:rFonts w:ascii="Times New Roman" w:hAnsi="Times New Roman"/>
        </w:rPr>
        <w:t>6,95 mil. eur, v roku 2017</w:t>
      </w:r>
      <w:r w:rsidRPr="00F64586">
        <w:rPr>
          <w:rFonts w:ascii="Times New Roman" w:hAnsi="Times New Roman"/>
        </w:rPr>
        <w:t xml:space="preserve"> sa predpokladá </w:t>
      </w:r>
      <w:r>
        <w:rPr>
          <w:rFonts w:ascii="Times New Roman" w:hAnsi="Times New Roman"/>
        </w:rPr>
        <w:t>prebytok</w:t>
      </w:r>
      <w:r w:rsidRPr="00F64586">
        <w:rPr>
          <w:rFonts w:ascii="Times New Roman" w:hAnsi="Times New Roman"/>
        </w:rPr>
        <w:t xml:space="preserve"> </w:t>
      </w:r>
      <w:r>
        <w:rPr>
          <w:rFonts w:ascii="Times New Roman" w:hAnsi="Times New Roman"/>
        </w:rPr>
        <w:t>v sume</w:t>
      </w:r>
      <w:r w:rsidRPr="00F64586">
        <w:rPr>
          <w:rFonts w:ascii="Times New Roman" w:hAnsi="Times New Roman"/>
        </w:rPr>
        <w:t xml:space="preserve"> </w:t>
      </w:r>
      <w:r>
        <w:rPr>
          <w:rFonts w:ascii="Times New Roman" w:hAnsi="Times New Roman"/>
        </w:rPr>
        <w:t>7,67 mil. eur a v roku 2018</w:t>
      </w:r>
      <w:r w:rsidRPr="00F64586">
        <w:rPr>
          <w:rFonts w:ascii="Times New Roman" w:hAnsi="Times New Roman"/>
        </w:rPr>
        <w:t xml:space="preserve"> </w:t>
      </w:r>
      <w:r>
        <w:rPr>
          <w:rFonts w:ascii="Times New Roman" w:hAnsi="Times New Roman"/>
        </w:rPr>
        <w:t>prebytok v sume</w:t>
      </w:r>
      <w:r w:rsidRPr="00F64586">
        <w:rPr>
          <w:rFonts w:ascii="Times New Roman" w:hAnsi="Times New Roman"/>
        </w:rPr>
        <w:t xml:space="preserve"> </w:t>
      </w:r>
      <w:r w:rsidR="00DF7EE9">
        <w:rPr>
          <w:rFonts w:ascii="Times New Roman" w:hAnsi="Times New Roman"/>
        </w:rPr>
        <w:t xml:space="preserve">     </w:t>
      </w:r>
      <w:r>
        <w:rPr>
          <w:rFonts w:ascii="Times New Roman" w:hAnsi="Times New Roman"/>
        </w:rPr>
        <w:t>7,85</w:t>
      </w:r>
      <w:r w:rsidRPr="00F64586">
        <w:rPr>
          <w:rFonts w:ascii="Times New Roman" w:hAnsi="Times New Roman"/>
        </w:rPr>
        <w:t> mil. eur.</w:t>
      </w:r>
    </w:p>
    <w:p w:rsidR="006C0389" w:rsidP="006C0389">
      <w:pPr>
        <w:bidi w:val="0"/>
        <w:jc w:val="both"/>
        <w:rPr>
          <w:rFonts w:ascii="Times New Roman" w:hAnsi="Times New Roman"/>
        </w:rPr>
      </w:pPr>
    </w:p>
    <w:p w:rsidR="006C0389" w:rsidRPr="0029184F" w:rsidP="006C0389">
      <w:pPr>
        <w:keepNext/>
        <w:bidi w:val="0"/>
        <w:outlineLvl w:val="0"/>
        <w:rPr>
          <w:rFonts w:ascii="Times New Roman" w:hAnsi="Times New Roman"/>
          <w:b/>
          <w:bCs/>
          <w:kern w:val="36"/>
          <w:sz w:val="48"/>
          <w:szCs w:val="48"/>
        </w:rPr>
      </w:pPr>
      <w:r w:rsidRPr="0029184F">
        <w:rPr>
          <w:rFonts w:ascii="Times New Roman" w:hAnsi="Times New Roman"/>
          <w:b/>
          <w:bCs/>
          <w:kern w:val="36"/>
        </w:rPr>
        <w:t>4. Štátne fondy</w:t>
      </w:r>
    </w:p>
    <w:p w:rsidR="006C0389" w:rsidRPr="0029184F" w:rsidP="006C0389">
      <w:pPr>
        <w:bidi w:val="0"/>
        <w:rPr>
          <w:rFonts w:ascii="Times New Roman" w:hAnsi="Times New Roman"/>
          <w:b/>
          <w:bCs/>
        </w:rPr>
      </w:pPr>
      <w:r w:rsidRPr="0029184F">
        <w:rPr>
          <w:rFonts w:ascii="Times New Roman" w:hAnsi="Times New Roman"/>
          <w:b/>
          <w:bCs/>
        </w:rPr>
        <w:t> </w:t>
      </w:r>
    </w:p>
    <w:p w:rsidR="006C0389" w:rsidRPr="0029184F" w:rsidP="006C0389">
      <w:pPr>
        <w:bidi w:val="0"/>
        <w:jc w:val="both"/>
        <w:rPr>
          <w:rFonts w:ascii="Times New Roman" w:hAnsi="Times New Roman"/>
        </w:rPr>
      </w:pPr>
      <w:r w:rsidRPr="0029184F">
        <w:rPr>
          <w:rFonts w:ascii="Times New Roman" w:hAnsi="Times New Roman"/>
          <w:b/>
          <w:bCs/>
        </w:rPr>
        <w:t>4.1</w:t>
      </w:r>
      <w:r>
        <w:rPr>
          <w:rFonts w:ascii="Times New Roman" w:hAnsi="Times New Roman"/>
          <w:b/>
          <w:bCs/>
        </w:rPr>
        <w:t>.</w:t>
      </w:r>
      <w:r w:rsidRPr="0029184F">
        <w:rPr>
          <w:rFonts w:ascii="Times New Roman" w:hAnsi="Times New Roman"/>
          <w:b/>
          <w:bCs/>
        </w:rPr>
        <w:t xml:space="preserve"> Štátny fond rozvoja bývania</w:t>
      </w:r>
    </w:p>
    <w:p w:rsidR="006C0389" w:rsidRPr="0029184F" w:rsidP="006C0389">
      <w:pPr>
        <w:bidi w:val="0"/>
        <w:rPr>
          <w:rFonts w:ascii="Times New Roman" w:hAnsi="Times New Roman"/>
          <w:sz w:val="16"/>
          <w:szCs w:val="16"/>
        </w:rPr>
      </w:pPr>
    </w:p>
    <w:p w:rsidR="006C0389" w:rsidP="006C0389">
      <w:pPr>
        <w:bidi w:val="0"/>
        <w:ind w:firstLine="708"/>
        <w:jc w:val="both"/>
        <w:rPr>
          <w:rFonts w:ascii="Times New Roman" w:hAnsi="Times New Roman"/>
        </w:rPr>
      </w:pPr>
      <w:r w:rsidRPr="0029184F">
        <w:rPr>
          <w:rFonts w:ascii="Times New Roman" w:hAnsi="Times New Roman"/>
        </w:rPr>
        <w:t>Prostredníctvom Štátneho fondu rozvoja bývania (ďalej len „ŠFRB“) sa uskutočňuje financovanie štátnej podpory pri rozširovaní a zveľaďovaní bytového fondu.</w:t>
      </w: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RPr="0029184F" w:rsidP="006C0389">
      <w:pPr>
        <w:bidi w:val="0"/>
        <w:ind w:firstLine="708"/>
        <w:jc w:val="both"/>
        <w:rPr>
          <w:rFonts w:ascii="Times New Roman" w:hAnsi="Times New Roman"/>
        </w:rPr>
      </w:pPr>
    </w:p>
    <w:p w:rsidR="006C0389" w:rsidRPr="0029184F" w:rsidP="006C0389">
      <w:pPr>
        <w:bidi w:val="0"/>
        <w:jc w:val="both"/>
        <w:rPr>
          <w:rFonts w:ascii="Times New Roman" w:hAnsi="Times New Roman"/>
          <w:sz w:val="16"/>
          <w:szCs w:val="16"/>
        </w:rPr>
      </w:pPr>
    </w:p>
    <w:tbl>
      <w:tblPr>
        <w:tblStyle w:val="TableNormal"/>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75"/>
        <w:gridCol w:w="676"/>
        <w:gridCol w:w="801"/>
        <w:gridCol w:w="800"/>
        <w:gridCol w:w="800"/>
        <w:gridCol w:w="800"/>
        <w:gridCol w:w="800"/>
        <w:gridCol w:w="800"/>
      </w:tblGrid>
      <w:tr>
        <w:tblPrEx>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bottom"/>
          </w:tcPr>
          <w:p w:rsidR="006C0389" w:rsidRPr="0029184F" w:rsidP="000008FE">
            <w:pPr>
              <w:bidi w:val="0"/>
              <w:rPr>
                <w:rFonts w:ascii="Times New Roman" w:hAnsi="Times New Roman"/>
                <w:b/>
                <w:bCs/>
                <w:color w:val="000000"/>
                <w:sz w:val="16"/>
                <w:szCs w:val="16"/>
              </w:rPr>
            </w:pPr>
            <w:r w:rsidRPr="0029184F">
              <w:rPr>
                <w:rFonts w:ascii="Times New Roman" w:hAnsi="Times New Roman"/>
                <w:b/>
                <w:bCs/>
                <w:color w:val="000000"/>
                <w:sz w:val="16"/>
                <w:szCs w:val="16"/>
              </w:rPr>
              <w:t>v tis. eur</w:t>
            </w:r>
          </w:p>
        </w:tc>
        <w:tc>
          <w:tcPr>
            <w:tcW w:w="373" w:type="pct"/>
            <w:tcBorders>
              <w:top w:val="single" w:sz="4" w:space="0" w:color="auto"/>
              <w:left w:val="single" w:sz="4" w:space="0" w:color="auto"/>
              <w:bottom w:val="single" w:sz="4" w:space="0" w:color="auto"/>
              <w:right w:val="single" w:sz="4" w:space="0" w:color="auto"/>
            </w:tcBorders>
            <w:shd w:val="pct35" w:color="auto" w:fill="FFFFFF"/>
            <w:textDirection w:val="lrTb"/>
            <w:vAlign w:val="bottom"/>
          </w:tcPr>
          <w:p w:rsidR="006C0389" w:rsidRPr="0029184F" w:rsidP="000008FE">
            <w:pPr>
              <w:bidi w:val="0"/>
              <w:jc w:val="center"/>
              <w:rPr>
                <w:rFonts w:ascii="Times New Roman" w:hAnsi="Times New Roman"/>
                <w:b/>
                <w:bCs/>
                <w:sz w:val="16"/>
                <w:szCs w:val="16"/>
              </w:rPr>
            </w:pPr>
            <w:r w:rsidRPr="0029184F">
              <w:rPr>
                <w:rFonts w:ascii="Times New Roman" w:hAnsi="Times New Roman"/>
                <w:b/>
                <w:bCs/>
                <w:sz w:val="16"/>
                <w:szCs w:val="16"/>
              </w:rPr>
              <w:t>2013 S</w:t>
            </w:r>
          </w:p>
        </w:tc>
        <w:tc>
          <w:tcPr>
            <w:tcW w:w="442"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bottom"/>
          </w:tcPr>
          <w:p w:rsidR="006C0389" w:rsidRPr="0029184F" w:rsidP="000008FE">
            <w:pPr>
              <w:bidi w:val="0"/>
              <w:jc w:val="center"/>
              <w:rPr>
                <w:rFonts w:ascii="Times New Roman" w:hAnsi="Times New Roman"/>
                <w:b/>
                <w:bCs/>
                <w:color w:val="000000"/>
                <w:sz w:val="16"/>
                <w:szCs w:val="16"/>
              </w:rPr>
            </w:pPr>
            <w:r w:rsidRPr="0029184F">
              <w:rPr>
                <w:rFonts w:ascii="Times New Roman" w:hAnsi="Times New Roman"/>
                <w:b/>
                <w:bCs/>
                <w:color w:val="000000"/>
                <w:sz w:val="16"/>
                <w:szCs w:val="16"/>
              </w:rPr>
              <w:t>2014 S</w:t>
            </w:r>
          </w:p>
        </w:tc>
        <w:tc>
          <w:tcPr>
            <w:tcW w:w="442"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bottom"/>
          </w:tcPr>
          <w:p w:rsidR="006C0389" w:rsidRPr="0029184F" w:rsidP="000008FE">
            <w:pPr>
              <w:bidi w:val="0"/>
              <w:jc w:val="center"/>
              <w:rPr>
                <w:rFonts w:ascii="Times New Roman" w:hAnsi="Times New Roman"/>
                <w:b/>
                <w:bCs/>
                <w:color w:val="000000"/>
                <w:sz w:val="16"/>
                <w:szCs w:val="16"/>
              </w:rPr>
            </w:pPr>
            <w:r w:rsidRPr="0029184F">
              <w:rPr>
                <w:rFonts w:ascii="Times New Roman" w:hAnsi="Times New Roman"/>
                <w:b/>
                <w:bCs/>
                <w:color w:val="000000"/>
                <w:sz w:val="16"/>
                <w:szCs w:val="16"/>
              </w:rPr>
              <w:t>2015 R</w:t>
            </w:r>
          </w:p>
        </w:tc>
        <w:tc>
          <w:tcPr>
            <w:tcW w:w="442"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bottom"/>
          </w:tcPr>
          <w:p w:rsidR="006C0389" w:rsidRPr="0029184F" w:rsidP="000008FE">
            <w:pPr>
              <w:bidi w:val="0"/>
              <w:jc w:val="center"/>
              <w:rPr>
                <w:rFonts w:ascii="Times New Roman" w:hAnsi="Times New Roman"/>
                <w:b/>
                <w:bCs/>
                <w:color w:val="000000"/>
                <w:sz w:val="16"/>
                <w:szCs w:val="16"/>
              </w:rPr>
            </w:pPr>
            <w:r w:rsidRPr="0029184F">
              <w:rPr>
                <w:rFonts w:ascii="Times New Roman" w:hAnsi="Times New Roman"/>
                <w:b/>
                <w:bCs/>
                <w:color w:val="000000"/>
                <w:sz w:val="16"/>
                <w:szCs w:val="16"/>
              </w:rPr>
              <w:t xml:space="preserve">2015 OS </w:t>
            </w:r>
          </w:p>
        </w:tc>
        <w:tc>
          <w:tcPr>
            <w:tcW w:w="442"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bottom"/>
          </w:tcPr>
          <w:p w:rsidR="006C0389" w:rsidRPr="0029184F" w:rsidP="000008FE">
            <w:pPr>
              <w:bidi w:val="0"/>
              <w:jc w:val="center"/>
              <w:rPr>
                <w:rFonts w:ascii="Times New Roman" w:hAnsi="Times New Roman"/>
                <w:b/>
                <w:bCs/>
                <w:color w:val="000000"/>
                <w:sz w:val="16"/>
                <w:szCs w:val="16"/>
              </w:rPr>
            </w:pPr>
            <w:r w:rsidRPr="0029184F">
              <w:rPr>
                <w:rFonts w:ascii="Times New Roman" w:hAnsi="Times New Roman"/>
                <w:b/>
                <w:bCs/>
                <w:color w:val="000000"/>
                <w:sz w:val="16"/>
                <w:szCs w:val="16"/>
              </w:rPr>
              <w:t>2016 N</w:t>
            </w:r>
          </w:p>
        </w:tc>
        <w:tc>
          <w:tcPr>
            <w:tcW w:w="442"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bottom"/>
          </w:tcPr>
          <w:p w:rsidR="006C0389" w:rsidRPr="0029184F" w:rsidP="000008FE">
            <w:pPr>
              <w:bidi w:val="0"/>
              <w:jc w:val="center"/>
              <w:rPr>
                <w:rFonts w:ascii="Times New Roman" w:hAnsi="Times New Roman"/>
                <w:b/>
                <w:bCs/>
                <w:color w:val="000000"/>
                <w:sz w:val="16"/>
                <w:szCs w:val="16"/>
              </w:rPr>
            </w:pPr>
            <w:r w:rsidRPr="0029184F">
              <w:rPr>
                <w:rFonts w:ascii="Times New Roman" w:hAnsi="Times New Roman"/>
                <w:b/>
                <w:bCs/>
                <w:color w:val="000000"/>
                <w:sz w:val="16"/>
                <w:szCs w:val="16"/>
              </w:rPr>
              <w:t>2017 N</w:t>
            </w:r>
          </w:p>
        </w:tc>
        <w:tc>
          <w:tcPr>
            <w:tcW w:w="442" w:type="pct"/>
            <w:tcBorders>
              <w:top w:val="single" w:sz="4" w:space="0" w:color="auto"/>
              <w:left w:val="single" w:sz="4" w:space="0" w:color="auto"/>
              <w:bottom w:val="single" w:sz="4" w:space="0" w:color="auto"/>
              <w:right w:val="single" w:sz="4" w:space="0" w:color="auto"/>
            </w:tcBorders>
            <w:shd w:val="pct35" w:color="auto" w:fill="FFFFFF"/>
            <w:noWrap/>
            <w:textDirection w:val="lrTb"/>
            <w:vAlign w:val="bottom"/>
          </w:tcPr>
          <w:p w:rsidR="006C0389" w:rsidRPr="0029184F" w:rsidP="000008FE">
            <w:pPr>
              <w:bidi w:val="0"/>
              <w:jc w:val="center"/>
              <w:rPr>
                <w:rFonts w:ascii="Times New Roman" w:hAnsi="Times New Roman"/>
                <w:b/>
                <w:bCs/>
                <w:color w:val="000000"/>
                <w:sz w:val="16"/>
                <w:szCs w:val="16"/>
              </w:rPr>
            </w:pPr>
            <w:r w:rsidRPr="0029184F">
              <w:rPr>
                <w:rFonts w:ascii="Times New Roman" w:hAnsi="Times New Roman"/>
                <w:b/>
                <w:bCs/>
                <w:color w:val="000000"/>
                <w:sz w:val="16"/>
                <w:szCs w:val="16"/>
              </w:rPr>
              <w:t>2018 N</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rPr>
                <w:rFonts w:ascii="Times New Roman" w:hAnsi="Times New Roman"/>
                <w:b/>
                <w:bCs/>
                <w:color w:val="000000"/>
                <w:sz w:val="16"/>
                <w:szCs w:val="16"/>
              </w:rPr>
            </w:pPr>
            <w:r w:rsidRPr="0029184F">
              <w:rPr>
                <w:rFonts w:ascii="Times New Roman" w:hAnsi="Times New Roman"/>
                <w:b/>
                <w:bCs/>
                <w:color w:val="000000"/>
                <w:sz w:val="16"/>
                <w:szCs w:val="16"/>
              </w:rPr>
              <w:t>Príjmy ŠFRB spolu</w:t>
            </w:r>
          </w:p>
        </w:tc>
        <w:tc>
          <w:tcPr>
            <w:tcW w:w="373" w:type="pct"/>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6C0389" w:rsidRPr="0029184F" w:rsidP="000008FE">
            <w:pPr>
              <w:bidi w:val="0"/>
              <w:jc w:val="right"/>
              <w:rPr>
                <w:rFonts w:ascii="Times New Roman" w:hAnsi="Times New Roman"/>
                <w:b/>
                <w:bCs/>
                <w:color w:val="000000"/>
                <w:sz w:val="16"/>
                <w:szCs w:val="16"/>
              </w:rPr>
            </w:pPr>
            <w:r w:rsidRPr="0029184F">
              <w:rPr>
                <w:rFonts w:ascii="Times New Roman" w:hAnsi="Times New Roman"/>
                <w:b/>
                <w:bCs/>
                <w:iCs/>
                <w:color w:val="000000"/>
                <w:sz w:val="16"/>
                <w:szCs w:val="16"/>
              </w:rPr>
              <w:t>197 054</w:t>
            </w:r>
          </w:p>
        </w:tc>
        <w:tc>
          <w:tcPr>
            <w:tcW w:w="4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210 059</w:t>
            </w:r>
          </w:p>
        </w:tc>
        <w:tc>
          <w:tcPr>
            <w:tcW w:w="4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188 609</w:t>
            </w:r>
          </w:p>
        </w:tc>
        <w:tc>
          <w:tcPr>
            <w:tcW w:w="4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307 365</w:t>
            </w:r>
          </w:p>
        </w:tc>
        <w:tc>
          <w:tcPr>
            <w:tcW w:w="4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161 917</w:t>
            </w:r>
          </w:p>
        </w:tc>
        <w:tc>
          <w:tcPr>
            <w:tcW w:w="4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162 704</w:t>
            </w:r>
          </w:p>
        </w:tc>
        <w:tc>
          <w:tcPr>
            <w:tcW w:w="4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166 948</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29184F" w:rsidP="000008FE">
            <w:pPr>
              <w:bidi w:val="0"/>
              <w:rPr>
                <w:rFonts w:ascii="Times New Roman" w:hAnsi="Times New Roman"/>
                <w:b/>
                <w:color w:val="000000"/>
                <w:sz w:val="16"/>
                <w:szCs w:val="16"/>
              </w:rPr>
            </w:pPr>
            <w:r w:rsidRPr="0029184F">
              <w:rPr>
                <w:rFonts w:ascii="Times New Roman" w:hAnsi="Times New Roman"/>
                <w:b/>
                <w:color w:val="000000"/>
                <w:sz w:val="16"/>
                <w:szCs w:val="16"/>
              </w:rPr>
              <w:t>z toho:</w:t>
            </w:r>
          </w:p>
        </w:tc>
        <w:tc>
          <w:tcPr>
            <w:tcW w:w="373" w:type="pct"/>
            <w:tcBorders>
              <w:top w:val="single" w:sz="4" w:space="0" w:color="auto"/>
              <w:left w:val="single" w:sz="4" w:space="0" w:color="auto"/>
              <w:bottom w:val="single" w:sz="4" w:space="0" w:color="auto"/>
              <w:right w:val="single" w:sz="4" w:space="0" w:color="auto"/>
            </w:tcBorders>
            <w:textDirection w:val="lrTb"/>
            <w:vAlign w:val="bottom"/>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
                <w:bCs/>
                <w:i/>
                <w:iCs/>
                <w:sz w:val="16"/>
                <w:szCs w:val="16"/>
              </w:rPr>
            </w:pP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
                <w:bCs/>
                <w:i/>
                <w:iCs/>
                <w:sz w:val="16"/>
                <w:szCs w:val="16"/>
              </w:rPr>
            </w:pP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
                <w:bCs/>
                <w:iCs/>
                <w:sz w:val="16"/>
                <w:szCs w:val="16"/>
              </w:rPr>
            </w:pP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
                <w:bCs/>
                <w:iCs/>
                <w:sz w:val="16"/>
                <w:szCs w:val="16"/>
              </w:rPr>
            </w:pP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
                <w:bCs/>
                <w:iCs/>
                <w:sz w:val="16"/>
                <w:szCs w:val="16"/>
              </w:rPr>
            </w:pP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
                <w:bCs/>
                <w:iCs/>
                <w:sz w:val="16"/>
                <w:szCs w:val="16"/>
              </w:rPr>
            </w:pP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xml:space="preserve">▪ nedaňové príjmy, z toho: </w:t>
            </w:r>
          </w:p>
        </w:tc>
        <w:tc>
          <w:tcPr>
            <w:tcW w:w="373" w:type="pct"/>
            <w:tcBorders>
              <w:top w:val="single" w:sz="4" w:space="0" w:color="auto"/>
              <w:left w:val="single" w:sz="4" w:space="0" w:color="auto"/>
              <w:bottom w:val="single" w:sz="4" w:space="0" w:color="auto"/>
              <w:right w:val="single" w:sz="4" w:space="0" w:color="auto"/>
            </w:tcBorders>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31 020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30 415</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29 749</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29 445</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29 599</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29 649</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29 699</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xml:space="preserve">      pokuty, penále a iné</w:t>
            </w:r>
          </w:p>
        </w:tc>
        <w:tc>
          <w:tcPr>
            <w:tcW w:w="37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30</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sz w:val="16"/>
                <w:szCs w:val="16"/>
              </w:rPr>
            </w:pPr>
            <w:r w:rsidRPr="0029184F">
              <w:rPr>
                <w:rFonts w:ascii="Times New Roman" w:hAnsi="Times New Roman"/>
                <w:sz w:val="16"/>
                <w:szCs w:val="16"/>
              </w:rPr>
              <w:t>2</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bCs/>
                <w:iCs/>
                <w:color w:val="000000"/>
                <w:sz w:val="16"/>
                <w:szCs w:val="16"/>
              </w:rPr>
            </w:pPr>
            <w:r w:rsidRPr="0029184F">
              <w:rPr>
                <w:rFonts w:ascii="Times New Roman" w:hAnsi="Times New Roman"/>
                <w:bCs/>
                <w:iCs/>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bCs/>
                <w:iCs/>
                <w:color w:val="000000"/>
                <w:sz w:val="16"/>
                <w:szCs w:val="16"/>
              </w:rPr>
            </w:pPr>
            <w:r w:rsidRPr="0029184F">
              <w:rPr>
                <w:rFonts w:ascii="Times New Roman" w:hAnsi="Times New Roman"/>
                <w:bCs/>
                <w:iCs/>
                <w:color w:val="000000"/>
                <w:sz w:val="16"/>
                <w:szCs w:val="16"/>
              </w:rPr>
              <w:t>15</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bCs/>
                <w:iCs/>
                <w:color w:val="000000"/>
                <w:sz w:val="16"/>
                <w:szCs w:val="16"/>
              </w:rPr>
            </w:pPr>
            <w:r w:rsidRPr="0029184F">
              <w:rPr>
                <w:rFonts w:ascii="Times New Roman" w:hAnsi="Times New Roman"/>
                <w:bCs/>
                <w:iCs/>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bCs/>
                <w:iCs/>
                <w:color w:val="000000"/>
                <w:sz w:val="16"/>
                <w:szCs w:val="16"/>
              </w:rPr>
            </w:pPr>
            <w:r w:rsidRPr="0029184F">
              <w:rPr>
                <w:rFonts w:ascii="Times New Roman" w:hAnsi="Times New Roman"/>
                <w:bCs/>
                <w:iCs/>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0</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xml:space="preserve">      úroky z domácich pôžičiek  </w:t>
            </w:r>
          </w:p>
        </w:tc>
        <w:tc>
          <w:tcPr>
            <w:tcW w:w="37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29 842</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29 722</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29 299</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29 180</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29 399</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29 499</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29 599</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xml:space="preserve">      iné nedaňové príjmy</w:t>
            </w:r>
          </w:p>
        </w:tc>
        <w:tc>
          <w:tcPr>
            <w:tcW w:w="37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1 148</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sz w:val="16"/>
                <w:szCs w:val="16"/>
              </w:rPr>
            </w:pPr>
            <w:r w:rsidRPr="0029184F">
              <w:rPr>
                <w:rFonts w:ascii="Times New Roman" w:hAnsi="Times New Roman"/>
                <w:sz w:val="16"/>
                <w:szCs w:val="16"/>
              </w:rPr>
              <w:t>691</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450</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250</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200</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150</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100</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granty a transfery, z toho:</w:t>
            </w:r>
          </w:p>
        </w:tc>
        <w:tc>
          <w:tcPr>
            <w:tcW w:w="373" w:type="pct"/>
            <w:tcBorders>
              <w:top w:val="single" w:sz="4" w:space="0" w:color="auto"/>
              <w:left w:val="single" w:sz="4" w:space="0" w:color="auto"/>
              <w:bottom w:val="single" w:sz="4" w:space="0" w:color="auto"/>
              <w:right w:val="single" w:sz="4" w:space="0" w:color="auto"/>
            </w:tcBorders>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bCs/>
                <w:iCs/>
                <w:color w:val="000000"/>
                <w:sz w:val="16"/>
                <w:szCs w:val="16"/>
              </w:rPr>
              <w:t>66 433</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54 904</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54 904</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158 444</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25 000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25 000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25 000</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xml:space="preserve">      transfery v rámci VS</w:t>
            </w:r>
          </w:p>
        </w:tc>
        <w:tc>
          <w:tcPr>
            <w:tcW w:w="373" w:type="pct"/>
            <w:tcBorders>
              <w:top w:val="single" w:sz="4" w:space="0" w:color="auto"/>
              <w:left w:val="single" w:sz="4" w:space="0" w:color="auto"/>
              <w:bottom w:val="single" w:sz="4" w:space="0" w:color="auto"/>
              <w:right w:val="single" w:sz="4" w:space="0" w:color="auto"/>
            </w:tcBorders>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bCs/>
                <w:iCs/>
                <w:color w:val="000000"/>
                <w:sz w:val="16"/>
                <w:szCs w:val="16"/>
              </w:rPr>
              <w:t>66 433</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54 904</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54 904</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158 444</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25 000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25 000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25 000</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xml:space="preserve">▪ príjmy z transakcií s fin. akt. a pas. (FO), z toho </w:t>
            </w:r>
          </w:p>
        </w:tc>
        <w:tc>
          <w:tcPr>
            <w:tcW w:w="373" w:type="pct"/>
            <w:tcBorders>
              <w:top w:val="single" w:sz="4" w:space="0" w:color="auto"/>
              <w:left w:val="single" w:sz="4" w:space="0" w:color="auto"/>
              <w:bottom w:val="single" w:sz="4" w:space="0" w:color="auto"/>
              <w:right w:val="single" w:sz="4" w:space="0" w:color="auto"/>
            </w:tcBorders>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99 601</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124 740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103 956</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119 476</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107 318</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108 055</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112 249</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xml:space="preserve">     zo splácania úverov, pôžičiek, NFV  </w:t>
            </w:r>
          </w:p>
        </w:tc>
        <w:tc>
          <w:tcPr>
            <w:tcW w:w="37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79 003</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87 954</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90 214</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91 204</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97 201</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103 201</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107 201</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center"/>
            <w:hideMark/>
          </w:tcPr>
          <w:p w:rsidR="006C0389" w:rsidRPr="0029184F" w:rsidP="0060040C">
            <w:pPr>
              <w:bidi w:val="0"/>
              <w:ind w:firstLine="160" w:firstLineChars="100"/>
              <w:rPr>
                <w:rFonts w:ascii="Times New Roman" w:hAnsi="Times New Roman"/>
                <w:sz w:val="16"/>
                <w:szCs w:val="16"/>
              </w:rPr>
            </w:pPr>
            <w:r w:rsidRPr="0029184F">
              <w:rPr>
                <w:rFonts w:ascii="Times New Roman" w:hAnsi="Times New Roman"/>
                <w:sz w:val="16"/>
                <w:szCs w:val="16"/>
              </w:rPr>
              <w:t xml:space="preserve"> zostatok  prostriedkov z predch.  rokov</w:t>
            </w:r>
          </w:p>
        </w:tc>
        <w:tc>
          <w:tcPr>
            <w:tcW w:w="37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20 598</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36 786</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sz w:val="16"/>
                <w:szCs w:val="16"/>
              </w:rPr>
            </w:pPr>
            <w:r w:rsidRPr="0029184F">
              <w:rPr>
                <w:rFonts w:ascii="Times New Roman" w:hAnsi="Times New Roman"/>
                <w:sz w:val="16"/>
                <w:szCs w:val="16"/>
              </w:rPr>
              <w:t>13 742</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sz w:val="16"/>
                <w:szCs w:val="16"/>
              </w:rPr>
            </w:pPr>
            <w:r w:rsidRPr="0029184F">
              <w:rPr>
                <w:rFonts w:ascii="Times New Roman" w:hAnsi="Times New Roman"/>
                <w:sz w:val="16"/>
                <w:szCs w:val="16"/>
              </w:rPr>
              <w:t>28 272</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sz w:val="16"/>
                <w:szCs w:val="16"/>
              </w:rPr>
            </w:pPr>
            <w:r w:rsidRPr="0029184F">
              <w:rPr>
                <w:rFonts w:ascii="Times New Roman" w:hAnsi="Times New Roman"/>
                <w:sz w:val="16"/>
                <w:szCs w:val="16"/>
              </w:rPr>
              <w:t>10 117</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sz w:val="16"/>
                <w:szCs w:val="16"/>
              </w:rPr>
            </w:pPr>
            <w:r w:rsidRPr="0029184F">
              <w:rPr>
                <w:rFonts w:ascii="Times New Roman" w:hAnsi="Times New Roman"/>
                <w:sz w:val="16"/>
                <w:szCs w:val="16"/>
              </w:rPr>
              <w:t>4 854</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5 048</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rPr>
                <w:rFonts w:ascii="Times New Roman" w:hAnsi="Times New Roman"/>
                <w:b/>
                <w:bCs/>
                <w:color w:val="000000"/>
                <w:sz w:val="16"/>
                <w:szCs w:val="16"/>
              </w:rPr>
            </w:pPr>
            <w:r w:rsidRPr="0029184F">
              <w:rPr>
                <w:rFonts w:ascii="Times New Roman" w:hAnsi="Times New Roman"/>
                <w:b/>
                <w:bCs/>
                <w:color w:val="000000"/>
                <w:sz w:val="16"/>
                <w:szCs w:val="16"/>
              </w:rPr>
              <w:t>Výdavky ŠFRB spolu</w:t>
            </w:r>
          </w:p>
        </w:tc>
        <w:tc>
          <w:tcPr>
            <w:tcW w:w="373" w:type="pct"/>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6C0389" w:rsidRPr="0029184F" w:rsidP="000008FE">
            <w:pPr>
              <w:bidi w:val="0"/>
              <w:jc w:val="right"/>
              <w:rPr>
                <w:rFonts w:ascii="Times New Roman" w:hAnsi="Times New Roman"/>
                <w:b/>
                <w:bCs/>
                <w:color w:val="000000"/>
                <w:sz w:val="16"/>
                <w:szCs w:val="16"/>
              </w:rPr>
            </w:pPr>
            <w:r w:rsidRPr="0029184F">
              <w:rPr>
                <w:rFonts w:ascii="Times New Roman" w:hAnsi="Times New Roman"/>
                <w:b/>
                <w:bCs/>
                <w:iCs/>
                <w:color w:val="000000"/>
                <w:sz w:val="16"/>
                <w:szCs w:val="16"/>
              </w:rPr>
              <w:t>160 268</w:t>
            </w:r>
          </w:p>
        </w:tc>
        <w:tc>
          <w:tcPr>
            <w:tcW w:w="4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181 787</w:t>
            </w:r>
          </w:p>
        </w:tc>
        <w:tc>
          <w:tcPr>
            <w:tcW w:w="4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178 986</w:t>
            </w:r>
          </w:p>
        </w:tc>
        <w:tc>
          <w:tcPr>
            <w:tcW w:w="4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297 248</w:t>
            </w:r>
          </w:p>
        </w:tc>
        <w:tc>
          <w:tcPr>
            <w:tcW w:w="4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157 063</w:t>
            </w:r>
          </w:p>
        </w:tc>
        <w:tc>
          <w:tcPr>
            <w:tcW w:w="4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157 656</w:t>
            </w:r>
          </w:p>
        </w:tc>
        <w:tc>
          <w:tcPr>
            <w:tcW w:w="4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160 243</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bottom"/>
          </w:tcPr>
          <w:p w:rsidR="006C0389" w:rsidRPr="0029184F" w:rsidP="000008FE">
            <w:pPr>
              <w:bidi w:val="0"/>
              <w:rPr>
                <w:rFonts w:ascii="Times New Roman" w:hAnsi="Times New Roman"/>
                <w:b/>
                <w:color w:val="000000"/>
                <w:sz w:val="16"/>
                <w:szCs w:val="16"/>
              </w:rPr>
            </w:pPr>
            <w:r w:rsidRPr="0029184F">
              <w:rPr>
                <w:rFonts w:ascii="Times New Roman" w:hAnsi="Times New Roman"/>
                <w:b/>
                <w:color w:val="000000"/>
                <w:sz w:val="16"/>
                <w:szCs w:val="16"/>
              </w:rPr>
              <w:t>z toho:</w:t>
            </w:r>
          </w:p>
        </w:tc>
        <w:tc>
          <w:tcPr>
            <w:tcW w:w="373" w:type="pct"/>
            <w:tcBorders>
              <w:top w:val="single" w:sz="4" w:space="0" w:color="auto"/>
              <w:left w:val="single" w:sz="4" w:space="0" w:color="auto"/>
              <w:bottom w:val="single" w:sz="4" w:space="0" w:color="auto"/>
              <w:right w:val="single" w:sz="4" w:space="0" w:color="auto"/>
            </w:tcBorders>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bCs/>
                <w:iCs/>
                <w:color w:val="000000"/>
                <w:sz w:val="16"/>
                <w:szCs w:val="16"/>
              </w:rPr>
              <w:t> </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
                <w:bCs/>
                <w:i/>
                <w:iCs/>
                <w:sz w:val="16"/>
                <w:szCs w:val="16"/>
              </w:rPr>
            </w:pP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
                <w:bCs/>
                <w:i/>
                <w:iCs/>
                <w:sz w:val="16"/>
                <w:szCs w:val="16"/>
              </w:rPr>
            </w:pP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b/>
                <w:bCs/>
                <w:i/>
                <w:iCs/>
                <w:sz w:val="16"/>
                <w:szCs w:val="16"/>
              </w:rPr>
            </w:pP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b/>
                <w:bCs/>
                <w:i/>
                <w:iCs/>
                <w:sz w:val="16"/>
                <w:szCs w:val="16"/>
              </w:rPr>
            </w:pP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b/>
                <w:bCs/>
                <w:i/>
                <w:iCs/>
                <w:sz w:val="16"/>
                <w:szCs w:val="16"/>
              </w:rPr>
            </w:pP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b/>
                <w:bCs/>
                <w:i/>
                <w:iCs/>
                <w:sz w:val="16"/>
                <w:szCs w:val="16"/>
              </w:rPr>
            </w:pP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bežné výdavky</w:t>
            </w:r>
          </w:p>
        </w:tc>
        <w:tc>
          <w:tcPr>
            <w:tcW w:w="373" w:type="pct"/>
            <w:tcBorders>
              <w:top w:val="single" w:sz="4" w:space="0" w:color="auto"/>
              <w:left w:val="single" w:sz="4" w:space="0" w:color="auto"/>
              <w:bottom w:val="single" w:sz="4" w:space="0" w:color="auto"/>
              <w:right w:val="single" w:sz="4" w:space="0" w:color="auto"/>
            </w:tcBorders>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bCs/>
                <w:iCs/>
                <w:color w:val="000000"/>
                <w:sz w:val="16"/>
                <w:szCs w:val="16"/>
              </w:rPr>
              <w:t>5 165</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3 699</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3 786</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4 075</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4 267</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4 360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4 447</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xml:space="preserve">      mzdy</w:t>
            </w:r>
          </w:p>
        </w:tc>
        <w:tc>
          <w:tcPr>
            <w:tcW w:w="37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900</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887</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870</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1 077</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892</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892</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892</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xml:space="preserve">      poistné</w:t>
            </w:r>
          </w:p>
        </w:tc>
        <w:tc>
          <w:tcPr>
            <w:tcW w:w="37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382</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372</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338</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419</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346</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347</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347</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xml:space="preserve">      tovary a služby</w:t>
            </w:r>
          </w:p>
        </w:tc>
        <w:tc>
          <w:tcPr>
            <w:tcW w:w="37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3 875</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2 430</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2 558</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2 559</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2 979</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3 081</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3 188</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xml:space="preserve">      bežné transfery</w:t>
            </w:r>
          </w:p>
        </w:tc>
        <w:tc>
          <w:tcPr>
            <w:tcW w:w="37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8</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10</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20</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20</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50</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40</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20</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kapitálové výdavky</w:t>
            </w:r>
          </w:p>
        </w:tc>
        <w:tc>
          <w:tcPr>
            <w:tcW w:w="373" w:type="pct"/>
            <w:tcBorders>
              <w:top w:val="single" w:sz="4" w:space="0" w:color="auto"/>
              <w:left w:val="single" w:sz="4" w:space="0" w:color="auto"/>
              <w:bottom w:val="single" w:sz="4" w:space="0" w:color="auto"/>
              <w:right w:val="single" w:sz="4" w:space="0" w:color="auto"/>
            </w:tcBorders>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bCs/>
                <w:iCs/>
                <w:color w:val="000000"/>
                <w:sz w:val="16"/>
                <w:szCs w:val="16"/>
              </w:rPr>
              <w:t>512</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499</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700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600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700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700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bCs/>
                <w:iCs/>
                <w:sz w:val="16"/>
                <w:szCs w:val="16"/>
              </w:rPr>
            </w:pPr>
            <w:r w:rsidRPr="0029184F">
              <w:rPr>
                <w:rFonts w:ascii="Times New Roman" w:hAnsi="Times New Roman"/>
                <w:bCs/>
                <w:iCs/>
                <w:sz w:val="16"/>
                <w:szCs w:val="16"/>
              </w:rPr>
              <w:t>700</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xml:space="preserve">      obstarávanie kapitálových aktív</w:t>
            </w:r>
          </w:p>
        </w:tc>
        <w:tc>
          <w:tcPr>
            <w:tcW w:w="373" w:type="pct"/>
            <w:tcBorders>
              <w:top w:val="single" w:sz="4" w:space="0" w:color="auto"/>
              <w:left w:val="single" w:sz="4" w:space="0" w:color="auto"/>
              <w:bottom w:val="single" w:sz="4" w:space="0" w:color="auto"/>
              <w:right w:val="single" w:sz="4" w:space="0" w:color="auto"/>
            </w:tcBorders>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bCs/>
                <w:iCs/>
                <w:color w:val="000000"/>
                <w:sz w:val="16"/>
                <w:szCs w:val="16"/>
              </w:rPr>
              <w:t>440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499</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700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600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700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700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700</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xml:space="preserve">      kapitálové transfery</w:t>
            </w:r>
          </w:p>
        </w:tc>
        <w:tc>
          <w:tcPr>
            <w:tcW w:w="373" w:type="pct"/>
            <w:tcBorders>
              <w:top w:val="single" w:sz="4" w:space="0" w:color="auto"/>
              <w:left w:val="single" w:sz="4" w:space="0" w:color="auto"/>
              <w:bottom w:val="single" w:sz="4" w:space="0" w:color="auto"/>
              <w:right w:val="single" w:sz="4" w:space="0" w:color="auto"/>
            </w:tcBorders>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bCs/>
                <w:iCs/>
                <w:color w:val="000000"/>
                <w:sz w:val="16"/>
                <w:szCs w:val="16"/>
              </w:rPr>
              <w:t>72</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iCs/>
                <w:color w:val="000000"/>
                <w:sz w:val="16"/>
                <w:szCs w:val="16"/>
              </w:rPr>
            </w:pPr>
            <w:r w:rsidRPr="0029184F">
              <w:rPr>
                <w:rFonts w:ascii="Times New Roman" w:hAnsi="Times New Roman"/>
                <w:iCs/>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0</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29184F" w:rsidP="0060040C">
            <w:pPr>
              <w:bidi w:val="0"/>
              <w:rPr>
                <w:rFonts w:ascii="Times New Roman" w:hAnsi="Times New Roman"/>
                <w:bCs/>
                <w:iCs/>
                <w:sz w:val="16"/>
                <w:szCs w:val="16"/>
              </w:rPr>
            </w:pPr>
            <w:r w:rsidRPr="0029184F">
              <w:rPr>
                <w:rFonts w:ascii="Times New Roman" w:hAnsi="Times New Roman"/>
                <w:color w:val="000000"/>
                <w:sz w:val="16"/>
                <w:szCs w:val="16"/>
              </w:rPr>
              <w:t xml:space="preserve">▪ </w:t>
            </w:r>
            <w:r w:rsidRPr="0029184F">
              <w:rPr>
                <w:rFonts w:ascii="Times New Roman" w:hAnsi="Times New Roman"/>
                <w:bCs/>
                <w:iCs/>
                <w:sz w:val="16"/>
                <w:szCs w:val="16"/>
              </w:rPr>
              <w:t>výdavky z transakcií s fin. akt. a pas., z toho: (FO)</w:t>
            </w:r>
          </w:p>
        </w:tc>
        <w:tc>
          <w:tcPr>
            <w:tcW w:w="373" w:type="pct"/>
            <w:tcBorders>
              <w:top w:val="single" w:sz="4" w:space="0" w:color="auto"/>
              <w:left w:val="single" w:sz="4" w:space="0" w:color="auto"/>
              <w:bottom w:val="single" w:sz="4" w:space="0" w:color="auto"/>
              <w:right w:val="single" w:sz="4" w:space="0" w:color="auto"/>
            </w:tcBorders>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bCs/>
                <w:iCs/>
                <w:color w:val="000000"/>
                <w:sz w:val="16"/>
                <w:szCs w:val="16"/>
              </w:rPr>
              <w:t>154 591</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177 589</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9184F" w:rsidP="000008FE">
            <w:pPr>
              <w:bidi w:val="0"/>
              <w:jc w:val="right"/>
              <w:rPr>
                <w:rFonts w:ascii="Times New Roman" w:hAnsi="Times New Roman"/>
                <w:bCs/>
                <w:iCs/>
                <w:color w:val="000000"/>
                <w:sz w:val="16"/>
                <w:szCs w:val="16"/>
              </w:rPr>
            </w:pPr>
            <w:r w:rsidRPr="0029184F">
              <w:rPr>
                <w:rFonts w:ascii="Times New Roman" w:hAnsi="Times New Roman"/>
                <w:bCs/>
                <w:iCs/>
                <w:color w:val="000000"/>
                <w:sz w:val="16"/>
                <w:szCs w:val="16"/>
              </w:rPr>
              <w:t>174 500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9184F" w:rsidP="000008FE">
            <w:pPr>
              <w:bidi w:val="0"/>
              <w:jc w:val="right"/>
              <w:rPr>
                <w:rFonts w:ascii="Times New Roman" w:hAnsi="Times New Roman"/>
                <w:bCs/>
                <w:iCs/>
                <w:color w:val="000000"/>
                <w:sz w:val="16"/>
                <w:szCs w:val="16"/>
              </w:rPr>
            </w:pPr>
            <w:r w:rsidRPr="0029184F">
              <w:rPr>
                <w:rFonts w:ascii="Times New Roman" w:hAnsi="Times New Roman"/>
                <w:bCs/>
                <w:iCs/>
                <w:color w:val="000000"/>
                <w:sz w:val="16"/>
                <w:szCs w:val="16"/>
              </w:rPr>
              <w:t>292 573</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9184F" w:rsidP="000008FE">
            <w:pPr>
              <w:bidi w:val="0"/>
              <w:jc w:val="right"/>
              <w:rPr>
                <w:rFonts w:ascii="Times New Roman" w:hAnsi="Times New Roman"/>
                <w:bCs/>
                <w:iCs/>
                <w:color w:val="000000"/>
                <w:sz w:val="16"/>
                <w:szCs w:val="16"/>
              </w:rPr>
            </w:pPr>
            <w:r w:rsidRPr="0029184F">
              <w:rPr>
                <w:rFonts w:ascii="Times New Roman" w:hAnsi="Times New Roman"/>
                <w:bCs/>
                <w:iCs/>
                <w:color w:val="000000"/>
                <w:sz w:val="16"/>
                <w:szCs w:val="16"/>
              </w:rPr>
              <w:t>152 096</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9184F" w:rsidP="000008FE">
            <w:pPr>
              <w:bidi w:val="0"/>
              <w:jc w:val="right"/>
              <w:rPr>
                <w:rFonts w:ascii="Times New Roman" w:hAnsi="Times New Roman"/>
                <w:bCs/>
                <w:iCs/>
                <w:color w:val="000000"/>
                <w:sz w:val="16"/>
                <w:szCs w:val="16"/>
              </w:rPr>
            </w:pPr>
            <w:r w:rsidRPr="0029184F">
              <w:rPr>
                <w:rFonts w:ascii="Times New Roman" w:hAnsi="Times New Roman"/>
                <w:bCs/>
                <w:iCs/>
                <w:color w:val="000000"/>
                <w:sz w:val="16"/>
                <w:szCs w:val="16"/>
              </w:rPr>
              <w:t>152 596</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9184F" w:rsidP="000008FE">
            <w:pPr>
              <w:bidi w:val="0"/>
              <w:jc w:val="right"/>
              <w:rPr>
                <w:rFonts w:ascii="Times New Roman" w:hAnsi="Times New Roman"/>
                <w:bCs/>
                <w:iCs/>
                <w:color w:val="000000"/>
                <w:sz w:val="16"/>
                <w:szCs w:val="16"/>
              </w:rPr>
            </w:pPr>
            <w:r w:rsidRPr="0029184F">
              <w:rPr>
                <w:rFonts w:ascii="Times New Roman" w:hAnsi="Times New Roman"/>
                <w:bCs/>
                <w:iCs/>
                <w:color w:val="000000"/>
                <w:sz w:val="16"/>
                <w:szCs w:val="16"/>
              </w:rPr>
              <w:t>155 096</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noWrap/>
            <w:textDirection w:val="lrTb"/>
            <w:vAlign w:val="center"/>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xml:space="preserve">       úvery a účasť na majetku </w:t>
            </w:r>
          </w:p>
        </w:tc>
        <w:tc>
          <w:tcPr>
            <w:tcW w:w="373" w:type="pct"/>
            <w:tcBorders>
              <w:top w:val="single" w:sz="4" w:space="0" w:color="auto"/>
              <w:left w:val="single" w:sz="4" w:space="0" w:color="auto"/>
              <w:bottom w:val="single" w:sz="4" w:space="0" w:color="auto"/>
              <w:right w:val="single" w:sz="4" w:space="0" w:color="auto"/>
            </w:tcBorders>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bCs/>
                <w:iCs/>
                <w:color w:val="000000"/>
                <w:sz w:val="16"/>
                <w:szCs w:val="16"/>
              </w:rPr>
              <w:t>154 591</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177 589</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29184F" w:rsidP="000008FE">
            <w:pPr>
              <w:bidi w:val="0"/>
              <w:jc w:val="right"/>
              <w:rPr>
                <w:rFonts w:ascii="Times New Roman" w:hAnsi="Times New Roman"/>
                <w:bCs/>
                <w:iCs/>
                <w:color w:val="000000"/>
                <w:sz w:val="16"/>
                <w:szCs w:val="16"/>
              </w:rPr>
            </w:pPr>
            <w:r w:rsidRPr="0029184F">
              <w:rPr>
                <w:rFonts w:ascii="Times New Roman" w:hAnsi="Times New Roman"/>
                <w:bCs/>
                <w:iCs/>
                <w:color w:val="000000"/>
                <w:sz w:val="16"/>
                <w:szCs w:val="16"/>
              </w:rPr>
              <w:t>174 500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bCs/>
                <w:iCs/>
                <w:color w:val="000000"/>
                <w:sz w:val="16"/>
                <w:szCs w:val="16"/>
              </w:rPr>
            </w:pPr>
            <w:r w:rsidRPr="0029184F">
              <w:rPr>
                <w:rFonts w:ascii="Times New Roman" w:hAnsi="Times New Roman"/>
                <w:bCs/>
                <w:iCs/>
                <w:color w:val="000000"/>
                <w:sz w:val="16"/>
                <w:szCs w:val="16"/>
              </w:rPr>
              <w:t>292 573</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bCs/>
                <w:iCs/>
                <w:color w:val="000000"/>
                <w:sz w:val="16"/>
                <w:szCs w:val="16"/>
              </w:rPr>
            </w:pPr>
            <w:r w:rsidRPr="0029184F">
              <w:rPr>
                <w:rFonts w:ascii="Times New Roman" w:hAnsi="Times New Roman"/>
                <w:bCs/>
                <w:iCs/>
                <w:color w:val="000000"/>
                <w:sz w:val="16"/>
                <w:szCs w:val="16"/>
              </w:rPr>
              <w:t>152 096</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bCs/>
                <w:iCs/>
                <w:color w:val="000000"/>
                <w:sz w:val="16"/>
                <w:szCs w:val="16"/>
              </w:rPr>
            </w:pPr>
            <w:r w:rsidRPr="0029184F">
              <w:rPr>
                <w:rFonts w:ascii="Times New Roman" w:hAnsi="Times New Roman"/>
                <w:bCs/>
                <w:iCs/>
                <w:color w:val="000000"/>
                <w:sz w:val="16"/>
                <w:szCs w:val="16"/>
              </w:rPr>
              <w:t>152 596</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9184F" w:rsidP="000008FE">
            <w:pPr>
              <w:bidi w:val="0"/>
              <w:jc w:val="right"/>
              <w:rPr>
                <w:rFonts w:ascii="Times New Roman" w:hAnsi="Times New Roman"/>
                <w:bCs/>
                <w:iCs/>
                <w:color w:val="000000"/>
                <w:sz w:val="16"/>
                <w:szCs w:val="16"/>
              </w:rPr>
            </w:pPr>
            <w:r w:rsidRPr="0029184F">
              <w:rPr>
                <w:rFonts w:ascii="Times New Roman" w:hAnsi="Times New Roman"/>
                <w:bCs/>
                <w:iCs/>
                <w:color w:val="000000"/>
                <w:sz w:val="16"/>
                <w:szCs w:val="16"/>
              </w:rPr>
              <w:t>155 096</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6C0389" w:rsidRPr="0029184F" w:rsidP="000008FE">
            <w:pPr>
              <w:bidi w:val="0"/>
              <w:rPr>
                <w:rFonts w:ascii="Times New Roman" w:hAnsi="Times New Roman"/>
                <w:b/>
                <w:bCs/>
                <w:iCs/>
                <w:sz w:val="16"/>
                <w:szCs w:val="16"/>
              </w:rPr>
            </w:pPr>
            <w:r w:rsidRPr="0029184F">
              <w:rPr>
                <w:rFonts w:ascii="Times New Roman" w:hAnsi="Times New Roman"/>
                <w:b/>
                <w:bCs/>
                <w:iCs/>
                <w:sz w:val="16"/>
                <w:szCs w:val="16"/>
              </w:rPr>
              <w:t>Celkový prebytok  ŠFRB</w:t>
            </w:r>
          </w:p>
        </w:tc>
        <w:tc>
          <w:tcPr>
            <w:tcW w:w="373" w:type="pct"/>
            <w:tcBorders>
              <w:top w:val="single" w:sz="4" w:space="0" w:color="auto"/>
              <w:left w:val="single" w:sz="4" w:space="0" w:color="auto"/>
              <w:bottom w:val="single" w:sz="4" w:space="0" w:color="auto"/>
              <w:right w:val="single" w:sz="4" w:space="0" w:color="auto"/>
            </w:tcBorders>
            <w:shd w:val="pct25" w:color="000000" w:fill="FFFFFF"/>
            <w:textDirection w:val="lrTb"/>
            <w:vAlign w:val="bottom"/>
          </w:tcPr>
          <w:p w:rsidR="006C0389" w:rsidRPr="0029184F" w:rsidP="000008FE">
            <w:pPr>
              <w:bidi w:val="0"/>
              <w:jc w:val="right"/>
              <w:rPr>
                <w:rFonts w:ascii="Times New Roman" w:hAnsi="Times New Roman"/>
                <w:b/>
                <w:bCs/>
                <w:color w:val="000000"/>
                <w:sz w:val="16"/>
                <w:szCs w:val="16"/>
              </w:rPr>
            </w:pPr>
            <w:r w:rsidRPr="0029184F">
              <w:rPr>
                <w:rFonts w:ascii="Times New Roman" w:hAnsi="Times New Roman"/>
                <w:b/>
                <w:bCs/>
                <w:iCs/>
                <w:color w:val="000000"/>
                <w:sz w:val="16"/>
                <w:szCs w:val="16"/>
              </w:rPr>
              <w:t>36 786</w:t>
            </w:r>
          </w:p>
        </w:tc>
        <w:tc>
          <w:tcPr>
            <w:tcW w:w="442"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28 272</w:t>
            </w:r>
          </w:p>
        </w:tc>
        <w:tc>
          <w:tcPr>
            <w:tcW w:w="442"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9 623</w:t>
            </w:r>
          </w:p>
        </w:tc>
        <w:tc>
          <w:tcPr>
            <w:tcW w:w="442"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center"/>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10 117</w:t>
            </w:r>
          </w:p>
        </w:tc>
        <w:tc>
          <w:tcPr>
            <w:tcW w:w="442"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center"/>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4 854</w:t>
            </w:r>
          </w:p>
        </w:tc>
        <w:tc>
          <w:tcPr>
            <w:tcW w:w="442"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center"/>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5 048</w:t>
            </w:r>
          </w:p>
        </w:tc>
        <w:tc>
          <w:tcPr>
            <w:tcW w:w="442"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center"/>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6 705</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29184F" w:rsidP="000008FE">
            <w:pPr>
              <w:bidi w:val="0"/>
              <w:jc w:val="center"/>
              <w:rPr>
                <w:rFonts w:ascii="Times New Roman" w:hAnsi="Times New Roman"/>
                <w:b/>
                <w:bCs/>
                <w:iCs/>
                <w:color w:val="000000"/>
                <w:sz w:val="16"/>
                <w:szCs w:val="16"/>
              </w:rPr>
            </w:pPr>
            <w:r w:rsidRPr="0029184F">
              <w:rPr>
                <w:rFonts w:ascii="Times New Roman" w:hAnsi="Times New Roman"/>
                <w:b/>
                <w:bCs/>
                <w:iCs/>
                <w:color w:val="000000"/>
                <w:sz w:val="16"/>
                <w:szCs w:val="16"/>
              </w:rPr>
              <w:t>vylúčenie finančných operácií, z toho:</w:t>
            </w:r>
          </w:p>
        </w:tc>
        <w:tc>
          <w:tcPr>
            <w:tcW w:w="373" w:type="pct"/>
            <w:tcBorders>
              <w:top w:val="single" w:sz="4" w:space="0" w:color="auto"/>
              <w:left w:val="single" w:sz="4" w:space="0" w:color="auto"/>
              <w:bottom w:val="single" w:sz="4" w:space="0" w:color="auto"/>
              <w:right w:val="single" w:sz="4" w:space="0" w:color="auto"/>
            </w:tcBorders>
            <w:textDirection w:val="lrTb"/>
            <w:vAlign w:val="bottom"/>
          </w:tcPr>
          <w:p w:rsidR="006C0389" w:rsidRPr="0029184F" w:rsidP="000008FE">
            <w:pPr>
              <w:bidi w:val="0"/>
              <w:jc w:val="right"/>
              <w:rPr>
                <w:rFonts w:ascii="Times New Roman" w:hAnsi="Times New Roman"/>
                <w:b/>
                <w:bCs/>
                <w:iCs/>
                <w:color w:val="000000"/>
                <w:sz w:val="16"/>
                <w:szCs w:val="16"/>
              </w:rPr>
            </w:pPr>
            <w:r w:rsidRPr="0029184F">
              <w:rPr>
                <w:rFonts w:ascii="Times New Roman" w:hAnsi="Times New Roman"/>
                <w:b/>
                <w:bCs/>
                <w:iCs/>
                <w:color w:val="000000"/>
                <w:sz w:val="16"/>
                <w:szCs w:val="16"/>
              </w:rPr>
              <w:t>54 990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9184F" w:rsidP="000008FE">
            <w:pPr>
              <w:bidi w:val="0"/>
              <w:jc w:val="right"/>
              <w:rPr>
                <w:rFonts w:ascii="Times New Roman" w:hAnsi="Times New Roman"/>
                <w:b/>
                <w:bCs/>
                <w:iCs/>
                <w:color w:val="000000"/>
                <w:sz w:val="16"/>
                <w:szCs w:val="16"/>
              </w:rPr>
            </w:pPr>
            <w:r w:rsidRPr="0029184F">
              <w:rPr>
                <w:rFonts w:ascii="Times New Roman" w:hAnsi="Times New Roman"/>
                <w:b/>
                <w:bCs/>
                <w:iCs/>
                <w:color w:val="000000"/>
                <w:sz w:val="16"/>
                <w:szCs w:val="16"/>
              </w:rPr>
              <w:t>52 849</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9184F" w:rsidP="000008FE">
            <w:pPr>
              <w:bidi w:val="0"/>
              <w:jc w:val="right"/>
              <w:rPr>
                <w:rFonts w:ascii="Times New Roman" w:hAnsi="Times New Roman"/>
                <w:b/>
                <w:bCs/>
                <w:iCs/>
                <w:color w:val="000000"/>
                <w:sz w:val="16"/>
                <w:szCs w:val="16"/>
              </w:rPr>
            </w:pPr>
            <w:r w:rsidRPr="0029184F">
              <w:rPr>
                <w:rFonts w:ascii="Times New Roman" w:hAnsi="Times New Roman"/>
                <w:b/>
                <w:bCs/>
                <w:iCs/>
                <w:color w:val="000000"/>
                <w:sz w:val="16"/>
                <w:szCs w:val="16"/>
              </w:rPr>
              <w:t>70 544</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173 097</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44 778</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44 541</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42 847</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29184F" w:rsidP="000008FE">
            <w:pPr>
              <w:bidi w:val="0"/>
              <w:jc w:val="center"/>
              <w:rPr>
                <w:rFonts w:ascii="Times New Roman" w:hAnsi="Times New Roman"/>
                <w:color w:val="000000"/>
                <w:sz w:val="16"/>
                <w:szCs w:val="16"/>
              </w:rPr>
            </w:pPr>
            <w:r w:rsidRPr="0029184F">
              <w:rPr>
                <w:rFonts w:ascii="Times New Roman" w:hAnsi="Times New Roman"/>
                <w:color w:val="000000"/>
                <w:sz w:val="16"/>
                <w:szCs w:val="16"/>
              </w:rPr>
              <w:t>▪ vylúčenie príjmových (FO)</w:t>
            </w:r>
          </w:p>
        </w:tc>
        <w:tc>
          <w:tcPr>
            <w:tcW w:w="373" w:type="pct"/>
            <w:tcBorders>
              <w:top w:val="single" w:sz="4" w:space="0" w:color="auto"/>
              <w:left w:val="single" w:sz="4" w:space="0" w:color="auto"/>
              <w:bottom w:val="single" w:sz="4" w:space="0" w:color="auto"/>
              <w:right w:val="single" w:sz="4" w:space="0" w:color="auto"/>
            </w:tcBorders>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-99 601</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9184F" w:rsidP="000008FE">
            <w:pPr>
              <w:bidi w:val="0"/>
              <w:jc w:val="right"/>
              <w:rPr>
                <w:rFonts w:ascii="Times New Roman" w:hAnsi="Times New Roman"/>
                <w:sz w:val="16"/>
                <w:szCs w:val="16"/>
              </w:rPr>
            </w:pPr>
            <w:r w:rsidRPr="0029184F">
              <w:rPr>
                <w:rFonts w:ascii="Times New Roman" w:hAnsi="Times New Roman"/>
                <w:sz w:val="16"/>
                <w:szCs w:val="16"/>
              </w:rPr>
              <w:t>-124 740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9184F" w:rsidP="000008FE">
            <w:pPr>
              <w:bidi w:val="0"/>
              <w:jc w:val="right"/>
              <w:rPr>
                <w:rFonts w:ascii="Times New Roman" w:hAnsi="Times New Roman"/>
                <w:sz w:val="16"/>
                <w:szCs w:val="16"/>
              </w:rPr>
            </w:pPr>
            <w:r w:rsidRPr="0029184F">
              <w:rPr>
                <w:rFonts w:ascii="Times New Roman" w:hAnsi="Times New Roman"/>
                <w:sz w:val="16"/>
                <w:szCs w:val="16"/>
              </w:rPr>
              <w:t>-103 956</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9184F" w:rsidP="000008FE">
            <w:pPr>
              <w:bidi w:val="0"/>
              <w:jc w:val="right"/>
              <w:rPr>
                <w:rFonts w:ascii="Times New Roman" w:hAnsi="Times New Roman"/>
                <w:sz w:val="16"/>
                <w:szCs w:val="16"/>
              </w:rPr>
            </w:pPr>
            <w:r w:rsidRPr="0029184F">
              <w:rPr>
                <w:rFonts w:ascii="Times New Roman" w:hAnsi="Times New Roman"/>
                <w:sz w:val="16"/>
                <w:szCs w:val="16"/>
              </w:rPr>
              <w:t>-119 476</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9184F" w:rsidP="000008FE">
            <w:pPr>
              <w:bidi w:val="0"/>
              <w:jc w:val="right"/>
              <w:rPr>
                <w:rFonts w:ascii="Times New Roman" w:hAnsi="Times New Roman"/>
                <w:sz w:val="16"/>
                <w:szCs w:val="16"/>
              </w:rPr>
            </w:pPr>
            <w:r w:rsidRPr="0029184F">
              <w:rPr>
                <w:rFonts w:ascii="Times New Roman" w:hAnsi="Times New Roman"/>
                <w:sz w:val="16"/>
                <w:szCs w:val="16"/>
              </w:rPr>
              <w:t>-107 318</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9184F" w:rsidP="000008FE">
            <w:pPr>
              <w:bidi w:val="0"/>
              <w:jc w:val="right"/>
              <w:rPr>
                <w:rFonts w:ascii="Times New Roman" w:hAnsi="Times New Roman"/>
                <w:sz w:val="16"/>
                <w:szCs w:val="16"/>
              </w:rPr>
            </w:pPr>
            <w:r w:rsidRPr="0029184F">
              <w:rPr>
                <w:rFonts w:ascii="Times New Roman" w:hAnsi="Times New Roman"/>
                <w:sz w:val="16"/>
                <w:szCs w:val="16"/>
              </w:rPr>
              <w:t>-108 055</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9184F" w:rsidP="000008FE">
            <w:pPr>
              <w:bidi w:val="0"/>
              <w:jc w:val="right"/>
              <w:rPr>
                <w:rFonts w:ascii="Times New Roman" w:hAnsi="Times New Roman"/>
                <w:sz w:val="16"/>
                <w:szCs w:val="16"/>
              </w:rPr>
            </w:pPr>
            <w:r w:rsidRPr="0029184F">
              <w:rPr>
                <w:rFonts w:ascii="Times New Roman" w:hAnsi="Times New Roman"/>
                <w:sz w:val="16"/>
                <w:szCs w:val="16"/>
              </w:rPr>
              <w:t>-112 249</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29184F" w:rsidP="000008FE">
            <w:pPr>
              <w:bidi w:val="0"/>
              <w:jc w:val="center"/>
              <w:rPr>
                <w:rFonts w:ascii="Times New Roman" w:hAnsi="Times New Roman"/>
                <w:color w:val="000000"/>
                <w:sz w:val="16"/>
                <w:szCs w:val="16"/>
              </w:rPr>
            </w:pPr>
            <w:r w:rsidRPr="0029184F">
              <w:rPr>
                <w:rFonts w:ascii="Times New Roman" w:hAnsi="Times New Roman"/>
                <w:color w:val="000000"/>
                <w:sz w:val="16"/>
                <w:szCs w:val="16"/>
              </w:rPr>
              <w:t>▪ vylúčenie výdavkových (FO)</w:t>
            </w:r>
          </w:p>
        </w:tc>
        <w:tc>
          <w:tcPr>
            <w:tcW w:w="373" w:type="pct"/>
            <w:tcBorders>
              <w:top w:val="single" w:sz="4" w:space="0" w:color="auto"/>
              <w:left w:val="single" w:sz="4" w:space="0" w:color="auto"/>
              <w:bottom w:val="single" w:sz="4" w:space="0" w:color="auto"/>
              <w:right w:val="single" w:sz="4" w:space="0" w:color="auto"/>
            </w:tcBorders>
            <w:textDirection w:val="lrTb"/>
            <w:vAlign w:val="bottom"/>
          </w:tcPr>
          <w:p w:rsidR="006C0389" w:rsidRPr="0029184F" w:rsidP="000008FE">
            <w:pPr>
              <w:bidi w:val="0"/>
              <w:jc w:val="right"/>
              <w:rPr>
                <w:rFonts w:ascii="Times New Roman" w:hAnsi="Times New Roman"/>
                <w:color w:val="000000"/>
                <w:sz w:val="16"/>
                <w:szCs w:val="16"/>
              </w:rPr>
            </w:pPr>
            <w:r w:rsidRPr="0029184F">
              <w:rPr>
                <w:rFonts w:ascii="Times New Roman" w:hAnsi="Times New Roman"/>
                <w:color w:val="000000"/>
                <w:sz w:val="16"/>
                <w:szCs w:val="16"/>
              </w:rPr>
              <w:t>154 591</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9184F" w:rsidP="000008FE">
            <w:pPr>
              <w:bidi w:val="0"/>
              <w:jc w:val="right"/>
              <w:rPr>
                <w:rFonts w:ascii="Times New Roman" w:hAnsi="Times New Roman"/>
                <w:sz w:val="16"/>
                <w:szCs w:val="16"/>
              </w:rPr>
            </w:pPr>
            <w:r w:rsidRPr="0029184F">
              <w:rPr>
                <w:rFonts w:ascii="Times New Roman" w:hAnsi="Times New Roman"/>
                <w:sz w:val="16"/>
                <w:szCs w:val="16"/>
              </w:rPr>
              <w:t>177 589</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9184F" w:rsidP="000008FE">
            <w:pPr>
              <w:bidi w:val="0"/>
              <w:jc w:val="right"/>
              <w:rPr>
                <w:rFonts w:ascii="Times New Roman" w:hAnsi="Times New Roman"/>
                <w:sz w:val="16"/>
                <w:szCs w:val="16"/>
              </w:rPr>
            </w:pPr>
            <w:r w:rsidRPr="0029184F">
              <w:rPr>
                <w:rFonts w:ascii="Times New Roman" w:hAnsi="Times New Roman"/>
                <w:sz w:val="16"/>
                <w:szCs w:val="16"/>
              </w:rPr>
              <w:t>174 500</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9184F" w:rsidP="000008FE">
            <w:pPr>
              <w:bidi w:val="0"/>
              <w:jc w:val="right"/>
              <w:rPr>
                <w:rFonts w:ascii="Times New Roman" w:hAnsi="Times New Roman"/>
                <w:sz w:val="16"/>
                <w:szCs w:val="16"/>
              </w:rPr>
            </w:pPr>
            <w:r w:rsidRPr="0029184F">
              <w:rPr>
                <w:rFonts w:ascii="Times New Roman" w:hAnsi="Times New Roman"/>
                <w:sz w:val="16"/>
                <w:szCs w:val="16"/>
              </w:rPr>
              <w:t>292 573</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9184F" w:rsidP="000008FE">
            <w:pPr>
              <w:bidi w:val="0"/>
              <w:jc w:val="right"/>
              <w:rPr>
                <w:rFonts w:ascii="Times New Roman" w:hAnsi="Times New Roman"/>
                <w:sz w:val="16"/>
                <w:szCs w:val="16"/>
              </w:rPr>
            </w:pPr>
            <w:r w:rsidRPr="0029184F">
              <w:rPr>
                <w:rFonts w:ascii="Times New Roman" w:hAnsi="Times New Roman"/>
                <w:sz w:val="16"/>
                <w:szCs w:val="16"/>
              </w:rPr>
              <w:t>152 096</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9184F" w:rsidP="000008FE">
            <w:pPr>
              <w:bidi w:val="0"/>
              <w:jc w:val="right"/>
              <w:rPr>
                <w:rFonts w:ascii="Times New Roman" w:hAnsi="Times New Roman"/>
                <w:sz w:val="16"/>
                <w:szCs w:val="16"/>
              </w:rPr>
            </w:pPr>
            <w:r w:rsidRPr="0029184F">
              <w:rPr>
                <w:rFonts w:ascii="Times New Roman" w:hAnsi="Times New Roman"/>
                <w:sz w:val="16"/>
                <w:szCs w:val="16"/>
              </w:rPr>
              <w:t>152 596</w:t>
            </w:r>
          </w:p>
        </w:tc>
        <w:tc>
          <w:tcPr>
            <w:tcW w:w="442" w:type="pct"/>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9184F" w:rsidP="000008FE">
            <w:pPr>
              <w:bidi w:val="0"/>
              <w:jc w:val="right"/>
              <w:rPr>
                <w:rFonts w:ascii="Times New Roman" w:hAnsi="Times New Roman"/>
                <w:sz w:val="16"/>
                <w:szCs w:val="16"/>
              </w:rPr>
            </w:pPr>
            <w:r w:rsidRPr="0029184F">
              <w:rPr>
                <w:rFonts w:ascii="Times New Roman" w:hAnsi="Times New Roman"/>
                <w:sz w:val="16"/>
                <w:szCs w:val="16"/>
              </w:rPr>
              <w:t>155 096</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29184F" w:rsidP="000008FE">
            <w:pPr>
              <w:bidi w:val="0"/>
              <w:jc w:val="center"/>
              <w:rPr>
                <w:rFonts w:ascii="Times New Roman" w:hAnsi="Times New Roman"/>
                <w:b/>
                <w:bCs/>
                <w:iCs/>
                <w:sz w:val="16"/>
                <w:szCs w:val="16"/>
              </w:rPr>
            </w:pPr>
            <w:r w:rsidRPr="0029184F">
              <w:rPr>
                <w:rFonts w:ascii="Times New Roman" w:hAnsi="Times New Roman"/>
                <w:b/>
                <w:bCs/>
                <w:iCs/>
                <w:sz w:val="16"/>
                <w:szCs w:val="16"/>
              </w:rPr>
              <w:t>medziročná zmena stavu pohľadávok</w:t>
            </w:r>
          </w:p>
        </w:tc>
        <w:tc>
          <w:tcPr>
            <w:tcW w:w="37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b/>
                <w:bCs/>
                <w:iCs/>
                <w:color w:val="000000"/>
                <w:sz w:val="16"/>
                <w:szCs w:val="16"/>
              </w:rPr>
            </w:pPr>
            <w:r w:rsidRPr="0029184F">
              <w:rPr>
                <w:rFonts w:ascii="Times New Roman" w:hAnsi="Times New Roman"/>
                <w:b/>
                <w:bCs/>
                <w:iCs/>
                <w:color w:val="000000"/>
                <w:sz w:val="16"/>
                <w:szCs w:val="16"/>
              </w:rPr>
              <w:t>1 605</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708</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 </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9184F" w:rsidP="000008FE">
            <w:pPr>
              <w:bidi w:val="0"/>
              <w:jc w:val="right"/>
              <w:rPr>
                <w:rFonts w:ascii="Times New Roman" w:hAnsi="Times New Roman"/>
                <w:b/>
                <w:bCs/>
                <w:iCs/>
                <w:color w:val="000000"/>
                <w:sz w:val="16"/>
                <w:szCs w:val="16"/>
              </w:rPr>
            </w:pPr>
            <w:r w:rsidRPr="0029184F">
              <w:rPr>
                <w:rFonts w:ascii="Times New Roman" w:hAnsi="Times New Roman"/>
                <w:b/>
                <w:bCs/>
                <w:iCs/>
                <w:color w:val="000000"/>
                <w:sz w:val="16"/>
                <w:szCs w:val="16"/>
              </w:rPr>
              <w:t>700</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9184F" w:rsidP="000008FE">
            <w:pPr>
              <w:bidi w:val="0"/>
              <w:rPr>
                <w:rFonts w:ascii="Times New Roman" w:hAnsi="Times New Roman"/>
                <w:b/>
                <w:bCs/>
                <w:iCs/>
                <w:color w:val="000000"/>
                <w:sz w:val="16"/>
                <w:szCs w:val="16"/>
              </w:rPr>
            </w:pPr>
            <w:r w:rsidRPr="0029184F">
              <w:rPr>
                <w:rFonts w:ascii="Times New Roman" w:hAnsi="Times New Roman"/>
                <w:b/>
                <w:bCs/>
                <w:iCs/>
                <w:color w:val="000000"/>
                <w:sz w:val="16"/>
                <w:szCs w:val="16"/>
              </w:rPr>
              <w:t> </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9184F" w:rsidP="000008FE">
            <w:pPr>
              <w:bidi w:val="0"/>
              <w:rPr>
                <w:rFonts w:ascii="Times New Roman" w:hAnsi="Times New Roman"/>
                <w:b/>
                <w:bCs/>
                <w:iCs/>
                <w:color w:val="000000"/>
                <w:sz w:val="16"/>
                <w:szCs w:val="16"/>
              </w:rPr>
            </w:pPr>
            <w:r w:rsidRPr="0029184F">
              <w:rPr>
                <w:rFonts w:ascii="Times New Roman" w:hAnsi="Times New Roman"/>
                <w:b/>
                <w:bCs/>
                <w:iCs/>
                <w:color w:val="000000"/>
                <w:sz w:val="16"/>
                <w:szCs w:val="16"/>
              </w:rPr>
              <w:t> </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29184F" w:rsidP="000008FE">
            <w:pPr>
              <w:bidi w:val="0"/>
              <w:rPr>
                <w:rFonts w:ascii="Times New Roman" w:hAnsi="Times New Roman"/>
                <w:b/>
                <w:bCs/>
                <w:iCs/>
                <w:sz w:val="16"/>
                <w:szCs w:val="16"/>
              </w:rPr>
            </w:pPr>
            <w:r w:rsidRPr="0029184F">
              <w:rPr>
                <w:rFonts w:ascii="Times New Roman" w:hAnsi="Times New Roman"/>
                <w:b/>
                <w:bCs/>
                <w:iCs/>
                <w:sz w:val="16"/>
                <w:szCs w:val="16"/>
              </w:rPr>
              <w:t xml:space="preserve">           medziročná zmena stavu záväzkov</w:t>
            </w:r>
          </w:p>
        </w:tc>
        <w:tc>
          <w:tcPr>
            <w:tcW w:w="373"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9184F" w:rsidP="000008FE">
            <w:pPr>
              <w:bidi w:val="0"/>
              <w:jc w:val="right"/>
              <w:rPr>
                <w:rFonts w:ascii="Times New Roman" w:hAnsi="Times New Roman"/>
                <w:b/>
                <w:bCs/>
                <w:iCs/>
                <w:color w:val="000000"/>
                <w:sz w:val="16"/>
                <w:szCs w:val="16"/>
              </w:rPr>
            </w:pPr>
            <w:r w:rsidRPr="0029184F">
              <w:rPr>
                <w:rFonts w:ascii="Times New Roman" w:hAnsi="Times New Roman"/>
                <w:b/>
                <w:bCs/>
                <w:iCs/>
                <w:color w:val="000000"/>
                <w:sz w:val="16"/>
                <w:szCs w:val="16"/>
              </w:rPr>
              <w:t>-55</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57</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 </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9184F" w:rsidP="000008FE">
            <w:pPr>
              <w:bidi w:val="0"/>
              <w:jc w:val="right"/>
              <w:rPr>
                <w:rFonts w:ascii="Times New Roman" w:hAnsi="Times New Roman"/>
                <w:b/>
                <w:bCs/>
                <w:iCs/>
                <w:color w:val="000000"/>
                <w:sz w:val="16"/>
                <w:szCs w:val="16"/>
              </w:rPr>
            </w:pPr>
            <w:r w:rsidRPr="0029184F">
              <w:rPr>
                <w:rFonts w:ascii="Times New Roman" w:hAnsi="Times New Roman"/>
                <w:b/>
                <w:bCs/>
                <w:iCs/>
                <w:color w:val="000000"/>
                <w:sz w:val="16"/>
                <w:szCs w:val="16"/>
              </w:rPr>
              <w:t>-6</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9184F" w:rsidP="000008FE">
            <w:pPr>
              <w:bidi w:val="0"/>
              <w:rPr>
                <w:rFonts w:ascii="Times New Roman" w:hAnsi="Times New Roman"/>
                <w:b/>
                <w:bCs/>
                <w:iCs/>
                <w:color w:val="000000"/>
                <w:sz w:val="16"/>
                <w:szCs w:val="16"/>
              </w:rPr>
            </w:pPr>
            <w:r w:rsidRPr="0029184F">
              <w:rPr>
                <w:rFonts w:ascii="Times New Roman" w:hAnsi="Times New Roman"/>
                <w:b/>
                <w:bCs/>
                <w:iCs/>
                <w:color w:val="000000"/>
                <w:sz w:val="16"/>
                <w:szCs w:val="16"/>
              </w:rPr>
              <w:t> </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9184F" w:rsidP="000008FE">
            <w:pPr>
              <w:bidi w:val="0"/>
              <w:rPr>
                <w:rFonts w:ascii="Times New Roman" w:hAnsi="Times New Roman"/>
                <w:b/>
                <w:bCs/>
                <w:iCs/>
                <w:color w:val="000000"/>
                <w:sz w:val="16"/>
                <w:szCs w:val="16"/>
              </w:rPr>
            </w:pPr>
            <w:r w:rsidRPr="0029184F">
              <w:rPr>
                <w:rFonts w:ascii="Times New Roman" w:hAnsi="Times New Roman"/>
                <w:b/>
                <w:bCs/>
                <w:iCs/>
                <w:color w:val="000000"/>
                <w:sz w:val="16"/>
                <w:szCs w:val="16"/>
              </w:rPr>
              <w:t> </w:t>
            </w:r>
          </w:p>
        </w:tc>
        <w:tc>
          <w:tcPr>
            <w:tcW w:w="442" w:type="pct"/>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9184F" w:rsidP="000008FE">
            <w:pPr>
              <w:bidi w:val="0"/>
              <w:rPr>
                <w:rFonts w:ascii="Times New Roman" w:hAnsi="Times New Roman"/>
                <w:color w:val="000000"/>
                <w:sz w:val="16"/>
                <w:szCs w:val="16"/>
              </w:rPr>
            </w:pPr>
            <w:r w:rsidRPr="0029184F">
              <w:rPr>
                <w:rFonts w:ascii="Times New Roman" w:hAnsi="Times New Roman"/>
                <w:color w:val="000000"/>
                <w:sz w:val="16"/>
                <w:szCs w:val="16"/>
              </w:rPr>
              <w:t> </w:t>
            </w:r>
          </w:p>
        </w:tc>
      </w:tr>
      <w:tr>
        <w:tblPrEx>
          <w:tblW w:w="4914" w:type="pct"/>
          <w:jc w:val="center"/>
          <w:tblCellMar>
            <w:left w:w="70" w:type="dxa"/>
            <w:right w:w="70" w:type="dxa"/>
          </w:tblCellMar>
          <w:tblLook w:val="04A0"/>
        </w:tblPrEx>
        <w:trPr>
          <w:trHeight w:hRule="exact" w:val="255"/>
          <w:jc w:val="center"/>
        </w:trPr>
        <w:tc>
          <w:tcPr>
            <w:tcW w:w="1974"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center"/>
            <w:hideMark/>
          </w:tcPr>
          <w:p w:rsidR="006C0389" w:rsidRPr="0029184F" w:rsidP="000008FE">
            <w:pPr>
              <w:bidi w:val="0"/>
              <w:rPr>
                <w:rFonts w:ascii="Times New Roman" w:hAnsi="Times New Roman"/>
                <w:b/>
                <w:bCs/>
                <w:iCs/>
                <w:sz w:val="16"/>
                <w:szCs w:val="16"/>
              </w:rPr>
            </w:pPr>
            <w:r w:rsidRPr="0029184F">
              <w:rPr>
                <w:rFonts w:ascii="Times New Roman" w:hAnsi="Times New Roman"/>
                <w:b/>
                <w:bCs/>
                <w:iCs/>
                <w:sz w:val="16"/>
                <w:szCs w:val="16"/>
              </w:rPr>
              <w:t>Prebytok</w:t>
            </w:r>
            <w:r w:rsidRPr="003679CA" w:rsidR="0090374E">
              <w:rPr>
                <w:rFonts w:ascii="Times New Roman" w:hAnsi="Times New Roman"/>
                <w:b/>
                <w:bCs/>
                <w:iCs/>
                <w:sz w:val="16"/>
                <w:szCs w:val="16"/>
              </w:rPr>
              <w:t>(+)/schodok(-)</w:t>
            </w:r>
            <w:r w:rsidRPr="0029184F">
              <w:rPr>
                <w:rFonts w:ascii="Times New Roman" w:hAnsi="Times New Roman"/>
                <w:b/>
                <w:bCs/>
                <w:iCs/>
                <w:sz w:val="16"/>
                <w:szCs w:val="16"/>
              </w:rPr>
              <w:t xml:space="preserve"> </w:t>
            </w:r>
            <w:r w:rsidR="0090374E">
              <w:rPr>
                <w:rFonts w:ascii="Times New Roman" w:hAnsi="Times New Roman"/>
                <w:b/>
                <w:bCs/>
                <w:iCs/>
                <w:sz w:val="16"/>
                <w:szCs w:val="16"/>
              </w:rPr>
              <w:t xml:space="preserve"> </w:t>
            </w:r>
            <w:r w:rsidRPr="0029184F">
              <w:rPr>
                <w:rFonts w:ascii="Times New Roman" w:hAnsi="Times New Roman"/>
                <w:b/>
                <w:bCs/>
                <w:iCs/>
                <w:sz w:val="16"/>
                <w:szCs w:val="16"/>
              </w:rPr>
              <w:t>ŠFRB (ESA 2010)</w:t>
            </w:r>
          </w:p>
        </w:tc>
        <w:tc>
          <w:tcPr>
            <w:tcW w:w="373" w:type="pct"/>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color w:val="000000"/>
                <w:sz w:val="16"/>
                <w:szCs w:val="16"/>
              </w:rPr>
              <w:t>93 326</w:t>
            </w:r>
          </w:p>
        </w:tc>
        <w:tc>
          <w:tcPr>
            <w:tcW w:w="4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81 886</w:t>
            </w:r>
          </w:p>
        </w:tc>
        <w:tc>
          <w:tcPr>
            <w:tcW w:w="4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80 167</w:t>
            </w:r>
          </w:p>
        </w:tc>
        <w:tc>
          <w:tcPr>
            <w:tcW w:w="4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183 908</w:t>
            </w:r>
          </w:p>
        </w:tc>
        <w:tc>
          <w:tcPr>
            <w:tcW w:w="4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49 632</w:t>
            </w:r>
          </w:p>
        </w:tc>
        <w:tc>
          <w:tcPr>
            <w:tcW w:w="4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49 589</w:t>
            </w:r>
          </w:p>
        </w:tc>
        <w:tc>
          <w:tcPr>
            <w:tcW w:w="442" w:type="pct"/>
            <w:tcBorders>
              <w:top w:val="single" w:sz="4" w:space="0" w:color="auto"/>
              <w:left w:val="single" w:sz="4" w:space="0" w:color="auto"/>
              <w:bottom w:val="single" w:sz="4" w:space="0" w:color="auto"/>
              <w:right w:val="single" w:sz="4" w:space="0" w:color="auto"/>
            </w:tcBorders>
            <w:shd w:val="pct25" w:color="auto" w:fill="FFFFFF"/>
            <w:noWrap/>
            <w:textDirection w:val="lrTb"/>
            <w:vAlign w:val="bottom"/>
            <w:hideMark/>
          </w:tcPr>
          <w:p w:rsidR="006C0389" w:rsidRPr="0029184F" w:rsidP="000008FE">
            <w:pPr>
              <w:bidi w:val="0"/>
              <w:jc w:val="right"/>
              <w:rPr>
                <w:rFonts w:ascii="Times New Roman" w:hAnsi="Times New Roman"/>
                <w:b/>
                <w:bCs/>
                <w:iCs/>
                <w:sz w:val="16"/>
                <w:szCs w:val="16"/>
              </w:rPr>
            </w:pPr>
            <w:r w:rsidRPr="0029184F">
              <w:rPr>
                <w:rFonts w:ascii="Times New Roman" w:hAnsi="Times New Roman"/>
                <w:b/>
                <w:bCs/>
                <w:iCs/>
                <w:sz w:val="16"/>
                <w:szCs w:val="16"/>
              </w:rPr>
              <w:t>49 552</w:t>
            </w:r>
          </w:p>
        </w:tc>
      </w:tr>
    </w:tbl>
    <w:p w:rsidR="006C0389" w:rsidRPr="0029184F" w:rsidP="006C0389">
      <w:pPr>
        <w:bidi w:val="0"/>
        <w:ind w:firstLine="708"/>
        <w:jc w:val="both"/>
        <w:rPr>
          <w:rFonts w:ascii="Times New Roman" w:hAnsi="Times New Roman"/>
          <w:sz w:val="16"/>
          <w:szCs w:val="16"/>
        </w:rPr>
      </w:pPr>
    </w:p>
    <w:p w:rsidR="006C0389" w:rsidRPr="0029184F" w:rsidP="006C0389">
      <w:pPr>
        <w:bidi w:val="0"/>
        <w:jc w:val="both"/>
        <w:rPr>
          <w:rFonts w:ascii="Times New Roman" w:hAnsi="Times New Roman"/>
          <w:sz w:val="16"/>
          <w:szCs w:val="16"/>
        </w:rPr>
      </w:pPr>
    </w:p>
    <w:p w:rsidR="006C0389" w:rsidRPr="0029184F" w:rsidP="006C0389">
      <w:pPr>
        <w:bidi w:val="0"/>
        <w:ind w:firstLine="708"/>
        <w:jc w:val="both"/>
        <w:rPr>
          <w:rFonts w:ascii="Times New Roman" w:hAnsi="Times New Roman"/>
        </w:rPr>
      </w:pPr>
      <w:r w:rsidRPr="0029184F">
        <w:rPr>
          <w:rFonts w:ascii="Times New Roman" w:hAnsi="Times New Roman"/>
        </w:rPr>
        <w:t xml:space="preserve">Príjmy ŠFRB v roku 2016 predstavujú celkovú výšku 162 mil. eur, pričom transfer zo štátneho rozpočtu je rozpočtovaný vo výške 25,0 mil. eur a vlastné zdroje v sume 137 mil. eur. Vlastné príjmy ŠFRB sa navrhujú najmä zo splácania úverov v sume </w:t>
        <w:br/>
        <w:t xml:space="preserve">97,2 mil. eur, z úrokov z poskytnutých úverov vo výške 29,4 mil. eur a 10,4 mil. eur tvoria ostatné príjmy. Rozpočtované príjmy v roku 2016 v porovnaní so schváleným rozpočtom roku 2015 klesajú o 26,7 mil. eur, t. j. o 14,2 %, a to najmä z dôvodu zníženia transferov zo štátneho rozpočtu. </w:t>
      </w:r>
    </w:p>
    <w:p w:rsidR="006C0389" w:rsidRPr="0029184F" w:rsidP="006C0389">
      <w:pPr>
        <w:bidi w:val="0"/>
        <w:ind w:firstLine="709"/>
        <w:jc w:val="both"/>
        <w:rPr>
          <w:rFonts w:ascii="Times New Roman" w:hAnsi="Times New Roman"/>
          <w:sz w:val="16"/>
          <w:szCs w:val="16"/>
        </w:rPr>
      </w:pPr>
    </w:p>
    <w:p w:rsidR="006C0389" w:rsidRPr="0029184F" w:rsidP="006C0389">
      <w:pPr>
        <w:bidi w:val="0"/>
        <w:ind w:firstLine="709"/>
        <w:jc w:val="both"/>
        <w:rPr>
          <w:rFonts w:ascii="Times New Roman" w:hAnsi="Times New Roman"/>
        </w:rPr>
      </w:pPr>
      <w:r w:rsidRPr="0029184F">
        <w:rPr>
          <w:rFonts w:ascii="Times New Roman" w:hAnsi="Times New Roman"/>
        </w:rPr>
        <w:t>Výdavky ŠFRB v roku 2016 sa rozpočtujú v sume 157 mil. eur a v porovnaní so schváleným rozpočtom roku 2015 sú nižšie o 21,9 mil. eur, teda o 12,3 %</w:t>
      </w:r>
      <w:r w:rsidR="0060040C">
        <w:rPr>
          <w:rFonts w:ascii="Times New Roman" w:hAnsi="Times New Roman"/>
        </w:rPr>
        <w:t xml:space="preserve">, najmä </w:t>
      </w:r>
      <w:r w:rsidRPr="0029184F">
        <w:rPr>
          <w:rFonts w:ascii="Times New Roman" w:hAnsi="Times New Roman"/>
        </w:rPr>
        <w:t xml:space="preserve">z dôvodu poklesu výdavkov na poskytovanie úverov. Z rozpočtovaných výdavkov roku 2016 je čiastka </w:t>
        <w:br/>
        <w:t xml:space="preserve">152 mil. eur vyčlenená na poskytovanie úverov na výstavbu bytov a kúpu bytov, na obnovu bytových domov a na výstavbu zariadení sociálnych služieb. Ostatné výdavky sú rozpočtované na činnosti súvisiace so zabezpečením správy fondu a bankových služieb. </w:t>
      </w:r>
    </w:p>
    <w:p w:rsidR="006C0389" w:rsidRPr="0029184F" w:rsidP="006C0389">
      <w:pPr>
        <w:bidi w:val="0"/>
        <w:ind w:firstLine="709"/>
        <w:jc w:val="both"/>
        <w:rPr>
          <w:rFonts w:ascii="Times New Roman" w:hAnsi="Times New Roman"/>
          <w:sz w:val="16"/>
          <w:szCs w:val="16"/>
        </w:rPr>
      </w:pPr>
    </w:p>
    <w:p w:rsidR="006C0389" w:rsidRPr="0029184F" w:rsidP="006C0389">
      <w:pPr>
        <w:bidi w:val="0"/>
        <w:ind w:firstLine="708"/>
        <w:jc w:val="both"/>
        <w:rPr>
          <w:rFonts w:ascii="Times New Roman" w:hAnsi="Times New Roman"/>
        </w:rPr>
      </w:pPr>
      <w:r w:rsidRPr="0029184F">
        <w:rPr>
          <w:rFonts w:ascii="Times New Roman" w:hAnsi="Times New Roman"/>
        </w:rPr>
        <w:t>Celkový hotovostný prebytok ŠFRB sa rozpočtuje v roku 2016 v sume 4,85 mil. eur</w:t>
        <w:br/>
        <w:t>a oproti schválenému rozpočtu na rok 2015 je nižšší o 4,77 mil. eur, čo predstavuje pokles</w:t>
        <w:br/>
        <w:t xml:space="preserve">o 49,6 %. V metodike ESA 2010 sa na rok 2016 prebytok hospodárenia ŠFRB kvantifikuje v sume 49,6 mil. eur a v porovnaní so schváleným rozpočtom roku 2015 je nižší </w:t>
        <w:br/>
        <w:t>o 30,5 mil. eur, t. j. o 38,1 %.</w:t>
      </w:r>
    </w:p>
    <w:p w:rsidR="006C0389" w:rsidP="006C0389">
      <w:pPr>
        <w:bidi w:val="0"/>
        <w:jc w:val="both"/>
        <w:rPr>
          <w:rFonts w:ascii="Times New Roman" w:hAnsi="Times New Roman"/>
        </w:rPr>
      </w:pPr>
    </w:p>
    <w:p w:rsidR="006C0389" w:rsidRPr="004F26D8" w:rsidP="006C0389">
      <w:pPr>
        <w:bidi w:val="0"/>
        <w:jc w:val="both"/>
        <w:rPr>
          <w:rFonts w:ascii="Times New Roman" w:hAnsi="Times New Roman"/>
          <w:b/>
        </w:rPr>
      </w:pPr>
      <w:r w:rsidRPr="004F26D8">
        <w:rPr>
          <w:rFonts w:ascii="Times New Roman" w:hAnsi="Times New Roman"/>
          <w:b/>
        </w:rPr>
        <w:t xml:space="preserve">4.2. Národný jadrový fond </w:t>
      </w:r>
    </w:p>
    <w:p w:rsidR="006C0389" w:rsidRPr="004F26D8" w:rsidP="006C0389">
      <w:pPr>
        <w:bidi w:val="0"/>
        <w:ind w:firstLine="708"/>
        <w:jc w:val="both"/>
        <w:rPr>
          <w:rFonts w:ascii="Times New Roman" w:hAnsi="Times New Roman"/>
          <w:sz w:val="16"/>
          <w:szCs w:val="16"/>
        </w:rPr>
      </w:pPr>
    </w:p>
    <w:p w:rsidR="006C0389" w:rsidRPr="004F26D8" w:rsidP="006C0389">
      <w:pPr>
        <w:bidi w:val="0"/>
        <w:ind w:firstLine="708"/>
        <w:jc w:val="both"/>
        <w:rPr>
          <w:rFonts w:ascii="Times New Roman" w:hAnsi="Times New Roman"/>
          <w:color w:val="000000"/>
        </w:rPr>
      </w:pPr>
      <w:r w:rsidRPr="004F26D8">
        <w:rPr>
          <w:rFonts w:ascii="Times New Roman" w:hAnsi="Times New Roman"/>
        </w:rPr>
        <w:t xml:space="preserve">Účelom zriadenia Národného jadrového fondu na vyraďovanie jadrových zariadení a na nakladanie s vyhoretým jadrovým palivom a rádioaktívnymi odpadmi (ďalej len „NJF“) je sústreďovať a spravovať finančné prostriedky </w:t>
      </w:r>
      <w:r w:rsidRPr="004F26D8">
        <w:rPr>
          <w:rFonts w:ascii="Times New Roman" w:hAnsi="Times New Roman"/>
          <w:color w:val="000000"/>
        </w:rPr>
        <w:t>určené najmä na záverečnú časť jadrovej energetiky, na nakladanie s jadrovými materiálmi a rádioaktívnymi odpadmi, ktorých pôvodca nie je známy (ďalej len „ZRAM“) a na záverečnú časť nakladania</w:t>
      </w:r>
      <w:r w:rsidR="00DF7EE9">
        <w:rPr>
          <w:rFonts w:ascii="Times New Roman" w:hAnsi="Times New Roman"/>
          <w:color w:val="000000"/>
        </w:rPr>
        <w:t xml:space="preserve">                             </w:t>
      </w:r>
      <w:r w:rsidRPr="004F26D8">
        <w:rPr>
          <w:rFonts w:ascii="Times New Roman" w:hAnsi="Times New Roman"/>
          <w:color w:val="000000"/>
        </w:rPr>
        <w:t xml:space="preserve"> s inštitucionálnymi rádioaktívnymi odpadmi.</w:t>
      </w:r>
    </w:p>
    <w:p w:rsidR="006C0389" w:rsidRPr="004F26D8" w:rsidP="006C0389">
      <w:pPr>
        <w:bidi w:val="0"/>
        <w:jc w:val="both"/>
        <w:rPr>
          <w:rFonts w:ascii="Times New Roman" w:hAnsi="Times New Roman"/>
          <w:color w:val="000000"/>
          <w:sz w:val="16"/>
          <w:szCs w:val="16"/>
        </w:rPr>
      </w:pPr>
    </w:p>
    <w:tbl>
      <w:tblPr>
        <w:tblStyle w:val="TableNormal"/>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234"/>
        <w:gridCol w:w="823"/>
        <w:gridCol w:w="823"/>
        <w:gridCol w:w="823"/>
        <w:gridCol w:w="823"/>
        <w:gridCol w:w="823"/>
        <w:gridCol w:w="848"/>
        <w:gridCol w:w="848"/>
      </w:tblGrid>
      <w:tr>
        <w:tblPrEx>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6C0389" w:rsidRPr="004F26D8" w:rsidP="000008FE">
            <w:pPr>
              <w:bidi w:val="0"/>
              <w:spacing w:line="276" w:lineRule="auto"/>
              <w:rPr>
                <w:rFonts w:ascii="Times New Roman" w:hAnsi="Times New Roman"/>
                <w:b/>
                <w:color w:val="000000"/>
                <w:sz w:val="14"/>
                <w:szCs w:val="14"/>
                <w:lang w:eastAsia="en-US"/>
              </w:rPr>
            </w:pPr>
            <w:r w:rsidRPr="004F26D8">
              <w:rPr>
                <w:rFonts w:ascii="Times New Roman" w:hAnsi="Times New Roman"/>
                <w:b/>
                <w:color w:val="000000"/>
                <w:sz w:val="14"/>
                <w:szCs w:val="14"/>
                <w:lang w:eastAsia="en-US"/>
              </w:rPr>
              <w:t>v tis. eur</w:t>
            </w:r>
          </w:p>
        </w:tc>
        <w:tc>
          <w:tcPr>
            <w:tcW w:w="823"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6C0389" w:rsidRPr="004F26D8" w:rsidP="000008FE">
            <w:pPr>
              <w:bidi w:val="0"/>
              <w:spacing w:line="276" w:lineRule="auto"/>
              <w:jc w:val="center"/>
              <w:rPr>
                <w:rFonts w:ascii="Times New Roman" w:hAnsi="Times New Roman"/>
                <w:b/>
                <w:bCs/>
                <w:color w:val="000000"/>
                <w:sz w:val="14"/>
                <w:szCs w:val="14"/>
                <w:lang w:eastAsia="en-US"/>
              </w:rPr>
            </w:pPr>
            <w:r w:rsidRPr="004F26D8">
              <w:rPr>
                <w:rFonts w:ascii="Times New Roman" w:hAnsi="Times New Roman"/>
                <w:b/>
                <w:bCs/>
                <w:color w:val="000000"/>
                <w:sz w:val="14"/>
                <w:szCs w:val="14"/>
                <w:lang w:eastAsia="en-US"/>
              </w:rPr>
              <w:t>2013 S</w:t>
            </w:r>
          </w:p>
        </w:tc>
        <w:tc>
          <w:tcPr>
            <w:tcW w:w="82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6C0389" w:rsidRPr="004F26D8" w:rsidP="000008FE">
            <w:pPr>
              <w:bidi w:val="0"/>
              <w:spacing w:line="276" w:lineRule="auto"/>
              <w:jc w:val="center"/>
              <w:rPr>
                <w:rFonts w:ascii="Times New Roman" w:hAnsi="Times New Roman"/>
                <w:b/>
                <w:bCs/>
                <w:color w:val="000000"/>
                <w:sz w:val="14"/>
                <w:szCs w:val="14"/>
                <w:lang w:eastAsia="en-US"/>
              </w:rPr>
            </w:pPr>
            <w:r w:rsidRPr="004F26D8">
              <w:rPr>
                <w:rFonts w:ascii="Times New Roman" w:hAnsi="Times New Roman"/>
                <w:b/>
                <w:bCs/>
                <w:color w:val="000000"/>
                <w:sz w:val="14"/>
                <w:szCs w:val="14"/>
                <w:lang w:eastAsia="en-US"/>
              </w:rPr>
              <w:t xml:space="preserve"> 2014 S</w:t>
            </w:r>
          </w:p>
        </w:tc>
        <w:tc>
          <w:tcPr>
            <w:tcW w:w="823" w:type="dxa"/>
            <w:tcBorders>
              <w:top w:val="single" w:sz="4" w:space="0" w:color="auto"/>
              <w:left w:val="single" w:sz="4" w:space="0" w:color="auto"/>
              <w:bottom w:val="single" w:sz="4" w:space="0" w:color="auto"/>
              <w:right w:val="single" w:sz="4" w:space="0" w:color="auto"/>
            </w:tcBorders>
            <w:shd w:val="clear" w:color="auto" w:fill="A6A6A6"/>
            <w:textDirection w:val="lrTb"/>
            <w:vAlign w:val="bottom"/>
          </w:tcPr>
          <w:p w:rsidR="006C0389" w:rsidRPr="004F26D8" w:rsidP="000008FE">
            <w:pPr>
              <w:bidi w:val="0"/>
              <w:spacing w:line="276" w:lineRule="auto"/>
              <w:jc w:val="center"/>
              <w:rPr>
                <w:rFonts w:ascii="Times New Roman" w:hAnsi="Times New Roman"/>
                <w:b/>
                <w:bCs/>
                <w:color w:val="000000"/>
                <w:sz w:val="14"/>
                <w:szCs w:val="14"/>
                <w:lang w:eastAsia="en-US"/>
              </w:rPr>
            </w:pPr>
            <w:r w:rsidRPr="004F26D8">
              <w:rPr>
                <w:rFonts w:ascii="Times New Roman" w:hAnsi="Times New Roman"/>
                <w:b/>
                <w:bCs/>
                <w:color w:val="000000"/>
                <w:sz w:val="14"/>
                <w:szCs w:val="14"/>
                <w:lang w:eastAsia="en-US"/>
              </w:rPr>
              <w:t>2015 R</w:t>
            </w:r>
          </w:p>
        </w:tc>
        <w:tc>
          <w:tcPr>
            <w:tcW w:w="82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6C0389" w:rsidRPr="004F26D8" w:rsidP="000008FE">
            <w:pPr>
              <w:bidi w:val="0"/>
              <w:spacing w:line="276" w:lineRule="auto"/>
              <w:jc w:val="center"/>
              <w:rPr>
                <w:rFonts w:ascii="Times New Roman" w:hAnsi="Times New Roman"/>
                <w:b/>
                <w:bCs/>
                <w:color w:val="000000"/>
                <w:sz w:val="14"/>
                <w:szCs w:val="14"/>
                <w:lang w:eastAsia="en-US"/>
              </w:rPr>
            </w:pPr>
            <w:r w:rsidRPr="004F26D8">
              <w:rPr>
                <w:rFonts w:ascii="Times New Roman" w:hAnsi="Times New Roman"/>
                <w:b/>
                <w:bCs/>
                <w:color w:val="000000"/>
                <w:sz w:val="14"/>
                <w:szCs w:val="14"/>
                <w:lang w:eastAsia="en-US"/>
              </w:rPr>
              <w:t>2015 OS</w:t>
            </w:r>
          </w:p>
        </w:tc>
        <w:tc>
          <w:tcPr>
            <w:tcW w:w="82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6C0389" w:rsidRPr="004F26D8" w:rsidP="000008FE">
            <w:pPr>
              <w:bidi w:val="0"/>
              <w:spacing w:line="276" w:lineRule="auto"/>
              <w:jc w:val="center"/>
              <w:rPr>
                <w:rFonts w:ascii="Times New Roman" w:hAnsi="Times New Roman"/>
                <w:b/>
                <w:bCs/>
                <w:color w:val="000000"/>
                <w:sz w:val="14"/>
                <w:szCs w:val="14"/>
                <w:lang w:eastAsia="en-US"/>
              </w:rPr>
            </w:pPr>
            <w:r w:rsidRPr="004F26D8">
              <w:rPr>
                <w:rFonts w:ascii="Times New Roman" w:hAnsi="Times New Roman"/>
                <w:b/>
                <w:bCs/>
                <w:color w:val="000000"/>
                <w:sz w:val="14"/>
                <w:szCs w:val="14"/>
                <w:lang w:eastAsia="en-US"/>
              </w:rPr>
              <w:t>2016 N</w:t>
            </w:r>
          </w:p>
        </w:tc>
        <w:tc>
          <w:tcPr>
            <w:tcW w:w="84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6C0389" w:rsidRPr="004F26D8" w:rsidP="000008FE">
            <w:pPr>
              <w:bidi w:val="0"/>
              <w:spacing w:line="276" w:lineRule="auto"/>
              <w:jc w:val="center"/>
              <w:rPr>
                <w:rFonts w:ascii="Times New Roman" w:hAnsi="Times New Roman"/>
                <w:b/>
                <w:bCs/>
                <w:color w:val="000000"/>
                <w:sz w:val="14"/>
                <w:szCs w:val="14"/>
                <w:lang w:eastAsia="en-US"/>
              </w:rPr>
            </w:pPr>
            <w:r w:rsidRPr="004F26D8">
              <w:rPr>
                <w:rFonts w:ascii="Times New Roman" w:hAnsi="Times New Roman"/>
                <w:b/>
                <w:bCs/>
                <w:color w:val="000000"/>
                <w:sz w:val="14"/>
                <w:szCs w:val="14"/>
                <w:lang w:eastAsia="en-US"/>
              </w:rPr>
              <w:t>2017 N</w:t>
            </w:r>
          </w:p>
        </w:tc>
        <w:tc>
          <w:tcPr>
            <w:tcW w:w="848"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tcPr>
          <w:p w:rsidR="006C0389" w:rsidRPr="004F26D8" w:rsidP="000008FE">
            <w:pPr>
              <w:bidi w:val="0"/>
              <w:spacing w:line="276" w:lineRule="auto"/>
              <w:jc w:val="center"/>
              <w:rPr>
                <w:rFonts w:ascii="Times New Roman" w:hAnsi="Times New Roman"/>
                <w:b/>
                <w:bCs/>
                <w:color w:val="000000"/>
                <w:sz w:val="14"/>
                <w:szCs w:val="14"/>
                <w:lang w:eastAsia="en-US"/>
              </w:rPr>
            </w:pPr>
            <w:r w:rsidRPr="004F26D8">
              <w:rPr>
                <w:rFonts w:ascii="Times New Roman" w:hAnsi="Times New Roman"/>
                <w:b/>
                <w:bCs/>
                <w:color w:val="000000"/>
                <w:sz w:val="14"/>
                <w:szCs w:val="14"/>
                <w:lang w:eastAsia="en-US"/>
              </w:rPr>
              <w:t>2018 N</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6C0389" w:rsidRPr="004F26D8" w:rsidP="000008FE">
            <w:pPr>
              <w:bidi w:val="0"/>
              <w:spacing w:line="276" w:lineRule="auto"/>
              <w:rPr>
                <w:rFonts w:ascii="Times New Roman" w:hAnsi="Times New Roman"/>
                <w:b/>
                <w:bCs/>
                <w:color w:val="000000"/>
                <w:sz w:val="14"/>
                <w:szCs w:val="14"/>
                <w:lang w:eastAsia="en-US"/>
              </w:rPr>
            </w:pPr>
            <w:r w:rsidRPr="004F26D8">
              <w:rPr>
                <w:rFonts w:ascii="Times New Roman" w:hAnsi="Times New Roman"/>
                <w:b/>
                <w:bCs/>
                <w:color w:val="000000"/>
                <w:sz w:val="14"/>
                <w:szCs w:val="14"/>
                <w:lang w:eastAsia="en-US"/>
              </w:rPr>
              <w:t>Príjmy NJF spolu</w:t>
            </w:r>
          </w:p>
        </w:tc>
        <w:tc>
          <w:tcPr>
            <w:tcW w:w="823"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6C0389" w:rsidRPr="004F26D8" w:rsidP="000008FE">
            <w:pPr>
              <w:bidi w:val="0"/>
              <w:jc w:val="right"/>
              <w:rPr>
                <w:rFonts w:ascii="Times New Roman" w:hAnsi="Times New Roman"/>
                <w:b/>
                <w:bCs/>
                <w:iCs/>
                <w:color w:val="000000"/>
                <w:sz w:val="14"/>
                <w:szCs w:val="14"/>
              </w:rPr>
            </w:pPr>
            <w:r w:rsidRPr="004F26D8">
              <w:rPr>
                <w:rFonts w:ascii="Times New Roman" w:hAnsi="Times New Roman"/>
                <w:b/>
                <w:bCs/>
                <w:iCs/>
                <w:color w:val="000000"/>
                <w:sz w:val="14"/>
                <w:szCs w:val="14"/>
              </w:rPr>
              <w:t>1 167 029</w:t>
            </w:r>
          </w:p>
        </w:tc>
        <w:tc>
          <w:tcPr>
            <w:tcW w:w="82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6C0389" w:rsidRPr="004F26D8" w:rsidP="000008FE">
            <w:pPr>
              <w:bidi w:val="0"/>
              <w:jc w:val="right"/>
              <w:rPr>
                <w:rFonts w:ascii="Times New Roman" w:hAnsi="Times New Roman"/>
                <w:b/>
                <w:bCs/>
                <w:iCs/>
                <w:color w:val="000000"/>
                <w:sz w:val="14"/>
                <w:szCs w:val="14"/>
              </w:rPr>
            </w:pPr>
            <w:r w:rsidRPr="004F26D8">
              <w:rPr>
                <w:rFonts w:ascii="Times New Roman" w:hAnsi="Times New Roman"/>
                <w:b/>
                <w:bCs/>
                <w:iCs/>
                <w:color w:val="000000"/>
                <w:sz w:val="14"/>
                <w:szCs w:val="14"/>
              </w:rPr>
              <w:t>1 284 876</w:t>
            </w:r>
          </w:p>
        </w:tc>
        <w:tc>
          <w:tcPr>
            <w:tcW w:w="823"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6C0389" w:rsidRPr="004F26D8" w:rsidP="000008FE">
            <w:pPr>
              <w:bidi w:val="0"/>
              <w:jc w:val="right"/>
              <w:rPr>
                <w:rFonts w:ascii="Times New Roman" w:hAnsi="Times New Roman"/>
                <w:b/>
                <w:bCs/>
                <w:iCs/>
                <w:color w:val="000000"/>
                <w:sz w:val="14"/>
                <w:szCs w:val="14"/>
              </w:rPr>
            </w:pPr>
            <w:r w:rsidRPr="004F26D8">
              <w:rPr>
                <w:rFonts w:ascii="Times New Roman" w:hAnsi="Times New Roman"/>
                <w:b/>
                <w:bCs/>
                <w:iCs/>
                <w:color w:val="000000"/>
                <w:sz w:val="14"/>
                <w:szCs w:val="14"/>
              </w:rPr>
              <w:t>1 396 425</w:t>
            </w:r>
          </w:p>
        </w:tc>
        <w:tc>
          <w:tcPr>
            <w:tcW w:w="82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1 391 521</w:t>
            </w:r>
          </w:p>
        </w:tc>
        <w:tc>
          <w:tcPr>
            <w:tcW w:w="82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1 488 196</w:t>
            </w:r>
          </w:p>
        </w:tc>
        <w:tc>
          <w:tcPr>
            <w:tcW w:w="84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1 622 901</w:t>
            </w:r>
          </w:p>
        </w:tc>
        <w:tc>
          <w:tcPr>
            <w:tcW w:w="84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1 781 903</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shd w:val="clear" w:color="auto" w:fill="FFFFFF"/>
            <w:noWrap/>
            <w:textDirection w:val="lrTb"/>
            <w:vAlign w:val="bottom"/>
            <w:hideMark/>
          </w:tcPr>
          <w:p w:rsidR="006C0389" w:rsidRPr="004F26D8" w:rsidP="000008FE">
            <w:pPr>
              <w:bidi w:val="0"/>
              <w:spacing w:line="276" w:lineRule="auto"/>
              <w:rPr>
                <w:rFonts w:ascii="Times New Roman" w:hAnsi="Times New Roman"/>
                <w:b/>
                <w:bCs/>
                <w:color w:val="000000"/>
                <w:sz w:val="14"/>
                <w:szCs w:val="14"/>
                <w:lang w:eastAsia="en-US"/>
              </w:rPr>
            </w:pPr>
            <w:r w:rsidRPr="004F26D8">
              <w:rPr>
                <w:rFonts w:ascii="Times New Roman" w:hAnsi="Times New Roman"/>
                <w:b/>
                <w:bCs/>
                <w:color w:val="000000"/>
                <w:sz w:val="14"/>
                <w:szCs w:val="14"/>
                <w:lang w:eastAsia="en-US"/>
              </w:rPr>
              <w:t>z toho:</w:t>
            </w:r>
          </w:p>
        </w:tc>
        <w:tc>
          <w:tcPr>
            <w:tcW w:w="823"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6C0389" w:rsidRPr="004F26D8" w:rsidP="000008FE">
            <w:pPr>
              <w:bidi w:val="0"/>
              <w:jc w:val="right"/>
              <w:rPr>
                <w:rFonts w:ascii="Times New Roman" w:hAnsi="Times New Roman"/>
                <w:b/>
                <w:bCs/>
                <w:i/>
                <w:iCs/>
                <w:color w:val="000000"/>
                <w:sz w:val="14"/>
                <w:szCs w:val="14"/>
              </w:rPr>
            </w:pPr>
            <w:r w:rsidRPr="004F26D8">
              <w:rPr>
                <w:rFonts w:ascii="Times New Roman" w:hAnsi="Times New Roman"/>
                <w:b/>
                <w:bCs/>
                <w:i/>
                <w:iCs/>
                <w:color w:val="000000"/>
                <w:sz w:val="14"/>
                <w:szCs w:val="14"/>
              </w:rPr>
              <w:t> </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b/>
                <w:bCs/>
                <w:i/>
                <w:iCs/>
                <w:sz w:val="14"/>
                <w:szCs w:val="14"/>
              </w:rPr>
            </w:pPr>
            <w:r w:rsidRPr="004F26D8">
              <w:rPr>
                <w:rFonts w:ascii="Times New Roman" w:hAnsi="Times New Roman"/>
                <w:b/>
                <w:bCs/>
                <w:i/>
                <w:iCs/>
                <w:sz w:val="14"/>
                <w:szCs w:val="14"/>
              </w:rPr>
              <w:t> </w:t>
            </w:r>
          </w:p>
        </w:tc>
        <w:tc>
          <w:tcPr>
            <w:tcW w:w="823" w:type="dxa"/>
            <w:tcBorders>
              <w:top w:val="single" w:sz="4" w:space="0" w:color="auto"/>
              <w:left w:val="single" w:sz="4" w:space="0" w:color="auto"/>
              <w:bottom w:val="single" w:sz="4" w:space="0" w:color="auto"/>
              <w:right w:val="single" w:sz="4" w:space="0" w:color="auto"/>
            </w:tcBorders>
            <w:shd w:val="clear" w:color="auto" w:fill="FFFFFF"/>
            <w:textDirection w:val="lrTb"/>
            <w:vAlign w:val="bottom"/>
          </w:tcPr>
          <w:p w:rsidR="006C0389" w:rsidRPr="004F26D8" w:rsidP="000008FE">
            <w:pPr>
              <w:bidi w:val="0"/>
              <w:jc w:val="right"/>
              <w:rPr>
                <w:rFonts w:ascii="Times New Roman" w:hAnsi="Times New Roman"/>
                <w:b/>
                <w:bCs/>
                <w:i/>
                <w:iCs/>
                <w:sz w:val="14"/>
                <w:szCs w:val="14"/>
              </w:rPr>
            </w:pPr>
            <w:r w:rsidRPr="004F26D8">
              <w:rPr>
                <w:rFonts w:ascii="Times New Roman" w:hAnsi="Times New Roman"/>
                <w:b/>
                <w:bCs/>
                <w:i/>
                <w:iCs/>
                <w:sz w:val="14"/>
                <w:szCs w:val="14"/>
              </w:rPr>
              <w:t> </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 </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 </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 </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 </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  nedaňové príjmy, z toho:</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110 283</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99 537</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101 544</w:t>
            </w:r>
          </w:p>
        </w:tc>
        <w:tc>
          <w:tcPr>
            <w:tcW w:w="823" w:type="dxa"/>
            <w:tcBorders>
              <w:top w:val="single" w:sz="4" w:space="0" w:color="auto"/>
              <w:left w:val="single" w:sz="4" w:space="0" w:color="auto"/>
              <w:bottom w:val="single" w:sz="4" w:space="0" w:color="auto"/>
              <w:right w:val="single" w:sz="4" w:space="0" w:color="auto"/>
            </w:tcBorders>
            <w:noWrap/>
            <w:textDirection w:val="lrTb"/>
            <w:vAlign w:val="bottom"/>
          </w:tcPr>
          <w:p w:rsidR="006C0389" w:rsidRPr="004F26D8" w:rsidP="000008FE">
            <w:pPr>
              <w:bidi w:val="0"/>
              <w:jc w:val="right"/>
              <w:rPr>
                <w:rFonts w:ascii="Times New Roman" w:hAnsi="Times New Roman"/>
                <w:bCs/>
                <w:sz w:val="14"/>
                <w:szCs w:val="14"/>
              </w:rPr>
            </w:pPr>
            <w:r w:rsidRPr="004F26D8">
              <w:rPr>
                <w:rFonts w:ascii="Times New Roman" w:hAnsi="Times New Roman"/>
                <w:bCs/>
                <w:sz w:val="14"/>
                <w:szCs w:val="14"/>
              </w:rPr>
              <w:t>97 333</w:t>
            </w:r>
          </w:p>
        </w:tc>
        <w:tc>
          <w:tcPr>
            <w:tcW w:w="823" w:type="dxa"/>
            <w:tcBorders>
              <w:top w:val="single" w:sz="4" w:space="0" w:color="auto"/>
              <w:left w:val="single" w:sz="4" w:space="0" w:color="auto"/>
              <w:bottom w:val="single" w:sz="4" w:space="0" w:color="auto"/>
              <w:right w:val="single" w:sz="4" w:space="0" w:color="auto"/>
            </w:tcBorders>
            <w:noWrap/>
            <w:textDirection w:val="lrTb"/>
            <w:vAlign w:val="bottom"/>
          </w:tcPr>
          <w:p w:rsidR="006C0389" w:rsidRPr="004F26D8" w:rsidP="000008FE">
            <w:pPr>
              <w:bidi w:val="0"/>
              <w:jc w:val="right"/>
              <w:rPr>
                <w:rFonts w:ascii="Times New Roman" w:hAnsi="Times New Roman"/>
                <w:bCs/>
                <w:sz w:val="14"/>
                <w:szCs w:val="14"/>
              </w:rPr>
            </w:pPr>
            <w:r w:rsidRPr="004F26D8">
              <w:rPr>
                <w:rFonts w:ascii="Times New Roman" w:hAnsi="Times New Roman"/>
                <w:bCs/>
                <w:sz w:val="14"/>
                <w:szCs w:val="14"/>
              </w:rPr>
              <w:t>97 455</w:t>
            </w:r>
          </w:p>
        </w:tc>
        <w:tc>
          <w:tcPr>
            <w:tcW w:w="848" w:type="dxa"/>
            <w:tcBorders>
              <w:top w:val="single" w:sz="4" w:space="0" w:color="auto"/>
              <w:left w:val="single" w:sz="4" w:space="0" w:color="auto"/>
              <w:bottom w:val="single" w:sz="4" w:space="0" w:color="auto"/>
              <w:right w:val="single" w:sz="4" w:space="0" w:color="auto"/>
            </w:tcBorders>
            <w:noWrap/>
            <w:textDirection w:val="lrTb"/>
            <w:vAlign w:val="bottom"/>
          </w:tcPr>
          <w:p w:rsidR="006C0389" w:rsidRPr="004F26D8" w:rsidP="000008FE">
            <w:pPr>
              <w:bidi w:val="0"/>
              <w:jc w:val="right"/>
              <w:rPr>
                <w:rFonts w:ascii="Times New Roman" w:hAnsi="Times New Roman"/>
                <w:bCs/>
                <w:sz w:val="14"/>
                <w:szCs w:val="14"/>
              </w:rPr>
            </w:pPr>
            <w:r w:rsidRPr="004F26D8">
              <w:rPr>
                <w:rFonts w:ascii="Times New Roman" w:hAnsi="Times New Roman"/>
                <w:bCs/>
                <w:sz w:val="14"/>
                <w:szCs w:val="14"/>
              </w:rPr>
              <w:t>112 739</w:t>
            </w:r>
          </w:p>
        </w:tc>
        <w:tc>
          <w:tcPr>
            <w:tcW w:w="848" w:type="dxa"/>
            <w:tcBorders>
              <w:top w:val="single" w:sz="4" w:space="0" w:color="auto"/>
              <w:left w:val="single" w:sz="4" w:space="0" w:color="auto"/>
              <w:bottom w:val="single" w:sz="4" w:space="0" w:color="auto"/>
              <w:right w:val="single" w:sz="4" w:space="0" w:color="auto"/>
            </w:tcBorders>
            <w:noWrap/>
            <w:textDirection w:val="lrTb"/>
            <w:vAlign w:val="bottom"/>
          </w:tcPr>
          <w:p w:rsidR="006C0389" w:rsidRPr="004F26D8" w:rsidP="000008FE">
            <w:pPr>
              <w:bidi w:val="0"/>
              <w:jc w:val="right"/>
              <w:rPr>
                <w:rFonts w:ascii="Times New Roman" w:hAnsi="Times New Roman"/>
                <w:bCs/>
                <w:sz w:val="14"/>
                <w:szCs w:val="14"/>
              </w:rPr>
            </w:pPr>
            <w:r w:rsidRPr="004F26D8">
              <w:rPr>
                <w:rFonts w:ascii="Times New Roman" w:hAnsi="Times New Roman"/>
                <w:bCs/>
                <w:sz w:val="14"/>
                <w:szCs w:val="14"/>
              </w:rPr>
              <w:t>135 558</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pokuty a penále</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265</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0</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0</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0</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0</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úroky z domácich pôžičiek a vkladov</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30 531</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33 420</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33 600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35 702</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36 000</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37 000</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38 500</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príspevky od prevádzkovateľov JZ</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69 874</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66 077</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67 944</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61 621</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61 455</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75 739</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97 058</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odvod od prevádzk. prenos. a distr. sústav</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9 553</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0</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0</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0</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0</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poplatky - nakladanie s IRAO</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52</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36</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10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0</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0</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0</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ostatné príjmy</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8</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4</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0</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0</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0</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  granty a transfery, z toho:</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88 748</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80 352</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71 513</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Cs/>
                <w:sz w:val="14"/>
                <w:szCs w:val="14"/>
              </w:rPr>
            </w:pPr>
            <w:r w:rsidRPr="004F26D8">
              <w:rPr>
                <w:rFonts w:ascii="Times New Roman" w:hAnsi="Times New Roman"/>
                <w:bCs/>
                <w:sz w:val="14"/>
                <w:szCs w:val="14"/>
              </w:rPr>
              <w:t>69 059</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Cs/>
                <w:sz w:val="14"/>
                <w:szCs w:val="14"/>
              </w:rPr>
            </w:pPr>
            <w:r w:rsidRPr="004F26D8">
              <w:rPr>
                <w:rFonts w:ascii="Times New Roman" w:hAnsi="Times New Roman"/>
                <w:bCs/>
                <w:sz w:val="14"/>
                <w:szCs w:val="14"/>
              </w:rPr>
              <w:t>71 268</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Cs/>
                <w:sz w:val="14"/>
                <w:szCs w:val="14"/>
              </w:rPr>
            </w:pPr>
            <w:r w:rsidRPr="004F26D8">
              <w:rPr>
                <w:rFonts w:ascii="Times New Roman" w:hAnsi="Times New Roman"/>
                <w:bCs/>
                <w:sz w:val="14"/>
                <w:szCs w:val="14"/>
              </w:rPr>
              <w:t>72 726</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Cs/>
                <w:sz w:val="14"/>
                <w:szCs w:val="14"/>
              </w:rPr>
            </w:pPr>
            <w:r w:rsidRPr="004F26D8">
              <w:rPr>
                <w:rFonts w:ascii="Times New Roman" w:hAnsi="Times New Roman"/>
                <w:bCs/>
                <w:sz w:val="14"/>
                <w:szCs w:val="14"/>
              </w:rPr>
              <w:t>74 214</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zo ŠR, z toho:</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58 748</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70 352</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71 513</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68 185</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71 268</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72 726</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74 214</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z MH SR z odv. od prev. pren. a distr. sústav</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58 409</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70 167</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71 147</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67 834</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70 895</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72 346</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73 826</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ZRAM neznámeho pôvodu</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339</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185</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366</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351</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373</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380</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388</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iné granty (dobrovoľný príspevok  JAVYS, a.s.)</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30 000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10 000</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874</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0</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0</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0</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  príjmy z transakcií s fin. akt. a pas.(FO), z toho: </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967 998</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1 104 987</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1 223 368</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Cs/>
                <w:sz w:val="14"/>
                <w:szCs w:val="14"/>
              </w:rPr>
            </w:pPr>
            <w:r w:rsidRPr="004F26D8">
              <w:rPr>
                <w:rFonts w:ascii="Times New Roman" w:hAnsi="Times New Roman"/>
                <w:bCs/>
                <w:sz w:val="14"/>
                <w:szCs w:val="14"/>
              </w:rPr>
              <w:t>1 225 129</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Cs/>
                <w:sz w:val="14"/>
                <w:szCs w:val="14"/>
              </w:rPr>
            </w:pPr>
            <w:r w:rsidRPr="004F26D8">
              <w:rPr>
                <w:rFonts w:ascii="Times New Roman" w:hAnsi="Times New Roman"/>
                <w:bCs/>
                <w:sz w:val="14"/>
                <w:szCs w:val="14"/>
              </w:rPr>
              <w:t>1 319 473</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Cs/>
                <w:sz w:val="14"/>
                <w:szCs w:val="14"/>
              </w:rPr>
            </w:pPr>
            <w:r w:rsidRPr="004F26D8">
              <w:rPr>
                <w:rFonts w:ascii="Times New Roman" w:hAnsi="Times New Roman"/>
                <w:bCs/>
                <w:sz w:val="14"/>
                <w:szCs w:val="14"/>
              </w:rPr>
              <w:t>1 437 436</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Cs/>
                <w:sz w:val="14"/>
                <w:szCs w:val="14"/>
              </w:rPr>
            </w:pPr>
            <w:r w:rsidRPr="004F26D8">
              <w:rPr>
                <w:rFonts w:ascii="Times New Roman" w:hAnsi="Times New Roman"/>
                <w:bCs/>
                <w:sz w:val="14"/>
                <w:szCs w:val="14"/>
              </w:rPr>
              <w:t>1 572 131</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zostatok prostriedkov z predch. rokov</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967 998</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1 104 987</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iCs/>
                <w:sz w:val="14"/>
                <w:szCs w:val="14"/>
              </w:rPr>
            </w:pPr>
            <w:r w:rsidRPr="004F26D8">
              <w:rPr>
                <w:rFonts w:ascii="Times New Roman" w:hAnsi="Times New Roman"/>
                <w:iCs/>
                <w:sz w:val="14"/>
                <w:szCs w:val="14"/>
              </w:rPr>
              <w:t>1 223 368</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1 225 129</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1 319 473</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1 437 436</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1 572 131</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6C0389" w:rsidRPr="004F26D8" w:rsidP="000008FE">
            <w:pPr>
              <w:bidi w:val="0"/>
              <w:spacing w:line="276" w:lineRule="auto"/>
              <w:rPr>
                <w:rFonts w:ascii="Times New Roman" w:hAnsi="Times New Roman"/>
                <w:b/>
                <w:bCs/>
                <w:color w:val="000000"/>
                <w:sz w:val="14"/>
                <w:szCs w:val="14"/>
                <w:lang w:eastAsia="en-US"/>
              </w:rPr>
            </w:pPr>
            <w:r w:rsidRPr="004F26D8">
              <w:rPr>
                <w:rFonts w:ascii="Times New Roman" w:hAnsi="Times New Roman"/>
                <w:b/>
                <w:bCs/>
                <w:color w:val="000000"/>
                <w:sz w:val="14"/>
                <w:szCs w:val="14"/>
                <w:lang w:eastAsia="en-US"/>
              </w:rPr>
              <w:t>Výdavky NJF spolu</w:t>
            </w:r>
          </w:p>
        </w:tc>
        <w:tc>
          <w:tcPr>
            <w:tcW w:w="823"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6C0389" w:rsidRPr="004F26D8" w:rsidP="000008FE">
            <w:pPr>
              <w:bidi w:val="0"/>
              <w:jc w:val="right"/>
              <w:rPr>
                <w:rFonts w:ascii="Times New Roman" w:hAnsi="Times New Roman"/>
                <w:b/>
                <w:bCs/>
                <w:i/>
                <w:iCs/>
                <w:color w:val="000000"/>
                <w:sz w:val="14"/>
                <w:szCs w:val="14"/>
              </w:rPr>
            </w:pPr>
            <w:r w:rsidRPr="004F26D8">
              <w:rPr>
                <w:rFonts w:ascii="Times New Roman" w:hAnsi="Times New Roman"/>
                <w:b/>
                <w:bCs/>
                <w:color w:val="000000"/>
                <w:sz w:val="14"/>
                <w:szCs w:val="14"/>
                <w:lang w:eastAsia="en-US"/>
              </w:rPr>
              <w:t>62 042</w:t>
            </w:r>
          </w:p>
        </w:tc>
        <w:tc>
          <w:tcPr>
            <w:tcW w:w="82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6C0389" w:rsidRPr="004F26D8" w:rsidP="000008FE">
            <w:pPr>
              <w:bidi w:val="0"/>
              <w:jc w:val="right"/>
              <w:rPr>
                <w:rFonts w:ascii="Times New Roman" w:hAnsi="Times New Roman"/>
                <w:b/>
                <w:bCs/>
                <w:i/>
                <w:iCs/>
                <w:sz w:val="14"/>
                <w:szCs w:val="14"/>
              </w:rPr>
            </w:pPr>
            <w:r w:rsidRPr="004F26D8">
              <w:rPr>
                <w:rFonts w:ascii="Times New Roman" w:hAnsi="Times New Roman"/>
                <w:b/>
                <w:bCs/>
                <w:color w:val="000000"/>
                <w:sz w:val="14"/>
                <w:szCs w:val="14"/>
                <w:lang w:eastAsia="en-US"/>
              </w:rPr>
              <w:t>59 747</w:t>
            </w:r>
          </w:p>
        </w:tc>
        <w:tc>
          <w:tcPr>
            <w:tcW w:w="823"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6C0389" w:rsidRPr="004F26D8" w:rsidP="000008FE">
            <w:pPr>
              <w:bidi w:val="0"/>
              <w:jc w:val="right"/>
              <w:rPr>
                <w:rFonts w:ascii="Times New Roman" w:hAnsi="Times New Roman"/>
                <w:b/>
                <w:bCs/>
                <w:color w:val="000000"/>
                <w:sz w:val="14"/>
                <w:szCs w:val="14"/>
                <w:lang w:eastAsia="en-US"/>
              </w:rPr>
            </w:pPr>
            <w:r w:rsidRPr="004F26D8">
              <w:rPr>
                <w:rFonts w:ascii="Times New Roman" w:hAnsi="Times New Roman"/>
                <w:b/>
                <w:bCs/>
                <w:color w:val="000000"/>
                <w:sz w:val="14"/>
                <w:szCs w:val="14"/>
                <w:lang w:eastAsia="en-US"/>
              </w:rPr>
              <w:t>71 182</w:t>
            </w:r>
          </w:p>
        </w:tc>
        <w:tc>
          <w:tcPr>
            <w:tcW w:w="82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72 048</w:t>
            </w:r>
          </w:p>
        </w:tc>
        <w:tc>
          <w:tcPr>
            <w:tcW w:w="82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6C0389" w:rsidRPr="004F26D8" w:rsidP="000008FE">
            <w:pPr>
              <w:bidi w:val="0"/>
              <w:jc w:val="right"/>
              <w:rPr>
                <w:rFonts w:ascii="Times New Roman" w:hAnsi="Times New Roman"/>
                <w:b/>
                <w:bCs/>
                <w:color w:val="000000"/>
                <w:sz w:val="14"/>
                <w:szCs w:val="14"/>
                <w:lang w:eastAsia="en-US"/>
              </w:rPr>
            </w:pPr>
            <w:r w:rsidRPr="004F26D8">
              <w:rPr>
                <w:rFonts w:ascii="Times New Roman" w:hAnsi="Times New Roman"/>
                <w:b/>
                <w:bCs/>
                <w:color w:val="000000"/>
                <w:sz w:val="14"/>
                <w:szCs w:val="14"/>
                <w:lang w:eastAsia="en-US"/>
              </w:rPr>
              <w:t>50 760</w:t>
            </w:r>
          </w:p>
        </w:tc>
        <w:tc>
          <w:tcPr>
            <w:tcW w:w="84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6C0389" w:rsidRPr="004F26D8" w:rsidP="000008FE">
            <w:pPr>
              <w:bidi w:val="0"/>
              <w:jc w:val="right"/>
              <w:rPr>
                <w:rFonts w:ascii="Times New Roman" w:hAnsi="Times New Roman"/>
                <w:b/>
                <w:bCs/>
                <w:color w:val="000000"/>
                <w:sz w:val="14"/>
                <w:szCs w:val="14"/>
                <w:lang w:eastAsia="en-US"/>
              </w:rPr>
            </w:pPr>
            <w:r w:rsidRPr="004F26D8">
              <w:rPr>
                <w:rFonts w:ascii="Times New Roman" w:hAnsi="Times New Roman"/>
                <w:b/>
                <w:bCs/>
                <w:color w:val="000000"/>
                <w:sz w:val="14"/>
                <w:szCs w:val="14"/>
                <w:lang w:eastAsia="en-US"/>
              </w:rPr>
              <w:t>50 770</w:t>
            </w:r>
          </w:p>
        </w:tc>
        <w:tc>
          <w:tcPr>
            <w:tcW w:w="84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6C0389" w:rsidRPr="004F26D8" w:rsidP="000008FE">
            <w:pPr>
              <w:bidi w:val="0"/>
              <w:jc w:val="right"/>
              <w:rPr>
                <w:rFonts w:ascii="Times New Roman" w:hAnsi="Times New Roman"/>
                <w:b/>
                <w:bCs/>
                <w:color w:val="000000"/>
                <w:sz w:val="14"/>
                <w:szCs w:val="14"/>
                <w:lang w:eastAsia="en-US"/>
              </w:rPr>
            </w:pPr>
            <w:r w:rsidRPr="004F26D8">
              <w:rPr>
                <w:rFonts w:ascii="Times New Roman" w:hAnsi="Times New Roman"/>
                <w:b/>
                <w:bCs/>
                <w:color w:val="000000"/>
                <w:sz w:val="14"/>
                <w:szCs w:val="14"/>
                <w:lang w:eastAsia="en-US"/>
              </w:rPr>
              <w:t>50 785</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4F26D8" w:rsidP="000008FE">
            <w:pPr>
              <w:bidi w:val="0"/>
              <w:spacing w:line="276" w:lineRule="auto"/>
              <w:rPr>
                <w:rFonts w:ascii="Times New Roman" w:hAnsi="Times New Roman"/>
                <w:b/>
                <w:color w:val="000000"/>
                <w:sz w:val="14"/>
                <w:szCs w:val="14"/>
                <w:lang w:eastAsia="en-US"/>
              </w:rPr>
            </w:pPr>
            <w:r w:rsidRPr="004F26D8">
              <w:rPr>
                <w:rFonts w:ascii="Times New Roman" w:hAnsi="Times New Roman"/>
                <w:b/>
                <w:color w:val="000000"/>
                <w:sz w:val="14"/>
                <w:szCs w:val="14"/>
                <w:lang w:eastAsia="en-US"/>
              </w:rPr>
              <w:t>z toho:</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b/>
                <w:bCs/>
                <w:i/>
                <w:iCs/>
                <w:color w:val="000000"/>
                <w:sz w:val="14"/>
                <w:szCs w:val="14"/>
              </w:rPr>
            </w:pPr>
            <w:r w:rsidRPr="004F26D8">
              <w:rPr>
                <w:rFonts w:ascii="Times New Roman" w:hAnsi="Times New Roman"/>
                <w:b/>
                <w:bCs/>
                <w:i/>
                <w:iCs/>
                <w:color w:val="000000"/>
                <w:sz w:val="14"/>
                <w:szCs w:val="14"/>
              </w:rPr>
              <w:t> </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b/>
                <w:bCs/>
                <w:i/>
                <w:iCs/>
                <w:sz w:val="14"/>
                <w:szCs w:val="14"/>
              </w:rPr>
            </w:pPr>
            <w:r w:rsidRPr="004F26D8">
              <w:rPr>
                <w:rFonts w:ascii="Times New Roman" w:hAnsi="Times New Roman"/>
                <w:b/>
                <w:bCs/>
                <w:i/>
                <w:iCs/>
                <w:sz w:val="14"/>
                <w:szCs w:val="14"/>
              </w:rPr>
              <w:t> </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b/>
                <w:bCs/>
                <w:i/>
                <w:iCs/>
                <w:sz w:val="14"/>
                <w:szCs w:val="14"/>
              </w:rPr>
            </w:pPr>
            <w:r w:rsidRPr="004F26D8">
              <w:rPr>
                <w:rFonts w:ascii="Times New Roman" w:hAnsi="Times New Roman"/>
                <w:b/>
                <w:bCs/>
                <w:i/>
                <w:iCs/>
                <w:sz w:val="14"/>
                <w:szCs w:val="14"/>
              </w:rPr>
              <w:t> </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 </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bCs/>
                <w:i/>
                <w:iCs/>
                <w:sz w:val="14"/>
                <w:szCs w:val="14"/>
              </w:rPr>
            </w:pPr>
            <w:r w:rsidRPr="004F26D8">
              <w:rPr>
                <w:rFonts w:ascii="Times New Roman" w:hAnsi="Times New Roman"/>
                <w:b/>
                <w:bCs/>
                <w:i/>
                <w:iCs/>
                <w:sz w:val="14"/>
                <w:szCs w:val="14"/>
              </w:rPr>
              <w:t> </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bCs/>
                <w:i/>
                <w:iCs/>
                <w:sz w:val="14"/>
                <w:szCs w:val="14"/>
              </w:rPr>
            </w:pPr>
            <w:r w:rsidRPr="004F26D8">
              <w:rPr>
                <w:rFonts w:ascii="Times New Roman" w:hAnsi="Times New Roman"/>
                <w:b/>
                <w:bCs/>
                <w:i/>
                <w:iCs/>
                <w:sz w:val="14"/>
                <w:szCs w:val="14"/>
              </w:rPr>
              <w:t> </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bCs/>
                <w:i/>
                <w:iCs/>
                <w:sz w:val="14"/>
                <w:szCs w:val="14"/>
              </w:rPr>
            </w:pPr>
            <w:r w:rsidRPr="004F26D8">
              <w:rPr>
                <w:rFonts w:ascii="Times New Roman" w:hAnsi="Times New Roman"/>
                <w:b/>
                <w:bCs/>
                <w:i/>
                <w:iCs/>
                <w:sz w:val="14"/>
                <w:szCs w:val="14"/>
              </w:rPr>
              <w:t> </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b/>
                <w:color w:val="000000"/>
                <w:sz w:val="14"/>
                <w:szCs w:val="14"/>
                <w:lang w:eastAsia="en-US"/>
              </w:rPr>
              <w:t xml:space="preserve"> </w:t>
            </w:r>
            <w:r w:rsidRPr="004F26D8">
              <w:rPr>
                <w:rFonts w:ascii="Times New Roman" w:hAnsi="Times New Roman"/>
                <w:color w:val="000000"/>
                <w:sz w:val="14"/>
                <w:szCs w:val="14"/>
                <w:lang w:eastAsia="en-US"/>
              </w:rPr>
              <w:t xml:space="preserve">▪  bežné výdavky </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61 996</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55 150</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63 104</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63 970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44 536</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46 591</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43 761</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mzdy</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177</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184</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210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210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210</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210</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212</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poistné</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154</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160</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160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161</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163</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167</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167</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tovary a služby</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324</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337</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364</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364</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371</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375</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386</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bežné transfery</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61 341</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54 469</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62 370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63 235</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43 792</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45 839</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42 996</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4F26D8" w:rsidP="000008FE">
            <w:pPr>
              <w:bidi w:val="0"/>
              <w:spacing w:line="276" w:lineRule="auto"/>
              <w:rPr>
                <w:rFonts w:ascii="Times New Roman" w:hAnsi="Times New Roman"/>
                <w:b/>
                <w:color w:val="000000"/>
                <w:sz w:val="14"/>
                <w:szCs w:val="14"/>
                <w:lang w:eastAsia="en-US"/>
              </w:rPr>
            </w:pPr>
            <w:r w:rsidRPr="004F26D8">
              <w:rPr>
                <w:rFonts w:ascii="Times New Roman" w:hAnsi="Times New Roman"/>
                <w:b/>
                <w:color w:val="000000"/>
                <w:sz w:val="14"/>
                <w:szCs w:val="14"/>
                <w:lang w:eastAsia="en-US"/>
              </w:rPr>
              <w:t xml:space="preserve"> ▪  </w:t>
            </w:r>
            <w:r w:rsidRPr="004F26D8">
              <w:rPr>
                <w:rFonts w:ascii="Times New Roman" w:hAnsi="Times New Roman"/>
                <w:color w:val="000000"/>
                <w:sz w:val="14"/>
                <w:szCs w:val="14"/>
                <w:lang w:eastAsia="en-US"/>
              </w:rPr>
              <w:t>kapitálové výdavky</w:t>
            </w:r>
            <w:r w:rsidRPr="004F26D8">
              <w:rPr>
                <w:rFonts w:ascii="Times New Roman" w:hAnsi="Times New Roman"/>
                <w:b/>
                <w:color w:val="000000"/>
                <w:sz w:val="14"/>
                <w:szCs w:val="14"/>
                <w:lang w:eastAsia="en-US"/>
              </w:rPr>
              <w:t xml:space="preserve"> </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46</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4 597</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8 078</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8 078</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6 224</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4 179</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7 024</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obstarávanie kapitálových aktív</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0</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2</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2</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2</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4</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4</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kapitálové transfery</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46</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4 597</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8 076</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8 076</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6 222</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4 175</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7 020</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  výdavky z transakcií s fin. akt. a pas. (FO) </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0</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0</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0</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0</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6C0389" w:rsidRPr="004F26D8" w:rsidP="000008FE">
            <w:pPr>
              <w:bidi w:val="0"/>
              <w:spacing w:line="276" w:lineRule="auto"/>
              <w:rPr>
                <w:rFonts w:ascii="Times New Roman" w:hAnsi="Times New Roman"/>
                <w:b/>
                <w:bCs/>
                <w:color w:val="000000"/>
                <w:sz w:val="14"/>
                <w:szCs w:val="14"/>
                <w:lang w:eastAsia="en-US"/>
              </w:rPr>
            </w:pPr>
            <w:r w:rsidRPr="004F26D8">
              <w:rPr>
                <w:rFonts w:ascii="Times New Roman" w:hAnsi="Times New Roman"/>
                <w:b/>
                <w:bCs/>
                <w:color w:val="000000"/>
                <w:sz w:val="14"/>
                <w:szCs w:val="14"/>
                <w:lang w:eastAsia="en-US"/>
              </w:rPr>
              <w:t>Celkový prebytok  NJF</w:t>
            </w:r>
          </w:p>
        </w:tc>
        <w:tc>
          <w:tcPr>
            <w:tcW w:w="823"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6C0389" w:rsidRPr="004F26D8" w:rsidP="000008FE">
            <w:pPr>
              <w:bidi w:val="0"/>
              <w:jc w:val="right"/>
              <w:rPr>
                <w:rFonts w:ascii="Times New Roman" w:hAnsi="Times New Roman"/>
                <w:b/>
                <w:bCs/>
                <w:iCs/>
                <w:color w:val="000000"/>
                <w:sz w:val="14"/>
                <w:szCs w:val="14"/>
              </w:rPr>
            </w:pPr>
            <w:r w:rsidRPr="004F26D8">
              <w:rPr>
                <w:rFonts w:ascii="Times New Roman" w:hAnsi="Times New Roman"/>
                <w:b/>
                <w:bCs/>
                <w:iCs/>
                <w:color w:val="000000"/>
                <w:sz w:val="14"/>
                <w:szCs w:val="14"/>
              </w:rPr>
              <w:t>1 104 987</w:t>
            </w:r>
          </w:p>
        </w:tc>
        <w:tc>
          <w:tcPr>
            <w:tcW w:w="82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6C0389" w:rsidRPr="004F26D8" w:rsidP="000008FE">
            <w:pPr>
              <w:bidi w:val="0"/>
              <w:jc w:val="right"/>
              <w:rPr>
                <w:rFonts w:ascii="Times New Roman" w:hAnsi="Times New Roman"/>
                <w:b/>
                <w:bCs/>
                <w:iCs/>
                <w:color w:val="000000"/>
                <w:sz w:val="14"/>
                <w:szCs w:val="14"/>
              </w:rPr>
            </w:pPr>
            <w:r w:rsidRPr="004F26D8">
              <w:rPr>
                <w:rFonts w:ascii="Times New Roman" w:hAnsi="Times New Roman"/>
                <w:b/>
                <w:bCs/>
                <w:iCs/>
                <w:color w:val="000000"/>
                <w:sz w:val="14"/>
                <w:szCs w:val="14"/>
              </w:rPr>
              <w:t>1 225 129</w:t>
            </w:r>
          </w:p>
        </w:tc>
        <w:tc>
          <w:tcPr>
            <w:tcW w:w="823"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6C0389" w:rsidRPr="004F26D8" w:rsidP="000008FE">
            <w:pPr>
              <w:bidi w:val="0"/>
              <w:jc w:val="right"/>
              <w:rPr>
                <w:rFonts w:ascii="Times New Roman" w:hAnsi="Times New Roman"/>
                <w:b/>
                <w:bCs/>
                <w:iCs/>
                <w:color w:val="000000"/>
                <w:sz w:val="14"/>
                <w:szCs w:val="14"/>
              </w:rPr>
            </w:pPr>
            <w:r w:rsidRPr="004F26D8">
              <w:rPr>
                <w:rFonts w:ascii="Times New Roman" w:hAnsi="Times New Roman"/>
                <w:b/>
                <w:bCs/>
                <w:iCs/>
                <w:color w:val="000000"/>
                <w:sz w:val="14"/>
                <w:szCs w:val="14"/>
              </w:rPr>
              <w:t>1 325 243</w:t>
            </w:r>
          </w:p>
        </w:tc>
        <w:tc>
          <w:tcPr>
            <w:tcW w:w="82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1 319 473</w:t>
            </w:r>
          </w:p>
        </w:tc>
        <w:tc>
          <w:tcPr>
            <w:tcW w:w="82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1 437 436</w:t>
            </w:r>
          </w:p>
        </w:tc>
        <w:tc>
          <w:tcPr>
            <w:tcW w:w="84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1 572 131</w:t>
            </w:r>
          </w:p>
        </w:tc>
        <w:tc>
          <w:tcPr>
            <w:tcW w:w="84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1 731 118</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b/>
                <w:bCs/>
                <w:iCs/>
                <w:color w:val="000000"/>
                <w:sz w:val="14"/>
                <w:szCs w:val="14"/>
                <w:lang w:eastAsia="en-US"/>
              </w:rPr>
            </w:pPr>
            <w:r w:rsidRPr="004F26D8">
              <w:rPr>
                <w:rFonts w:ascii="Times New Roman" w:hAnsi="Times New Roman"/>
                <w:b/>
                <w:bCs/>
                <w:iCs/>
                <w:color w:val="000000"/>
                <w:sz w:val="14"/>
                <w:szCs w:val="14"/>
                <w:lang w:eastAsia="en-US"/>
              </w:rPr>
              <w:t xml:space="preserve">  vylúčenie finančných operácií</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b/>
                <w:color w:val="000000"/>
                <w:sz w:val="14"/>
                <w:szCs w:val="14"/>
              </w:rPr>
            </w:pPr>
            <w:r w:rsidRPr="004F26D8">
              <w:rPr>
                <w:rFonts w:ascii="Times New Roman" w:hAnsi="Times New Roman"/>
                <w:b/>
                <w:color w:val="000000"/>
                <w:sz w:val="14"/>
                <w:szCs w:val="14"/>
              </w:rPr>
              <w:t>-967 998</w:t>
            </w:r>
          </w:p>
        </w:tc>
        <w:tc>
          <w:tcPr>
            <w:tcW w:w="8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jc w:val="right"/>
              <w:rPr>
                <w:rFonts w:ascii="Times New Roman" w:hAnsi="Times New Roman"/>
                <w:color w:val="000000"/>
                <w:sz w:val="14"/>
                <w:szCs w:val="14"/>
              </w:rPr>
            </w:pPr>
            <w:r w:rsidRPr="004F26D8">
              <w:rPr>
                <w:rFonts w:ascii="Times New Roman" w:hAnsi="Times New Roman"/>
                <w:b/>
                <w:color w:val="000000"/>
                <w:sz w:val="14"/>
                <w:szCs w:val="14"/>
              </w:rPr>
              <w:t>-1 104 987</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b/>
                <w:sz w:val="14"/>
                <w:szCs w:val="14"/>
              </w:rPr>
            </w:pPr>
            <w:r w:rsidRPr="004F26D8">
              <w:rPr>
                <w:rFonts w:ascii="Times New Roman" w:hAnsi="Times New Roman"/>
                <w:b/>
                <w:sz w:val="14"/>
                <w:szCs w:val="14"/>
              </w:rPr>
              <w:t>-1 223 368</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color w:val="000000"/>
                <w:sz w:val="14"/>
                <w:szCs w:val="14"/>
              </w:rPr>
            </w:pPr>
            <w:r w:rsidRPr="004F26D8">
              <w:rPr>
                <w:rFonts w:ascii="Times New Roman" w:hAnsi="Times New Roman"/>
                <w:b/>
                <w:color w:val="000000"/>
                <w:sz w:val="14"/>
                <w:szCs w:val="14"/>
              </w:rPr>
              <w:t>-1 225 129</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color w:val="000000"/>
                <w:sz w:val="14"/>
                <w:szCs w:val="14"/>
              </w:rPr>
            </w:pPr>
            <w:r w:rsidRPr="004F26D8">
              <w:rPr>
                <w:rFonts w:ascii="Times New Roman" w:hAnsi="Times New Roman"/>
                <w:b/>
                <w:color w:val="000000"/>
                <w:sz w:val="14"/>
                <w:szCs w:val="14"/>
              </w:rPr>
              <w:t>-1 319 473</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color w:val="000000"/>
                <w:sz w:val="14"/>
                <w:szCs w:val="14"/>
              </w:rPr>
            </w:pPr>
            <w:r w:rsidRPr="004F26D8">
              <w:rPr>
                <w:rFonts w:ascii="Times New Roman" w:hAnsi="Times New Roman"/>
                <w:b/>
                <w:color w:val="000000"/>
                <w:sz w:val="14"/>
                <w:szCs w:val="14"/>
              </w:rPr>
              <w:t>-1 437 436</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color w:val="000000"/>
                <w:sz w:val="14"/>
                <w:szCs w:val="14"/>
              </w:rPr>
            </w:pPr>
            <w:r w:rsidRPr="004F26D8">
              <w:rPr>
                <w:rFonts w:ascii="Times New Roman" w:hAnsi="Times New Roman"/>
                <w:b/>
                <w:color w:val="000000"/>
                <w:sz w:val="14"/>
                <w:szCs w:val="14"/>
              </w:rPr>
              <w:t>-1 572 131</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b/>
                <w:color w:val="000000"/>
                <w:sz w:val="14"/>
                <w:szCs w:val="14"/>
                <w:lang w:eastAsia="en-US"/>
              </w:rPr>
            </w:pPr>
            <w:r w:rsidRPr="004F26D8">
              <w:rPr>
                <w:rFonts w:ascii="Times New Roman" w:hAnsi="Times New Roman"/>
                <w:b/>
                <w:color w:val="000000"/>
                <w:sz w:val="14"/>
                <w:szCs w:val="14"/>
                <w:lang w:eastAsia="en-US"/>
              </w:rPr>
              <w:t xml:space="preserve">   z toho:</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 </w:t>
            </w:r>
          </w:p>
        </w:tc>
        <w:tc>
          <w:tcPr>
            <w:tcW w:w="8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 </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 </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 </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 </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 </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bCs/>
                <w:sz w:val="14"/>
                <w:szCs w:val="14"/>
              </w:rPr>
            </w:pPr>
            <w:r w:rsidRPr="004F26D8">
              <w:rPr>
                <w:rFonts w:ascii="Times New Roman" w:hAnsi="Times New Roman"/>
                <w:b/>
                <w:bCs/>
                <w:sz w:val="14"/>
                <w:szCs w:val="14"/>
              </w:rPr>
              <w:t> </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color w:val="000000"/>
                <w:sz w:val="14"/>
                <w:szCs w:val="14"/>
                <w:lang w:eastAsia="en-US"/>
              </w:rPr>
            </w:pPr>
            <w:r w:rsidRPr="004F26D8">
              <w:rPr>
                <w:rFonts w:ascii="Times New Roman" w:hAnsi="Times New Roman"/>
                <w:color w:val="000000"/>
                <w:sz w:val="14"/>
                <w:szCs w:val="14"/>
                <w:lang w:eastAsia="en-US"/>
              </w:rPr>
              <w:t xml:space="preserve">        vylúčenie príjmových FO</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-967 998</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w:t>
            </w:r>
            <w:r w:rsidRPr="004F26D8">
              <w:rPr>
                <w:rFonts w:ascii="Times New Roman" w:hAnsi="Times New Roman"/>
                <w:color w:val="000000"/>
                <w:sz w:val="14"/>
                <w:szCs w:val="14"/>
              </w:rPr>
              <w:t>1 104 987</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jc w:val="right"/>
              <w:rPr>
                <w:rFonts w:ascii="Times New Roman" w:hAnsi="Times New Roman"/>
                <w:color w:val="000000"/>
                <w:sz w:val="14"/>
                <w:szCs w:val="14"/>
              </w:rPr>
            </w:pPr>
            <w:r w:rsidRPr="004F26D8">
              <w:rPr>
                <w:rFonts w:ascii="Times New Roman" w:hAnsi="Times New Roman"/>
                <w:color w:val="000000"/>
                <w:sz w:val="14"/>
                <w:szCs w:val="14"/>
              </w:rPr>
              <w:t>-1 223 368</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-1 225 129</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-1 319 473</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-1 437 436</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sz w:val="14"/>
                <w:szCs w:val="14"/>
              </w:rPr>
            </w:pPr>
            <w:r w:rsidRPr="004F26D8">
              <w:rPr>
                <w:rFonts w:ascii="Times New Roman" w:hAnsi="Times New Roman"/>
                <w:sz w:val="14"/>
                <w:szCs w:val="14"/>
              </w:rPr>
              <w:t>-1 572 131</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4F26D8" w:rsidP="000008FE">
            <w:pPr>
              <w:bidi w:val="0"/>
              <w:spacing w:line="276" w:lineRule="auto"/>
              <w:rPr>
                <w:rFonts w:ascii="Times New Roman" w:hAnsi="Times New Roman"/>
                <w:b/>
                <w:bCs/>
                <w:iCs/>
                <w:color w:val="000000"/>
                <w:sz w:val="14"/>
                <w:szCs w:val="14"/>
                <w:lang w:eastAsia="en-US"/>
              </w:rPr>
            </w:pPr>
            <w:r w:rsidRPr="004F26D8">
              <w:rPr>
                <w:rFonts w:ascii="Times New Roman" w:hAnsi="Times New Roman"/>
                <w:b/>
                <w:bCs/>
                <w:iCs/>
                <w:color w:val="000000"/>
                <w:sz w:val="14"/>
                <w:szCs w:val="14"/>
                <w:lang w:eastAsia="en-US"/>
              </w:rPr>
              <w:t xml:space="preserve">  ostatné úpravy</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spacing w:line="276" w:lineRule="auto"/>
              <w:jc w:val="right"/>
              <w:rPr>
                <w:rFonts w:ascii="Times New Roman" w:hAnsi="Times New Roman"/>
                <w:b/>
                <w:bCs/>
                <w:iCs/>
                <w:color w:val="000000"/>
                <w:sz w:val="14"/>
                <w:szCs w:val="14"/>
                <w:lang w:eastAsia="en-US"/>
              </w:rPr>
            </w:pPr>
            <w:r w:rsidRPr="004F26D8">
              <w:rPr>
                <w:rFonts w:ascii="Times New Roman" w:hAnsi="Times New Roman"/>
                <w:b/>
                <w:bCs/>
                <w:iCs/>
                <w:color w:val="000000"/>
                <w:sz w:val="14"/>
                <w:szCs w:val="14"/>
                <w:lang w:eastAsia="en-US"/>
              </w:rPr>
              <w:t>8 039</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4F26D8" w:rsidP="000008FE">
            <w:pPr>
              <w:bidi w:val="0"/>
              <w:spacing w:line="276" w:lineRule="auto"/>
              <w:jc w:val="right"/>
              <w:rPr>
                <w:rFonts w:ascii="Times New Roman" w:hAnsi="Times New Roman"/>
                <w:b/>
                <w:bCs/>
                <w:iCs/>
                <w:color w:val="000000"/>
                <w:sz w:val="14"/>
                <w:szCs w:val="14"/>
                <w:lang w:eastAsia="en-US"/>
              </w:rPr>
            </w:pPr>
            <w:r w:rsidRPr="004F26D8">
              <w:rPr>
                <w:rFonts w:ascii="Times New Roman" w:hAnsi="Times New Roman"/>
                <w:b/>
                <w:bCs/>
                <w:iCs/>
                <w:color w:val="000000"/>
                <w:sz w:val="14"/>
                <w:szCs w:val="14"/>
                <w:lang w:eastAsia="en-US"/>
              </w:rPr>
              <w:t>-9 472</w:t>
            </w:r>
          </w:p>
        </w:tc>
        <w:tc>
          <w:tcPr>
            <w:tcW w:w="823" w:type="dxa"/>
            <w:tcBorders>
              <w:top w:val="single" w:sz="4" w:space="0" w:color="auto"/>
              <w:left w:val="single" w:sz="4" w:space="0" w:color="auto"/>
              <w:bottom w:val="single" w:sz="4" w:space="0" w:color="auto"/>
              <w:right w:val="single" w:sz="4" w:space="0" w:color="auto"/>
            </w:tcBorders>
            <w:textDirection w:val="lrTb"/>
            <w:vAlign w:val="bottom"/>
          </w:tcPr>
          <w:p w:rsidR="006C0389" w:rsidRPr="004F26D8" w:rsidP="000008FE">
            <w:pPr>
              <w:bidi w:val="0"/>
              <w:spacing w:line="276" w:lineRule="auto"/>
              <w:jc w:val="right"/>
              <w:rPr>
                <w:rFonts w:ascii="Times New Roman" w:hAnsi="Times New Roman"/>
                <w:b/>
                <w:bCs/>
                <w:iCs/>
                <w:color w:val="000000"/>
                <w:sz w:val="14"/>
                <w:szCs w:val="14"/>
                <w:lang w:eastAsia="en-US"/>
              </w:rPr>
            </w:pPr>
            <w:r w:rsidRPr="004F26D8">
              <w:rPr>
                <w:rFonts w:ascii="Times New Roman" w:hAnsi="Times New Roman"/>
                <w:b/>
                <w:bCs/>
                <w:iCs/>
                <w:color w:val="000000"/>
                <w:sz w:val="14"/>
                <w:szCs w:val="14"/>
                <w:lang w:eastAsia="en-US"/>
              </w:rPr>
              <w:t>0</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sz w:val="14"/>
                <w:szCs w:val="14"/>
              </w:rPr>
            </w:pPr>
            <w:r w:rsidRPr="004F26D8">
              <w:rPr>
                <w:rFonts w:ascii="Times New Roman" w:hAnsi="Times New Roman"/>
                <w:b/>
                <w:sz w:val="14"/>
                <w:szCs w:val="14"/>
              </w:rPr>
              <w:t>2 503</w:t>
            </w:r>
          </w:p>
        </w:tc>
        <w:tc>
          <w:tcPr>
            <w:tcW w:w="823"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sz w:val="14"/>
                <w:szCs w:val="14"/>
              </w:rPr>
            </w:pPr>
            <w:r w:rsidRPr="004F26D8">
              <w:rPr>
                <w:rFonts w:ascii="Times New Roman" w:hAnsi="Times New Roman"/>
                <w:b/>
                <w:sz w:val="14"/>
                <w:szCs w:val="14"/>
              </w:rPr>
              <w:t>0 </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sz w:val="14"/>
                <w:szCs w:val="14"/>
              </w:rPr>
            </w:pPr>
            <w:r w:rsidRPr="004F26D8">
              <w:rPr>
                <w:rFonts w:ascii="Times New Roman" w:hAnsi="Times New Roman"/>
                <w:b/>
                <w:sz w:val="14"/>
                <w:szCs w:val="14"/>
              </w:rPr>
              <w:t>0 </w:t>
            </w:r>
          </w:p>
        </w:tc>
        <w:tc>
          <w:tcPr>
            <w:tcW w:w="848"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4F26D8" w:rsidP="000008FE">
            <w:pPr>
              <w:bidi w:val="0"/>
              <w:jc w:val="right"/>
              <w:rPr>
                <w:rFonts w:ascii="Times New Roman" w:hAnsi="Times New Roman"/>
                <w:b/>
                <w:sz w:val="14"/>
                <w:szCs w:val="14"/>
              </w:rPr>
            </w:pPr>
            <w:r w:rsidRPr="004F26D8">
              <w:rPr>
                <w:rFonts w:ascii="Times New Roman" w:hAnsi="Times New Roman"/>
                <w:b/>
                <w:sz w:val="14"/>
                <w:szCs w:val="14"/>
              </w:rPr>
              <w:t>0 </w:t>
            </w:r>
          </w:p>
        </w:tc>
      </w:tr>
      <w:tr>
        <w:tblPrEx>
          <w:tblW w:w="9045" w:type="dxa"/>
          <w:jc w:val="center"/>
          <w:tblCellMar>
            <w:left w:w="70" w:type="dxa"/>
            <w:right w:w="70" w:type="dxa"/>
          </w:tblCellMar>
          <w:tblLook w:val="04A0"/>
        </w:tblPrEx>
        <w:trPr>
          <w:trHeight w:val="255"/>
          <w:jc w:val="center"/>
        </w:trPr>
        <w:tc>
          <w:tcPr>
            <w:tcW w:w="3234"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6C0389" w:rsidRPr="004F26D8" w:rsidP="000008FE">
            <w:pPr>
              <w:bidi w:val="0"/>
              <w:spacing w:line="276" w:lineRule="auto"/>
              <w:rPr>
                <w:rFonts w:ascii="Times New Roman" w:hAnsi="Times New Roman"/>
                <w:b/>
                <w:bCs/>
                <w:color w:val="000000"/>
                <w:sz w:val="14"/>
                <w:szCs w:val="14"/>
                <w:lang w:eastAsia="en-US"/>
              </w:rPr>
            </w:pPr>
            <w:r w:rsidRPr="004F26D8">
              <w:rPr>
                <w:rFonts w:ascii="Times New Roman" w:hAnsi="Times New Roman"/>
                <w:b/>
                <w:bCs/>
                <w:color w:val="000000"/>
                <w:sz w:val="14"/>
                <w:szCs w:val="14"/>
                <w:lang w:eastAsia="en-US"/>
              </w:rPr>
              <w:t>Prebytok</w:t>
            </w:r>
            <w:r w:rsidRPr="003679CA" w:rsidR="0090374E">
              <w:rPr>
                <w:rFonts w:ascii="Times New Roman" w:hAnsi="Times New Roman"/>
                <w:b/>
                <w:bCs/>
                <w:sz w:val="14"/>
                <w:szCs w:val="14"/>
                <w:lang w:eastAsia="en-US"/>
              </w:rPr>
              <w:t>(+)/schodok(-)</w:t>
            </w:r>
            <w:r w:rsidRPr="004F26D8">
              <w:rPr>
                <w:rFonts w:ascii="Times New Roman" w:hAnsi="Times New Roman"/>
                <w:b/>
                <w:bCs/>
                <w:color w:val="000000"/>
                <w:sz w:val="14"/>
                <w:szCs w:val="14"/>
                <w:lang w:eastAsia="en-US"/>
              </w:rPr>
              <w:t xml:space="preserve"> NJF (ESA 2010)</w:t>
            </w:r>
          </w:p>
        </w:tc>
        <w:tc>
          <w:tcPr>
            <w:tcW w:w="823"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6C0389" w:rsidRPr="004F26D8" w:rsidP="000008FE">
            <w:pPr>
              <w:bidi w:val="0"/>
              <w:jc w:val="right"/>
              <w:rPr>
                <w:rFonts w:ascii="Times New Roman" w:hAnsi="Times New Roman"/>
                <w:b/>
                <w:bCs/>
                <w:iCs/>
                <w:color w:val="000000"/>
                <w:sz w:val="14"/>
                <w:szCs w:val="14"/>
              </w:rPr>
            </w:pPr>
            <w:r w:rsidRPr="004F26D8">
              <w:rPr>
                <w:rFonts w:ascii="Times New Roman" w:hAnsi="Times New Roman"/>
                <w:b/>
                <w:bCs/>
                <w:iCs/>
                <w:color w:val="000000"/>
                <w:sz w:val="14"/>
                <w:szCs w:val="14"/>
              </w:rPr>
              <w:t>145 028</w:t>
            </w:r>
          </w:p>
        </w:tc>
        <w:tc>
          <w:tcPr>
            <w:tcW w:w="82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6C0389" w:rsidRPr="004F26D8" w:rsidP="000008FE">
            <w:pPr>
              <w:bidi w:val="0"/>
              <w:jc w:val="right"/>
              <w:rPr>
                <w:rFonts w:ascii="Times New Roman" w:hAnsi="Times New Roman"/>
                <w:b/>
                <w:bCs/>
                <w:i/>
                <w:iCs/>
                <w:color w:val="000000"/>
                <w:sz w:val="14"/>
                <w:szCs w:val="14"/>
              </w:rPr>
            </w:pPr>
            <w:r w:rsidRPr="004F26D8">
              <w:rPr>
                <w:rFonts w:ascii="Times New Roman" w:hAnsi="Times New Roman"/>
                <w:b/>
                <w:bCs/>
                <w:iCs/>
                <w:color w:val="000000"/>
                <w:sz w:val="14"/>
                <w:szCs w:val="14"/>
              </w:rPr>
              <w:t>110 670</w:t>
            </w:r>
          </w:p>
        </w:tc>
        <w:tc>
          <w:tcPr>
            <w:tcW w:w="823"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tcPr>
          <w:p w:rsidR="006C0389" w:rsidRPr="004F26D8" w:rsidP="000008FE">
            <w:pPr>
              <w:bidi w:val="0"/>
              <w:jc w:val="right"/>
              <w:rPr>
                <w:rFonts w:ascii="Times New Roman" w:hAnsi="Times New Roman"/>
                <w:b/>
                <w:bCs/>
                <w:iCs/>
                <w:color w:val="000000"/>
                <w:sz w:val="14"/>
                <w:szCs w:val="14"/>
              </w:rPr>
            </w:pPr>
            <w:r w:rsidRPr="004F26D8">
              <w:rPr>
                <w:rFonts w:ascii="Times New Roman" w:hAnsi="Times New Roman"/>
                <w:b/>
                <w:bCs/>
                <w:iCs/>
                <w:color w:val="000000"/>
                <w:sz w:val="14"/>
                <w:szCs w:val="14"/>
              </w:rPr>
              <w:t>101 875</w:t>
            </w:r>
          </w:p>
        </w:tc>
        <w:tc>
          <w:tcPr>
            <w:tcW w:w="82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6C0389" w:rsidRPr="004F26D8" w:rsidP="000008FE">
            <w:pPr>
              <w:bidi w:val="0"/>
              <w:jc w:val="right"/>
              <w:rPr>
                <w:rFonts w:ascii="Times New Roman" w:hAnsi="Times New Roman"/>
                <w:b/>
                <w:bCs/>
                <w:color w:val="000000"/>
                <w:sz w:val="14"/>
                <w:szCs w:val="14"/>
              </w:rPr>
            </w:pPr>
            <w:r w:rsidRPr="004F26D8">
              <w:rPr>
                <w:rFonts w:ascii="Times New Roman" w:hAnsi="Times New Roman"/>
                <w:b/>
                <w:bCs/>
                <w:color w:val="000000"/>
                <w:sz w:val="14"/>
                <w:szCs w:val="14"/>
              </w:rPr>
              <w:t>96 847</w:t>
            </w:r>
          </w:p>
        </w:tc>
        <w:tc>
          <w:tcPr>
            <w:tcW w:w="82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6C0389" w:rsidRPr="004F26D8" w:rsidP="000008FE">
            <w:pPr>
              <w:bidi w:val="0"/>
              <w:jc w:val="right"/>
              <w:rPr>
                <w:rFonts w:ascii="Times New Roman" w:hAnsi="Times New Roman"/>
                <w:b/>
                <w:bCs/>
                <w:color w:val="000000"/>
                <w:sz w:val="14"/>
                <w:szCs w:val="14"/>
              </w:rPr>
            </w:pPr>
            <w:r w:rsidRPr="004F26D8">
              <w:rPr>
                <w:rFonts w:ascii="Times New Roman" w:hAnsi="Times New Roman"/>
                <w:b/>
                <w:bCs/>
                <w:color w:val="000000"/>
                <w:sz w:val="14"/>
                <w:szCs w:val="14"/>
              </w:rPr>
              <w:t>117 963</w:t>
            </w:r>
          </w:p>
        </w:tc>
        <w:tc>
          <w:tcPr>
            <w:tcW w:w="84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6C0389" w:rsidRPr="004F26D8" w:rsidP="000008FE">
            <w:pPr>
              <w:bidi w:val="0"/>
              <w:jc w:val="right"/>
              <w:rPr>
                <w:rFonts w:ascii="Times New Roman" w:hAnsi="Times New Roman"/>
                <w:b/>
                <w:bCs/>
                <w:color w:val="000000"/>
                <w:sz w:val="14"/>
                <w:szCs w:val="14"/>
              </w:rPr>
            </w:pPr>
            <w:r w:rsidRPr="004F26D8">
              <w:rPr>
                <w:rFonts w:ascii="Times New Roman" w:hAnsi="Times New Roman"/>
                <w:b/>
                <w:bCs/>
                <w:color w:val="000000"/>
                <w:sz w:val="14"/>
                <w:szCs w:val="14"/>
              </w:rPr>
              <w:t>134 695</w:t>
            </w:r>
          </w:p>
        </w:tc>
        <w:tc>
          <w:tcPr>
            <w:tcW w:w="848"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bottom"/>
          </w:tcPr>
          <w:p w:rsidR="006C0389" w:rsidRPr="004F26D8" w:rsidP="000008FE">
            <w:pPr>
              <w:bidi w:val="0"/>
              <w:jc w:val="right"/>
              <w:rPr>
                <w:rFonts w:ascii="Times New Roman" w:hAnsi="Times New Roman"/>
                <w:b/>
                <w:bCs/>
                <w:color w:val="000000"/>
                <w:sz w:val="14"/>
                <w:szCs w:val="14"/>
              </w:rPr>
            </w:pPr>
            <w:r w:rsidRPr="004F26D8">
              <w:rPr>
                <w:rFonts w:ascii="Times New Roman" w:hAnsi="Times New Roman"/>
                <w:b/>
                <w:bCs/>
                <w:color w:val="000000"/>
                <w:sz w:val="14"/>
                <w:szCs w:val="14"/>
              </w:rPr>
              <w:t>158 987</w:t>
            </w:r>
          </w:p>
        </w:tc>
      </w:tr>
    </w:tbl>
    <w:p w:rsidR="006C0389" w:rsidRPr="006573DA" w:rsidP="006C0389">
      <w:pPr>
        <w:bidi w:val="0"/>
        <w:jc w:val="both"/>
        <w:rPr>
          <w:rFonts w:ascii="Times New Roman" w:hAnsi="Times New Roman"/>
        </w:rPr>
      </w:pPr>
    </w:p>
    <w:p w:rsidR="006C0389" w:rsidRPr="004F26D8" w:rsidP="006C0389">
      <w:pPr>
        <w:bidi w:val="0"/>
        <w:ind w:firstLine="708"/>
        <w:jc w:val="both"/>
        <w:rPr>
          <w:rFonts w:ascii="Times New Roman" w:hAnsi="Times New Roman"/>
        </w:rPr>
      </w:pPr>
      <w:r w:rsidRPr="004F26D8">
        <w:rPr>
          <w:rFonts w:ascii="Times New Roman" w:hAnsi="Times New Roman"/>
        </w:rPr>
        <w:t xml:space="preserve">Príjmy NJF na rok 2016 v sume 1,49 mld. eur sú oproti schválenému rozpočtu na rok 2015 vyššie o 91,8 mil. eur, t. j. o 6,57 %. Dôvodom medziročného zvýšenia príjmov je najmä nárast zostatku prostriedkov </w:t>
      </w:r>
      <w:r w:rsidR="0060040C">
        <w:rPr>
          <w:rFonts w:ascii="Times New Roman" w:hAnsi="Times New Roman"/>
        </w:rPr>
        <w:t xml:space="preserve">z </w:t>
      </w:r>
      <w:r w:rsidRPr="004F26D8">
        <w:rPr>
          <w:rFonts w:ascii="Times New Roman" w:hAnsi="Times New Roman"/>
        </w:rPr>
        <w:t xml:space="preserve">predchádzajúcich rokov o 96,1 mil. eur a výnosov z vkladov </w:t>
        <w:br/>
        <w:t xml:space="preserve">o 2,40 mil. eur. Na druhej strane v návrhu rozpočtu NJF na rok 2016 oproti schválenému rozpočtu na rok 2015 klesajú príjmy z príspevkov od prevádzkovateľov jadrových zariadení o 6,49 mil. eur najmä z dôvodu očakávaného poklesu predajnej ceny elektriny a klesajú tiež príjmy z transferu z Ministerstva hospodárstva SR z odvodov vyberaných prevádzkovateľmi prenosovej </w:t>
      </w:r>
      <w:r w:rsidRPr="004F26D8">
        <w:rPr>
          <w:rFonts w:ascii="Times New Roman" w:hAnsi="Times New Roman"/>
        </w:rPr>
        <w:t xml:space="preserve">a distribučných sústav o 252 </w:t>
      </w:r>
      <w:r w:rsidRPr="004F26D8">
        <w:rPr>
          <w:rFonts w:ascii="Times New Roman" w:hAnsi="Times New Roman"/>
        </w:rPr>
        <w:t>tis. z dôvodu zníženia transferu o hodnotu rozdielu import – export elektriny v zmysle zákona č. 238/2006 Z. z. o NJF a o zmene a doplnení niektorých zákonov v znení neskorších predpisov</w:t>
      </w:r>
      <w:r w:rsidRPr="004F26D8">
        <w:rPr>
          <w:rFonts w:ascii="Times New Roman" w:hAnsi="Times New Roman"/>
        </w:rPr>
        <w:t xml:space="preserve">. </w:t>
      </w:r>
    </w:p>
    <w:p w:rsidR="006C0389" w:rsidRPr="004F26D8" w:rsidP="006C0389">
      <w:pPr>
        <w:bidi w:val="0"/>
        <w:jc w:val="both"/>
        <w:rPr>
          <w:rFonts w:ascii="Times New Roman" w:hAnsi="Times New Roman"/>
          <w:sz w:val="16"/>
          <w:szCs w:val="16"/>
        </w:rPr>
      </w:pPr>
    </w:p>
    <w:p w:rsidR="006C0389" w:rsidRPr="004F26D8" w:rsidP="006C0389">
      <w:pPr>
        <w:bidi w:val="0"/>
        <w:ind w:firstLine="709"/>
        <w:jc w:val="both"/>
        <w:rPr>
          <w:rFonts w:ascii="Times New Roman" w:hAnsi="Times New Roman"/>
        </w:rPr>
      </w:pPr>
      <w:r w:rsidRPr="004F26D8">
        <w:rPr>
          <w:rFonts w:ascii="Times New Roman" w:hAnsi="Times New Roman"/>
        </w:rPr>
        <w:t>Výdavky NJF</w:t>
      </w:r>
      <w:r w:rsidRPr="004F26D8">
        <w:rPr>
          <w:rFonts w:ascii="Times New Roman" w:hAnsi="Times New Roman"/>
        </w:rPr>
        <w:t xml:space="preserve"> na rok 2016 v sume 50,8 mil. eur sú oproti schválenému rozpočtu na rok 2015 nižšie o 20,4 mil. eur, t. j. o 28,7 %. Osobné výdavky a výdavky na tovary a služby na rok 2016 sú rozpočtované v zásade na rovnakej úrovni ako v schválenom rozpočte na rok 2015. Bežné transfery na rok 2016 oproti schválenému rozpočtu na rok 2015 klesajú </w:t>
      </w:r>
      <w:r w:rsidR="00DF7EE9">
        <w:rPr>
          <w:rFonts w:ascii="Times New Roman" w:hAnsi="Times New Roman"/>
        </w:rPr>
        <w:t xml:space="preserve">       </w:t>
      </w:r>
      <w:r w:rsidRPr="004F26D8">
        <w:rPr>
          <w:rFonts w:ascii="Times New Roman" w:hAnsi="Times New Roman"/>
        </w:rPr>
        <w:t>o 18,6 mil. eur a kapitálové výdavky klesajú o 1,85 mil. eur. Bežné a kapitálové transfery budú oprávneným žiadateľom poskytnuté na projekty záverečnej časti jadrovej energetiky v súlade s platnými predpismi a to najmä na vyraďovanie jadrových elektrární A-1 a V-1 vrátane nakladania s rádioaktívnymi odpadmi z tohto vyraďovania, ukladanie upravených rádioaktívnych odpadov z vyraďovania jadrových elektrární v republikovom úložisku rádioaktívnych odpadov, skladovanie vyhoretého jadrového paliva v samostatných jadrových zariadeniach a ZRAM.</w:t>
      </w:r>
    </w:p>
    <w:p w:rsidR="006C0389" w:rsidRPr="004F26D8" w:rsidP="006C0389">
      <w:pPr>
        <w:bidi w:val="0"/>
        <w:ind w:firstLine="708"/>
        <w:jc w:val="both"/>
        <w:rPr>
          <w:rFonts w:ascii="Times New Roman" w:hAnsi="Times New Roman"/>
          <w:sz w:val="16"/>
          <w:szCs w:val="16"/>
        </w:rPr>
      </w:pPr>
    </w:p>
    <w:p w:rsidR="006C0389" w:rsidRPr="004F26D8" w:rsidP="006C0389">
      <w:pPr>
        <w:bidi w:val="0"/>
        <w:ind w:firstLine="708"/>
        <w:jc w:val="both"/>
        <w:rPr>
          <w:rFonts w:ascii="Times New Roman" w:hAnsi="Times New Roman"/>
        </w:rPr>
      </w:pPr>
      <w:r w:rsidRPr="004F26D8">
        <w:rPr>
          <w:rFonts w:ascii="Times New Roman" w:hAnsi="Times New Roman"/>
        </w:rPr>
        <w:t xml:space="preserve">Celkový prebytok rozpočtu NJF na rok 2016 je oproti schválenému rozpočtu na rok 2015 vyšší o 112 mil. eur, t. j. o 8,47 %. Prebytok rozpočtu v metodike ESA 2010 na rok 2016 v sume 118 mil. eur je oproti schválenému rozpočtu na rok 2015 vyšší o 16,1 mil. eur, </w:t>
        <w:br/>
        <w:t>t. j. o 15,8 %.</w:t>
      </w:r>
    </w:p>
    <w:p w:rsidR="006C0389" w:rsidP="006C0389">
      <w:pPr>
        <w:bidi w:val="0"/>
        <w:jc w:val="both"/>
        <w:rPr>
          <w:rFonts w:ascii="Times New Roman" w:hAnsi="Times New Roman"/>
        </w:rPr>
      </w:pPr>
    </w:p>
    <w:p w:rsidR="006C0389" w:rsidRPr="00357F71" w:rsidP="006C0389">
      <w:pPr>
        <w:bidi w:val="0"/>
        <w:rPr>
          <w:rFonts w:ascii="Times New Roman" w:hAnsi="Times New Roman"/>
          <w:b/>
          <w:bCs/>
        </w:rPr>
      </w:pPr>
      <w:r>
        <w:rPr>
          <w:rFonts w:ascii="Times New Roman" w:hAnsi="Times New Roman"/>
          <w:b/>
          <w:bCs/>
        </w:rPr>
        <w:t xml:space="preserve">4.3. </w:t>
      </w:r>
      <w:r w:rsidRPr="00357F71">
        <w:rPr>
          <w:rFonts w:ascii="Times New Roman" w:hAnsi="Times New Roman"/>
          <w:b/>
          <w:bCs/>
        </w:rPr>
        <w:t>Environmentálny fond</w:t>
      </w:r>
    </w:p>
    <w:p w:rsidR="006C0389" w:rsidRPr="000440AD" w:rsidP="006C0389">
      <w:pPr>
        <w:bidi w:val="0"/>
        <w:rPr>
          <w:rFonts w:ascii="Times New Roman" w:hAnsi="Times New Roman"/>
          <w:b/>
          <w:bCs/>
          <w:sz w:val="16"/>
          <w:szCs w:val="16"/>
        </w:rPr>
      </w:pPr>
    </w:p>
    <w:p w:rsidR="006C0389" w:rsidP="006C0389">
      <w:pPr>
        <w:pStyle w:val="BodyTextIndent2"/>
        <w:tabs>
          <w:tab w:val="left" w:pos="0"/>
        </w:tabs>
        <w:bidi w:val="0"/>
        <w:spacing w:after="0" w:line="240" w:lineRule="auto"/>
        <w:ind w:left="0" w:firstLine="709"/>
        <w:jc w:val="both"/>
        <w:rPr>
          <w:rFonts w:ascii="Times New Roman" w:hAnsi="Times New Roman"/>
        </w:rPr>
      </w:pPr>
      <w:r w:rsidRPr="00357F71">
        <w:rPr>
          <w:rFonts w:ascii="Times New Roman" w:hAnsi="Times New Roman"/>
        </w:rPr>
        <w:t xml:space="preserve">Prostriedky Environmentálneho fondu (ďalej </w:t>
      </w:r>
      <w:r w:rsidRPr="006227D3">
        <w:rPr>
          <w:rFonts w:ascii="Times New Roman" w:hAnsi="Times New Roman"/>
        </w:rPr>
        <w:t>len „EF“) budú v roku 201</w:t>
      </w:r>
      <w:r>
        <w:rPr>
          <w:rFonts w:ascii="Times New Roman" w:hAnsi="Times New Roman"/>
        </w:rPr>
        <w:t>6</w:t>
      </w:r>
      <w:r w:rsidRPr="00357F71">
        <w:rPr>
          <w:rFonts w:ascii="Times New Roman" w:hAnsi="Times New Roman"/>
        </w:rPr>
        <w:t xml:space="preserve"> slúžiť na </w:t>
      </w:r>
      <w:r>
        <w:rPr>
          <w:rFonts w:ascii="Times New Roman" w:hAnsi="Times New Roman"/>
        </w:rPr>
        <w:t xml:space="preserve">podporu </w:t>
      </w:r>
      <w:r w:rsidRPr="00357F71">
        <w:rPr>
          <w:rFonts w:ascii="Times New Roman" w:hAnsi="Times New Roman"/>
        </w:rPr>
        <w:t>zníženi</w:t>
      </w:r>
      <w:r>
        <w:rPr>
          <w:rFonts w:ascii="Times New Roman" w:hAnsi="Times New Roman"/>
        </w:rPr>
        <w:t>a</w:t>
      </w:r>
      <w:r w:rsidRPr="00357F71">
        <w:rPr>
          <w:rFonts w:ascii="Times New Roman" w:hAnsi="Times New Roman"/>
        </w:rPr>
        <w:t xml:space="preserve"> znečisten</w:t>
      </w:r>
      <w:r>
        <w:rPr>
          <w:rFonts w:ascii="Times New Roman" w:hAnsi="Times New Roman"/>
        </w:rPr>
        <w:t>ia odpadových vôd, zásobovanie</w:t>
      </w:r>
      <w:r w:rsidRPr="00357F71">
        <w:rPr>
          <w:rFonts w:ascii="Times New Roman" w:hAnsi="Times New Roman"/>
        </w:rPr>
        <w:t xml:space="preserve"> obyvateľstva pitnou vodou z obecných vodovodov, zlepšenie kvality ovzdušia, rozvoj odpadového hospodárstva, ochranu prírody ako aj odstraňovanie následkov hav</w:t>
      </w:r>
      <w:r>
        <w:rPr>
          <w:rFonts w:ascii="Times New Roman" w:hAnsi="Times New Roman"/>
        </w:rPr>
        <w:t>árií. EF bude v uvedenom období</w:t>
      </w:r>
      <w:r w:rsidRPr="00357F71">
        <w:rPr>
          <w:rFonts w:ascii="Times New Roman" w:hAnsi="Times New Roman"/>
        </w:rPr>
        <w:t> poskytovať aj návratnú podporu prostredníctvom  úverov u</w:t>
      </w:r>
      <w:r>
        <w:rPr>
          <w:rFonts w:ascii="Times New Roman" w:hAnsi="Times New Roman"/>
        </w:rPr>
        <w:t>rčených na ekologické projekty.</w:t>
      </w:r>
    </w:p>
    <w:p w:rsidR="006C0389" w:rsidRPr="00DF7EE9" w:rsidP="006C0389">
      <w:pPr>
        <w:pStyle w:val="BodyTextIndent2"/>
        <w:tabs>
          <w:tab w:val="left" w:pos="0"/>
        </w:tabs>
        <w:bidi w:val="0"/>
        <w:spacing w:after="0" w:line="240" w:lineRule="auto"/>
        <w:ind w:left="0" w:firstLine="709"/>
        <w:jc w:val="both"/>
        <w:rPr>
          <w:rFonts w:ascii="Times New Roman" w:hAnsi="Times New Roman"/>
          <w:sz w:val="16"/>
          <w:szCs w:val="16"/>
        </w:rPr>
      </w:pPr>
    </w:p>
    <w:p w:rsidR="006C0389" w:rsidP="006C0389">
      <w:pPr>
        <w:bidi w:val="0"/>
        <w:ind w:firstLine="709"/>
        <w:jc w:val="both"/>
        <w:rPr>
          <w:rFonts w:ascii="Times New Roman" w:hAnsi="Times New Roman"/>
        </w:rPr>
      </w:pPr>
      <w:r w:rsidRPr="00357F71">
        <w:rPr>
          <w:rFonts w:ascii="Times New Roman" w:hAnsi="Times New Roman"/>
        </w:rPr>
        <w:t>Vývoj príjmovej a výdavkove</w:t>
      </w:r>
      <w:r>
        <w:rPr>
          <w:rFonts w:ascii="Times New Roman" w:hAnsi="Times New Roman"/>
        </w:rPr>
        <w:t>j časti rozpočtu EF na roky 2016 až 2018</w:t>
      </w:r>
      <w:r w:rsidRPr="00357F71">
        <w:rPr>
          <w:rFonts w:ascii="Times New Roman" w:hAnsi="Times New Roman"/>
        </w:rPr>
        <w:t xml:space="preserve"> je nasledovný:</w:t>
      </w: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B103BF" w:rsidP="006C0389">
      <w:pPr>
        <w:bidi w:val="0"/>
        <w:ind w:firstLine="709"/>
        <w:jc w:val="both"/>
        <w:rPr>
          <w:rFonts w:ascii="Times New Roman" w:hAnsi="Times New Roman"/>
        </w:rPr>
      </w:pPr>
    </w:p>
    <w:p w:rsidR="006C0389" w:rsidRPr="00DF7EE9" w:rsidP="006C0389">
      <w:pPr>
        <w:bidi w:val="0"/>
        <w:jc w:val="both"/>
        <w:rPr>
          <w:rFonts w:ascii="Times New Roman" w:hAnsi="Times New Roman"/>
          <w:sz w:val="16"/>
          <w:szCs w:val="16"/>
        </w:rPr>
      </w:pPr>
    </w:p>
    <w:tbl>
      <w:tblPr>
        <w:tblStyle w:val="TableNormal"/>
        <w:tblpPr w:leftFromText="141" w:rightFromText="141" w:vertAnchor="text" w:horzAnchor="margin" w:tblpXSpec="center"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42"/>
        <w:gridCol w:w="723"/>
        <w:gridCol w:w="714"/>
        <w:gridCol w:w="714"/>
        <w:gridCol w:w="714"/>
        <w:gridCol w:w="714"/>
        <w:gridCol w:w="714"/>
        <w:gridCol w:w="717"/>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shd w:val="clear" w:color="000000" w:fill="A6A6A6"/>
            <w:textDirection w:val="lrTb"/>
            <w:vAlign w:val="bottom"/>
            <w:hideMark/>
          </w:tcPr>
          <w:p w:rsidR="006C0389" w:rsidRPr="00A07FB7" w:rsidP="000008FE">
            <w:pPr>
              <w:bidi w:val="0"/>
              <w:ind w:left="-142" w:firstLine="142"/>
              <w:rPr>
                <w:rFonts w:ascii="Times New Roman" w:hAnsi="Times New Roman"/>
                <w:b/>
                <w:bCs/>
                <w:color w:val="000000"/>
                <w:sz w:val="16"/>
                <w:szCs w:val="16"/>
              </w:rPr>
            </w:pPr>
            <w:r w:rsidRPr="00A07FB7">
              <w:rPr>
                <w:rFonts w:ascii="Times New Roman" w:hAnsi="Times New Roman"/>
                <w:b/>
                <w:bCs/>
                <w:color w:val="000000"/>
                <w:sz w:val="16"/>
                <w:szCs w:val="16"/>
              </w:rPr>
              <w:t>v tis. eur</w:t>
            </w:r>
          </w:p>
        </w:tc>
        <w:tc>
          <w:tcPr>
            <w:tcW w:w="723"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6C0389" w:rsidRPr="00A07FB7" w:rsidP="000008FE">
            <w:pPr>
              <w:bidi w:val="0"/>
              <w:jc w:val="center"/>
              <w:rPr>
                <w:rFonts w:ascii="Times New Roman" w:hAnsi="Times New Roman"/>
                <w:b/>
                <w:bCs/>
                <w:color w:val="000000"/>
                <w:sz w:val="16"/>
                <w:szCs w:val="16"/>
              </w:rPr>
            </w:pPr>
            <w:r w:rsidRPr="00A07FB7">
              <w:rPr>
                <w:rFonts w:ascii="Times New Roman" w:hAnsi="Times New Roman"/>
                <w:b/>
                <w:bCs/>
                <w:color w:val="000000"/>
                <w:sz w:val="16"/>
                <w:szCs w:val="16"/>
              </w:rPr>
              <w:t>2013 S</w:t>
            </w:r>
          </w:p>
        </w:tc>
        <w:tc>
          <w:tcPr>
            <w:tcW w:w="0" w:type="auto"/>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6C0389" w:rsidRPr="00A07FB7" w:rsidP="000008FE">
            <w:pPr>
              <w:bidi w:val="0"/>
              <w:jc w:val="center"/>
              <w:rPr>
                <w:rFonts w:ascii="Times New Roman" w:hAnsi="Times New Roman"/>
                <w:b/>
                <w:bCs/>
                <w:color w:val="000000"/>
                <w:sz w:val="16"/>
                <w:szCs w:val="16"/>
              </w:rPr>
            </w:pPr>
            <w:r w:rsidRPr="00A07FB7">
              <w:rPr>
                <w:rFonts w:ascii="Times New Roman" w:hAnsi="Times New Roman"/>
                <w:b/>
                <w:bCs/>
                <w:color w:val="000000"/>
                <w:sz w:val="16"/>
                <w:szCs w:val="16"/>
              </w:rPr>
              <w:t>2014 S</w:t>
            </w:r>
          </w:p>
        </w:tc>
        <w:tc>
          <w:tcPr>
            <w:tcW w:w="0" w:type="auto"/>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6C0389" w:rsidRPr="00A07FB7" w:rsidP="000008FE">
            <w:pPr>
              <w:bidi w:val="0"/>
              <w:jc w:val="center"/>
              <w:rPr>
                <w:rFonts w:ascii="Times New Roman" w:hAnsi="Times New Roman"/>
                <w:b/>
                <w:bCs/>
                <w:color w:val="000000"/>
                <w:sz w:val="16"/>
                <w:szCs w:val="16"/>
              </w:rPr>
            </w:pPr>
            <w:r w:rsidRPr="00A07FB7">
              <w:rPr>
                <w:rFonts w:ascii="Times New Roman" w:hAnsi="Times New Roman"/>
                <w:b/>
                <w:bCs/>
                <w:color w:val="000000"/>
                <w:sz w:val="16"/>
                <w:szCs w:val="16"/>
              </w:rPr>
              <w:t>2015 R</w:t>
            </w:r>
          </w:p>
        </w:tc>
        <w:tc>
          <w:tcPr>
            <w:tcW w:w="0" w:type="auto"/>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6C0389" w:rsidRPr="00A07FB7" w:rsidP="000008FE">
            <w:pPr>
              <w:bidi w:val="0"/>
              <w:jc w:val="center"/>
              <w:rPr>
                <w:rFonts w:ascii="Times New Roman" w:hAnsi="Times New Roman"/>
                <w:b/>
                <w:bCs/>
                <w:color w:val="000000"/>
                <w:sz w:val="16"/>
                <w:szCs w:val="16"/>
              </w:rPr>
            </w:pPr>
            <w:r w:rsidRPr="00A07FB7">
              <w:rPr>
                <w:rFonts w:ascii="Times New Roman" w:hAnsi="Times New Roman"/>
                <w:b/>
                <w:bCs/>
                <w:color w:val="000000"/>
                <w:sz w:val="16"/>
                <w:szCs w:val="16"/>
              </w:rPr>
              <w:t xml:space="preserve">2015 OS </w:t>
            </w:r>
          </w:p>
        </w:tc>
        <w:tc>
          <w:tcPr>
            <w:tcW w:w="0" w:type="auto"/>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6C0389" w:rsidRPr="00A07FB7" w:rsidP="000008FE">
            <w:pPr>
              <w:bidi w:val="0"/>
              <w:jc w:val="center"/>
              <w:rPr>
                <w:rFonts w:ascii="Times New Roman" w:hAnsi="Times New Roman"/>
                <w:b/>
                <w:bCs/>
                <w:color w:val="000000"/>
                <w:sz w:val="16"/>
                <w:szCs w:val="16"/>
              </w:rPr>
            </w:pPr>
            <w:r w:rsidRPr="00A07FB7">
              <w:rPr>
                <w:rFonts w:ascii="Times New Roman" w:hAnsi="Times New Roman"/>
                <w:b/>
                <w:bCs/>
                <w:color w:val="000000"/>
                <w:sz w:val="16"/>
                <w:szCs w:val="16"/>
              </w:rPr>
              <w:t>2016 N</w:t>
            </w:r>
          </w:p>
        </w:tc>
        <w:tc>
          <w:tcPr>
            <w:tcW w:w="0" w:type="auto"/>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6C0389" w:rsidRPr="00A07FB7" w:rsidP="000008FE">
            <w:pPr>
              <w:bidi w:val="0"/>
              <w:jc w:val="center"/>
              <w:rPr>
                <w:rFonts w:ascii="Times New Roman" w:hAnsi="Times New Roman"/>
                <w:b/>
                <w:bCs/>
                <w:color w:val="000000"/>
                <w:sz w:val="16"/>
                <w:szCs w:val="16"/>
              </w:rPr>
            </w:pPr>
            <w:r w:rsidRPr="00A07FB7">
              <w:rPr>
                <w:rFonts w:ascii="Times New Roman" w:hAnsi="Times New Roman"/>
                <w:b/>
                <w:bCs/>
                <w:color w:val="000000"/>
                <w:sz w:val="16"/>
                <w:szCs w:val="16"/>
              </w:rPr>
              <w:t>2017 N</w:t>
            </w:r>
          </w:p>
        </w:tc>
        <w:tc>
          <w:tcPr>
            <w:tcW w:w="717"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bottom"/>
            <w:hideMark/>
          </w:tcPr>
          <w:p w:rsidR="006C0389" w:rsidRPr="00A07FB7" w:rsidP="000008FE">
            <w:pPr>
              <w:bidi w:val="0"/>
              <w:jc w:val="center"/>
              <w:rPr>
                <w:rFonts w:ascii="Times New Roman" w:hAnsi="Times New Roman"/>
                <w:b/>
                <w:bCs/>
                <w:color w:val="000000"/>
                <w:sz w:val="16"/>
                <w:szCs w:val="16"/>
              </w:rPr>
            </w:pPr>
            <w:r w:rsidRPr="00A07FB7">
              <w:rPr>
                <w:rFonts w:ascii="Times New Roman" w:hAnsi="Times New Roman"/>
                <w:b/>
                <w:bCs/>
                <w:color w:val="000000"/>
                <w:sz w:val="16"/>
                <w:szCs w:val="16"/>
              </w:rPr>
              <w:t>2018 N</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rPr>
                <w:rFonts w:ascii="Times New Roman" w:hAnsi="Times New Roman"/>
                <w:b/>
                <w:bCs/>
                <w:color w:val="000000"/>
                <w:sz w:val="16"/>
                <w:szCs w:val="16"/>
              </w:rPr>
            </w:pPr>
            <w:r w:rsidRPr="00A07FB7">
              <w:rPr>
                <w:rFonts w:ascii="Times New Roman" w:hAnsi="Times New Roman"/>
                <w:b/>
                <w:bCs/>
                <w:color w:val="000000"/>
                <w:sz w:val="16"/>
                <w:szCs w:val="16"/>
              </w:rPr>
              <w:t>Príjmy EF spolu</w:t>
            </w:r>
          </w:p>
        </w:tc>
        <w:tc>
          <w:tcPr>
            <w:tcW w:w="723"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color w:val="000000"/>
                <w:sz w:val="16"/>
                <w:szCs w:val="16"/>
              </w:rPr>
            </w:pPr>
            <w:r w:rsidRPr="00A07FB7">
              <w:rPr>
                <w:rFonts w:ascii="Times New Roman" w:hAnsi="Times New Roman"/>
                <w:b/>
                <w:bCs/>
                <w:color w:val="000000"/>
                <w:sz w:val="16"/>
                <w:szCs w:val="16"/>
              </w:rPr>
              <w:t>147 120</w:t>
            </w:r>
          </w:p>
        </w:tc>
        <w:tc>
          <w:tcPr>
            <w:tcW w:w="0" w:type="auto"/>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176 048</w:t>
            </w:r>
          </w:p>
        </w:tc>
        <w:tc>
          <w:tcPr>
            <w:tcW w:w="0" w:type="auto"/>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291 979</w:t>
            </w:r>
          </w:p>
        </w:tc>
        <w:tc>
          <w:tcPr>
            <w:tcW w:w="0" w:type="auto"/>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309 581</w:t>
            </w:r>
          </w:p>
        </w:tc>
        <w:tc>
          <w:tcPr>
            <w:tcW w:w="0" w:type="auto"/>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413 952</w:t>
            </w:r>
          </w:p>
        </w:tc>
        <w:tc>
          <w:tcPr>
            <w:tcW w:w="0" w:type="auto"/>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545 321</w:t>
            </w:r>
          </w:p>
        </w:tc>
        <w:tc>
          <w:tcPr>
            <w:tcW w:w="71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676 745</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rPr>
                <w:rFonts w:ascii="Times New Roman" w:hAnsi="Times New Roman"/>
                <w:b/>
                <w:bCs/>
                <w:iCs/>
                <w:color w:val="000000"/>
                <w:sz w:val="16"/>
                <w:szCs w:val="16"/>
              </w:rPr>
            </w:pPr>
            <w:r w:rsidRPr="00A07FB7">
              <w:rPr>
                <w:rFonts w:ascii="Times New Roman" w:hAnsi="Times New Roman"/>
                <w:b/>
                <w:bCs/>
                <w:iCs/>
                <w:color w:val="000000"/>
                <w:sz w:val="16"/>
                <w:szCs w:val="16"/>
              </w:rPr>
              <w:t>z toho:</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
                <w:bCs/>
                <w:i/>
                <w:iCs/>
                <w:sz w:val="16"/>
                <w:szCs w:val="16"/>
              </w:rPr>
            </w:pP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
                <w:bCs/>
                <w:i/>
                <w:iCs/>
                <w:sz w:val="16"/>
                <w:szCs w:val="16"/>
              </w:rPr>
            </w:pP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
                <w:bCs/>
                <w:i/>
                <w:iCs/>
                <w:sz w:val="16"/>
                <w:szCs w:val="16"/>
              </w:rPr>
            </w:pP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rPr>
                <w:rFonts w:ascii="Times New Roman" w:hAnsi="Times New Roman"/>
                <w:color w:val="000000"/>
                <w:sz w:val="16"/>
                <w:szCs w:val="16"/>
              </w:rPr>
            </w:pPr>
            <w:r w:rsidRPr="00A07FB7">
              <w:rPr>
                <w:rFonts w:ascii="Times New Roman" w:hAnsi="Times New Roman"/>
                <w:color w:val="000000"/>
                <w:sz w:val="16"/>
                <w:szCs w:val="16"/>
              </w:rPr>
              <w:t xml:space="preserve">    ▪   daňové príjmy</w:t>
            </w:r>
          </w:p>
        </w:tc>
        <w:tc>
          <w:tcPr>
            <w:tcW w:w="723"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836</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842</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885</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867</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903</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952</w:t>
            </w:r>
          </w:p>
        </w:tc>
        <w:tc>
          <w:tcPr>
            <w:tcW w:w="717"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1 007</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rPr>
                <w:rFonts w:ascii="Times New Roman" w:hAnsi="Times New Roman"/>
                <w:color w:val="000000"/>
                <w:sz w:val="16"/>
                <w:szCs w:val="16"/>
              </w:rPr>
            </w:pPr>
            <w:r w:rsidRPr="00A07FB7">
              <w:rPr>
                <w:rFonts w:ascii="Times New Roman" w:hAnsi="Times New Roman"/>
                <w:color w:val="000000"/>
                <w:sz w:val="16"/>
                <w:szCs w:val="16"/>
              </w:rPr>
              <w:t xml:space="preserve">    ▪   nedaňové príjmy, z toho:</w:t>
            </w:r>
          </w:p>
        </w:tc>
        <w:tc>
          <w:tcPr>
            <w:tcW w:w="723"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45 053</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49 611</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155 355</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155 489</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155 365</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155 365</w:t>
            </w:r>
          </w:p>
        </w:tc>
        <w:tc>
          <w:tcPr>
            <w:tcW w:w="717"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155 365</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ind w:firstLine="160" w:firstLineChars="100"/>
              <w:rPr>
                <w:rFonts w:ascii="Times New Roman" w:hAnsi="Times New Roman"/>
                <w:color w:val="000000"/>
                <w:sz w:val="16"/>
                <w:szCs w:val="16"/>
              </w:rPr>
            </w:pPr>
            <w:r w:rsidRPr="00A07FB7">
              <w:rPr>
                <w:rFonts w:ascii="Times New Roman" w:hAnsi="Times New Roman"/>
                <w:color w:val="000000"/>
                <w:sz w:val="16"/>
                <w:szCs w:val="16"/>
              </w:rPr>
              <w:t xml:space="preserve">        z úhrad za vydobyté nerasty</w:t>
            </w:r>
          </w:p>
        </w:tc>
        <w:tc>
          <w:tcPr>
            <w:tcW w:w="723"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2 246</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2 250</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2 460</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2 460</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2 460</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2 460</w:t>
            </w:r>
          </w:p>
        </w:tc>
        <w:tc>
          <w:tcPr>
            <w:tcW w:w="717"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2 460</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ind w:firstLine="160" w:firstLineChars="100"/>
              <w:rPr>
                <w:rFonts w:ascii="Times New Roman" w:hAnsi="Times New Roman"/>
                <w:color w:val="000000"/>
                <w:sz w:val="16"/>
                <w:szCs w:val="16"/>
              </w:rPr>
            </w:pPr>
            <w:r w:rsidRPr="00A07FB7">
              <w:rPr>
                <w:rFonts w:ascii="Times New Roman" w:hAnsi="Times New Roman"/>
                <w:color w:val="000000"/>
                <w:sz w:val="16"/>
                <w:szCs w:val="16"/>
              </w:rPr>
              <w:t xml:space="preserve">        administ. poplatky a iné poplatky a platby</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30 112</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iCs/>
                <w:sz w:val="16"/>
                <w:szCs w:val="16"/>
              </w:rPr>
            </w:pPr>
            <w:r w:rsidRPr="00A07FB7">
              <w:rPr>
                <w:rFonts w:ascii="Times New Roman" w:hAnsi="Times New Roman"/>
                <w:iCs/>
                <w:sz w:val="16"/>
                <w:szCs w:val="16"/>
              </w:rPr>
              <w:t>29 705</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iCs/>
                <w:sz w:val="16"/>
                <w:szCs w:val="16"/>
              </w:rPr>
            </w:pPr>
            <w:r w:rsidRPr="00A07FB7">
              <w:rPr>
                <w:rFonts w:ascii="Times New Roman" w:hAnsi="Times New Roman"/>
                <w:iCs/>
                <w:sz w:val="16"/>
                <w:szCs w:val="16"/>
              </w:rPr>
              <w:t>35 356</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iCs/>
                <w:sz w:val="16"/>
                <w:szCs w:val="16"/>
              </w:rPr>
            </w:pPr>
            <w:r w:rsidRPr="00A07FB7">
              <w:rPr>
                <w:rFonts w:ascii="Times New Roman" w:hAnsi="Times New Roman"/>
                <w:iCs/>
                <w:sz w:val="16"/>
                <w:szCs w:val="16"/>
              </w:rPr>
              <w:t>35 489</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iCs/>
                <w:sz w:val="16"/>
                <w:szCs w:val="16"/>
              </w:rPr>
            </w:pPr>
            <w:r w:rsidRPr="00A07FB7">
              <w:rPr>
                <w:rFonts w:ascii="Times New Roman" w:hAnsi="Times New Roman"/>
                <w:iCs/>
                <w:sz w:val="16"/>
                <w:szCs w:val="16"/>
              </w:rPr>
              <w:t>35 366</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iCs/>
                <w:sz w:val="16"/>
                <w:szCs w:val="16"/>
              </w:rPr>
            </w:pPr>
            <w:r w:rsidRPr="00A07FB7">
              <w:rPr>
                <w:rFonts w:ascii="Times New Roman" w:hAnsi="Times New Roman"/>
                <w:iCs/>
                <w:sz w:val="16"/>
                <w:szCs w:val="16"/>
              </w:rPr>
              <w:t>35 366</w:t>
            </w: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iCs/>
                <w:sz w:val="16"/>
                <w:szCs w:val="16"/>
              </w:rPr>
            </w:pPr>
            <w:r w:rsidRPr="00A07FB7">
              <w:rPr>
                <w:rFonts w:ascii="Times New Roman" w:hAnsi="Times New Roman"/>
                <w:iCs/>
                <w:sz w:val="16"/>
                <w:szCs w:val="16"/>
              </w:rPr>
              <w:t>35 366</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ind w:firstLine="160" w:firstLineChars="100"/>
              <w:rPr>
                <w:rFonts w:ascii="Times New Roman" w:hAnsi="Times New Roman"/>
                <w:color w:val="000000"/>
                <w:sz w:val="16"/>
                <w:szCs w:val="16"/>
              </w:rPr>
            </w:pPr>
            <w:r w:rsidRPr="00A07FB7">
              <w:rPr>
                <w:rFonts w:ascii="Times New Roman" w:hAnsi="Times New Roman"/>
                <w:color w:val="000000"/>
                <w:sz w:val="16"/>
                <w:szCs w:val="16"/>
              </w:rPr>
              <w:t xml:space="preserve">        príjem z predaja kapitál. aktív (z emis.kvót), v tom:</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12 328</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17 326</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116 659</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116 659</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116 659</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116 659</w:t>
            </w: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116 659</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ind w:firstLine="160" w:firstLineChars="100"/>
              <w:rPr>
                <w:rFonts w:ascii="Times New Roman" w:hAnsi="Times New Roman"/>
                <w:color w:val="000000"/>
                <w:sz w:val="16"/>
                <w:szCs w:val="16"/>
              </w:rPr>
            </w:pPr>
            <w:r w:rsidRPr="00A07FB7">
              <w:rPr>
                <w:rFonts w:ascii="Times New Roman" w:hAnsi="Times New Roman"/>
                <w:color w:val="000000"/>
                <w:sz w:val="16"/>
                <w:szCs w:val="16"/>
              </w:rPr>
              <w:t>-  príjmy z predaja emisných kvót EAU (nové obdobie)</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12 328</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11 516</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116 659</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116 659</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116 659</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116 659</w:t>
            </w: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116 659</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ind w:firstLine="160" w:firstLineChars="100"/>
              <w:rPr>
                <w:rFonts w:ascii="Times New Roman" w:hAnsi="Times New Roman"/>
                <w:color w:val="000000"/>
                <w:sz w:val="16"/>
                <w:szCs w:val="16"/>
              </w:rPr>
            </w:pPr>
            <w:r w:rsidRPr="00A07FB7">
              <w:rPr>
                <w:rFonts w:ascii="Times New Roman" w:hAnsi="Times New Roman"/>
                <w:color w:val="000000"/>
                <w:sz w:val="16"/>
                <w:szCs w:val="16"/>
              </w:rPr>
              <w:t>-  príjmy z predaja emisných kvót AAU (staré obdobie)</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5 810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0</w:t>
            </w: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0</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ind w:firstLine="160" w:firstLineChars="100"/>
              <w:rPr>
                <w:rFonts w:ascii="Times New Roman" w:hAnsi="Times New Roman"/>
                <w:color w:val="000000"/>
                <w:sz w:val="16"/>
                <w:szCs w:val="16"/>
              </w:rPr>
            </w:pPr>
            <w:r w:rsidRPr="00A07FB7">
              <w:rPr>
                <w:rFonts w:ascii="Times New Roman" w:hAnsi="Times New Roman"/>
                <w:color w:val="000000"/>
                <w:sz w:val="16"/>
                <w:szCs w:val="16"/>
              </w:rPr>
              <w:t xml:space="preserve">        úroky z tuzem. úverov, pôžičiek, vkladov a ážio</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263</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288</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770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770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770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770</w:t>
            </w: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770</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ind w:firstLine="160" w:firstLineChars="100"/>
              <w:rPr>
                <w:rFonts w:ascii="Times New Roman" w:hAnsi="Times New Roman"/>
                <w:color w:val="000000"/>
                <w:sz w:val="16"/>
                <w:szCs w:val="16"/>
              </w:rPr>
            </w:pPr>
            <w:r w:rsidRPr="00A07FB7">
              <w:rPr>
                <w:rFonts w:ascii="Times New Roman" w:hAnsi="Times New Roman"/>
                <w:color w:val="000000"/>
                <w:sz w:val="16"/>
                <w:szCs w:val="16"/>
              </w:rPr>
              <w:t xml:space="preserve">        iné nedaňové príjmy</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103</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42</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110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110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110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110</w:t>
            </w: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110</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3656D5">
            <w:pPr>
              <w:bidi w:val="0"/>
              <w:rPr>
                <w:rFonts w:ascii="Times New Roman" w:hAnsi="Times New Roman"/>
                <w:color w:val="000000"/>
                <w:sz w:val="16"/>
                <w:szCs w:val="16"/>
              </w:rPr>
            </w:pPr>
            <w:r w:rsidRPr="00A07FB7">
              <w:rPr>
                <w:rFonts w:ascii="Times New Roman" w:hAnsi="Times New Roman"/>
                <w:color w:val="000000"/>
                <w:sz w:val="16"/>
                <w:szCs w:val="16"/>
              </w:rPr>
              <w:t xml:space="preserve">    ▪   transfery </w:t>
            </w:r>
            <w:r w:rsidR="003656D5">
              <w:rPr>
                <w:rFonts w:ascii="Times New Roman" w:hAnsi="Times New Roman"/>
                <w:color w:val="000000"/>
                <w:sz w:val="16"/>
                <w:szCs w:val="16"/>
              </w:rPr>
              <w:t>v rámci verejnej správy</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1 900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10 000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0</w:t>
            </w: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0</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rPr>
                <w:rFonts w:ascii="Times New Roman" w:hAnsi="Times New Roman"/>
                <w:color w:val="000000"/>
                <w:sz w:val="16"/>
                <w:szCs w:val="16"/>
              </w:rPr>
            </w:pPr>
            <w:r w:rsidRPr="00A07FB7">
              <w:rPr>
                <w:rFonts w:ascii="Times New Roman" w:hAnsi="Times New Roman"/>
                <w:color w:val="000000"/>
                <w:sz w:val="16"/>
                <w:szCs w:val="16"/>
              </w:rPr>
              <w:t xml:space="preserve">    ▪   príjmy z transakcií s fin. akt. a pas., z toho: (FO)</w:t>
            </w:r>
          </w:p>
        </w:tc>
        <w:tc>
          <w:tcPr>
            <w:tcW w:w="723"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99 331</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125 595</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135 739</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143 225</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257 683</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389 004</w:t>
            </w:r>
          </w:p>
        </w:tc>
        <w:tc>
          <w:tcPr>
            <w:tcW w:w="717"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520 373</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ind w:firstLine="160" w:firstLineChars="100"/>
              <w:rPr>
                <w:rFonts w:ascii="Times New Roman" w:hAnsi="Times New Roman"/>
                <w:color w:val="000000"/>
                <w:sz w:val="16"/>
                <w:szCs w:val="16"/>
              </w:rPr>
            </w:pPr>
            <w:r w:rsidRPr="00A07FB7">
              <w:rPr>
                <w:rFonts w:ascii="Times New Roman" w:hAnsi="Times New Roman"/>
                <w:color w:val="000000"/>
                <w:sz w:val="16"/>
                <w:szCs w:val="16"/>
              </w:rPr>
              <w:t xml:space="preserve">        zo splátok tuzem. úverov, pôž. a NFV (FO)</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6 599</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2 482</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2 080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2 080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2 080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2 080</w:t>
            </w: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2 080</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ind w:firstLine="160" w:firstLineChars="100"/>
              <w:rPr>
                <w:rFonts w:ascii="Times New Roman" w:hAnsi="Times New Roman"/>
                <w:color w:val="000000"/>
                <w:sz w:val="16"/>
                <w:szCs w:val="16"/>
              </w:rPr>
            </w:pPr>
            <w:r w:rsidRPr="00A07FB7">
              <w:rPr>
                <w:rFonts w:ascii="Times New Roman" w:hAnsi="Times New Roman"/>
                <w:color w:val="000000"/>
                <w:sz w:val="16"/>
                <w:szCs w:val="16"/>
              </w:rPr>
              <w:t xml:space="preserve">        zost. prostr. z predch. roka (FO)</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92 732</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123 113</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133 659</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141 145</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255 603</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386 924</w:t>
            </w: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518 293</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6C0389" w:rsidRPr="00A07FB7" w:rsidP="000008FE">
            <w:pPr>
              <w:bidi w:val="0"/>
              <w:rPr>
                <w:rFonts w:ascii="Times New Roman" w:hAnsi="Times New Roman"/>
                <w:b/>
                <w:bCs/>
                <w:color w:val="000000"/>
                <w:sz w:val="16"/>
                <w:szCs w:val="16"/>
              </w:rPr>
            </w:pPr>
            <w:r w:rsidRPr="00A07FB7">
              <w:rPr>
                <w:rFonts w:ascii="Times New Roman" w:hAnsi="Times New Roman"/>
                <w:b/>
                <w:bCs/>
                <w:color w:val="000000"/>
                <w:sz w:val="16"/>
                <w:szCs w:val="16"/>
              </w:rPr>
              <w:t>Výdavky EF spolu</w:t>
            </w:r>
          </w:p>
        </w:tc>
        <w:tc>
          <w:tcPr>
            <w:tcW w:w="723"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6C0389" w:rsidRPr="00A07FB7" w:rsidP="000008FE">
            <w:pPr>
              <w:bidi w:val="0"/>
              <w:jc w:val="right"/>
              <w:rPr>
                <w:rFonts w:ascii="Times New Roman" w:hAnsi="Times New Roman"/>
                <w:b/>
                <w:bCs/>
                <w:color w:val="000000"/>
                <w:sz w:val="16"/>
                <w:szCs w:val="16"/>
              </w:rPr>
            </w:pPr>
            <w:r w:rsidRPr="00A07FB7">
              <w:rPr>
                <w:rFonts w:ascii="Times New Roman" w:hAnsi="Times New Roman"/>
                <w:b/>
                <w:bCs/>
                <w:color w:val="000000"/>
                <w:sz w:val="16"/>
                <w:szCs w:val="16"/>
              </w:rPr>
              <w:t>24 007</w:t>
            </w:r>
          </w:p>
        </w:tc>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34 902</w:t>
            </w:r>
          </w:p>
        </w:tc>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26 860</w:t>
            </w:r>
          </w:p>
        </w:tc>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53 978</w:t>
            </w:r>
          </w:p>
        </w:tc>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27 028</w:t>
            </w:r>
          </w:p>
        </w:tc>
        <w:tc>
          <w:tcPr>
            <w:tcW w:w="0" w:type="auto"/>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27 028</w:t>
            </w:r>
          </w:p>
        </w:tc>
        <w:tc>
          <w:tcPr>
            <w:tcW w:w="717" w:type="dxa"/>
            <w:tcBorders>
              <w:top w:val="single" w:sz="4" w:space="0" w:color="auto"/>
              <w:left w:val="single" w:sz="4" w:space="0" w:color="auto"/>
              <w:bottom w:val="single" w:sz="4" w:space="0" w:color="auto"/>
              <w:right w:val="single" w:sz="4" w:space="0" w:color="auto"/>
            </w:tcBorders>
            <w:shd w:val="clear" w:color="auto"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27 028</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rPr>
                <w:rFonts w:ascii="Times New Roman" w:hAnsi="Times New Roman"/>
                <w:b/>
                <w:bCs/>
                <w:color w:val="000000"/>
                <w:sz w:val="16"/>
                <w:szCs w:val="16"/>
              </w:rPr>
            </w:pPr>
            <w:r w:rsidRPr="00A07FB7">
              <w:rPr>
                <w:rFonts w:ascii="Times New Roman" w:hAnsi="Times New Roman"/>
                <w:b/>
                <w:bCs/>
                <w:color w:val="000000"/>
                <w:sz w:val="16"/>
                <w:szCs w:val="16"/>
              </w:rPr>
              <w:t>z toho:</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rPr>
                <w:rFonts w:ascii="Times New Roman" w:hAnsi="Times New Roman"/>
                <w:color w:val="000000"/>
                <w:sz w:val="16"/>
                <w:szCs w:val="16"/>
              </w:rPr>
            </w:pPr>
            <w:r w:rsidRPr="00A07FB7">
              <w:rPr>
                <w:rFonts w:ascii="Times New Roman" w:hAnsi="Times New Roman"/>
                <w:color w:val="000000"/>
                <w:sz w:val="16"/>
                <w:szCs w:val="16"/>
              </w:rPr>
              <w:t xml:space="preserve">    ▪   bežné výdavky, z toho:</w:t>
            </w:r>
          </w:p>
        </w:tc>
        <w:tc>
          <w:tcPr>
            <w:tcW w:w="723"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5 918</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13 724</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5 346</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5 407</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5 514</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5 514</w:t>
            </w:r>
          </w:p>
        </w:tc>
        <w:tc>
          <w:tcPr>
            <w:tcW w:w="717"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5 514</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ind w:firstLine="480" w:firstLineChars="300"/>
              <w:rPr>
                <w:rFonts w:ascii="Times New Roman" w:hAnsi="Times New Roman"/>
                <w:color w:val="000000"/>
                <w:sz w:val="16"/>
                <w:szCs w:val="16"/>
              </w:rPr>
            </w:pPr>
            <w:r w:rsidRPr="00A07FB7">
              <w:rPr>
                <w:rFonts w:ascii="Times New Roman" w:hAnsi="Times New Roman"/>
                <w:color w:val="000000"/>
                <w:sz w:val="16"/>
                <w:szCs w:val="16"/>
              </w:rPr>
              <w:t>mzdy a odvody</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824</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876</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824</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885</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845</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845</w:t>
            </w: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845</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ind w:firstLine="480" w:firstLineChars="300"/>
              <w:rPr>
                <w:rFonts w:ascii="Times New Roman" w:hAnsi="Times New Roman"/>
                <w:color w:val="000000"/>
                <w:sz w:val="16"/>
                <w:szCs w:val="16"/>
              </w:rPr>
            </w:pPr>
            <w:r w:rsidRPr="00A07FB7">
              <w:rPr>
                <w:rFonts w:ascii="Times New Roman" w:hAnsi="Times New Roman"/>
                <w:color w:val="000000"/>
                <w:sz w:val="16"/>
                <w:szCs w:val="16"/>
              </w:rPr>
              <w:t>tovary a služby (prev. náklady)</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271</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263</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359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359</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506</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506</w:t>
            </w:r>
          </w:p>
        </w:tc>
        <w:tc>
          <w:tcPr>
            <w:tcW w:w="71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506</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ind w:firstLine="480" w:firstLineChars="300"/>
              <w:rPr>
                <w:rFonts w:ascii="Times New Roman" w:hAnsi="Times New Roman"/>
                <w:color w:val="000000"/>
                <w:sz w:val="16"/>
                <w:szCs w:val="16"/>
              </w:rPr>
            </w:pPr>
            <w:r w:rsidRPr="00A07FB7">
              <w:rPr>
                <w:rFonts w:ascii="Times New Roman" w:hAnsi="Times New Roman"/>
                <w:color w:val="000000"/>
                <w:sz w:val="16"/>
                <w:szCs w:val="16"/>
              </w:rPr>
              <w:t>vrátenie príjmov minulých rokov</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1 807</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1 992</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2 650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2 650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2 650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2 650</w:t>
            </w: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2 650</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ind w:firstLine="480" w:firstLineChars="300"/>
              <w:rPr>
                <w:rFonts w:ascii="Times New Roman" w:hAnsi="Times New Roman"/>
                <w:color w:val="000000"/>
                <w:sz w:val="16"/>
                <w:szCs w:val="16"/>
              </w:rPr>
            </w:pPr>
            <w:r w:rsidRPr="00A07FB7">
              <w:rPr>
                <w:rFonts w:ascii="Times New Roman" w:hAnsi="Times New Roman"/>
                <w:color w:val="000000"/>
                <w:sz w:val="16"/>
                <w:szCs w:val="16"/>
              </w:rPr>
              <w:t>bežné transfery</w:t>
            </w:r>
          </w:p>
        </w:tc>
        <w:tc>
          <w:tcPr>
            <w:tcW w:w="723"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3 016</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10 593</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1 513</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1 513</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1 513</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1 513</w:t>
            </w:r>
          </w:p>
        </w:tc>
        <w:tc>
          <w:tcPr>
            <w:tcW w:w="717"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1 513</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rPr>
                <w:rFonts w:ascii="Times New Roman" w:hAnsi="Times New Roman"/>
                <w:color w:val="000000"/>
                <w:sz w:val="16"/>
                <w:szCs w:val="16"/>
              </w:rPr>
            </w:pPr>
            <w:r w:rsidRPr="00A07FB7">
              <w:rPr>
                <w:rFonts w:ascii="Times New Roman" w:hAnsi="Times New Roman"/>
                <w:color w:val="000000"/>
                <w:sz w:val="16"/>
                <w:szCs w:val="16"/>
              </w:rPr>
              <w:t xml:space="preserve">    ▪   kapitálové výdavky, z toho:</w:t>
            </w:r>
          </w:p>
        </w:tc>
        <w:tc>
          <w:tcPr>
            <w:tcW w:w="723"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17 352</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18 657</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18 514</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45 571</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18 514</w:t>
            </w:r>
          </w:p>
        </w:tc>
        <w:tc>
          <w:tcPr>
            <w:tcW w:w="0" w:type="auto"/>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18 514</w:t>
            </w:r>
          </w:p>
        </w:tc>
        <w:tc>
          <w:tcPr>
            <w:tcW w:w="717"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18 514</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ind w:firstLine="480" w:firstLineChars="300"/>
              <w:rPr>
                <w:rFonts w:ascii="Times New Roman" w:hAnsi="Times New Roman"/>
                <w:color w:val="000000"/>
                <w:sz w:val="16"/>
                <w:szCs w:val="16"/>
              </w:rPr>
            </w:pPr>
            <w:r w:rsidRPr="00A07FB7">
              <w:rPr>
                <w:rFonts w:ascii="Times New Roman" w:hAnsi="Times New Roman"/>
                <w:color w:val="000000"/>
                <w:sz w:val="16"/>
                <w:szCs w:val="16"/>
              </w:rPr>
              <w:t>obstarávanie kapitálových aktív</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5</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75</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14</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71</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14</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14</w:t>
            </w: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14</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ind w:firstLine="480" w:firstLineChars="300"/>
              <w:rPr>
                <w:rFonts w:ascii="Times New Roman" w:hAnsi="Times New Roman"/>
                <w:color w:val="000000"/>
                <w:sz w:val="16"/>
                <w:szCs w:val="16"/>
              </w:rPr>
            </w:pPr>
            <w:r w:rsidRPr="00A07FB7">
              <w:rPr>
                <w:rFonts w:ascii="Times New Roman" w:hAnsi="Times New Roman"/>
                <w:color w:val="000000"/>
                <w:sz w:val="16"/>
                <w:szCs w:val="16"/>
              </w:rPr>
              <w:t>kapitálové transfery</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17 348</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18 582</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18 500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45 500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18 500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18 500</w:t>
            </w:r>
          </w:p>
        </w:tc>
        <w:tc>
          <w:tcPr>
            <w:tcW w:w="717"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18 500</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rPr>
                <w:rFonts w:ascii="Times New Roman" w:hAnsi="Times New Roman"/>
                <w:color w:val="000000"/>
                <w:sz w:val="16"/>
                <w:szCs w:val="16"/>
              </w:rPr>
            </w:pPr>
            <w:r w:rsidRPr="00A07FB7">
              <w:rPr>
                <w:rFonts w:ascii="Times New Roman" w:hAnsi="Times New Roman"/>
                <w:color w:val="000000"/>
                <w:sz w:val="16"/>
                <w:szCs w:val="16"/>
              </w:rPr>
              <w:t xml:space="preserve">    ▪   výdavky z transakcií s fin. akt. a pas., z toho: (FO) </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736</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2 521</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3 000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3 000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3 000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3 000</w:t>
            </w: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sz w:val="16"/>
                <w:szCs w:val="16"/>
              </w:rPr>
            </w:pPr>
            <w:r w:rsidRPr="00A07FB7">
              <w:rPr>
                <w:rFonts w:ascii="Times New Roman" w:hAnsi="Times New Roman"/>
                <w:bCs/>
                <w:iCs/>
                <w:sz w:val="16"/>
                <w:szCs w:val="16"/>
              </w:rPr>
              <w:t>3 000</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A07FB7" w:rsidP="000008FE">
            <w:pPr>
              <w:bidi w:val="0"/>
              <w:ind w:firstLine="160" w:firstLineChars="100"/>
              <w:rPr>
                <w:rFonts w:ascii="Times New Roman" w:hAnsi="Times New Roman"/>
                <w:color w:val="000000"/>
                <w:sz w:val="16"/>
                <w:szCs w:val="16"/>
              </w:rPr>
            </w:pPr>
            <w:r w:rsidRPr="00A07FB7">
              <w:rPr>
                <w:rFonts w:ascii="Times New Roman" w:hAnsi="Times New Roman"/>
                <w:color w:val="000000"/>
                <w:sz w:val="16"/>
                <w:szCs w:val="16"/>
              </w:rPr>
              <w:t xml:space="preserve">        úvery, pôžičky a NFV v rámci VS (FO)</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13</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2 521</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3 000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3 000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3 000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3 000</w:t>
            </w: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3 000</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rPr>
                <w:rFonts w:ascii="Times New Roman" w:hAnsi="Times New Roman"/>
                <w:b/>
                <w:bCs/>
                <w:color w:val="000000"/>
                <w:sz w:val="16"/>
                <w:szCs w:val="16"/>
              </w:rPr>
            </w:pPr>
            <w:r w:rsidRPr="00A07FB7">
              <w:rPr>
                <w:rFonts w:ascii="Times New Roman" w:hAnsi="Times New Roman"/>
                <w:b/>
                <w:bCs/>
                <w:color w:val="000000"/>
                <w:sz w:val="16"/>
                <w:szCs w:val="16"/>
              </w:rPr>
              <w:t>Celková bilancia EF</w:t>
            </w:r>
          </w:p>
        </w:tc>
        <w:tc>
          <w:tcPr>
            <w:tcW w:w="723"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color w:val="000000"/>
                <w:sz w:val="16"/>
                <w:szCs w:val="16"/>
              </w:rPr>
            </w:pPr>
            <w:r w:rsidRPr="00A07FB7">
              <w:rPr>
                <w:rFonts w:ascii="Times New Roman" w:hAnsi="Times New Roman"/>
                <w:b/>
                <w:bCs/>
                <w:color w:val="000000"/>
                <w:sz w:val="16"/>
                <w:szCs w:val="16"/>
              </w:rPr>
              <w:t>123 113</w:t>
            </w:r>
          </w:p>
        </w:tc>
        <w:tc>
          <w:tcPr>
            <w:tcW w:w="0" w:type="auto"/>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141 145</w:t>
            </w:r>
          </w:p>
        </w:tc>
        <w:tc>
          <w:tcPr>
            <w:tcW w:w="0" w:type="auto"/>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265 119</w:t>
            </w:r>
          </w:p>
        </w:tc>
        <w:tc>
          <w:tcPr>
            <w:tcW w:w="0" w:type="auto"/>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255 603</w:t>
            </w:r>
          </w:p>
        </w:tc>
        <w:tc>
          <w:tcPr>
            <w:tcW w:w="0" w:type="auto"/>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386 924</w:t>
            </w:r>
          </w:p>
        </w:tc>
        <w:tc>
          <w:tcPr>
            <w:tcW w:w="0" w:type="auto"/>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518 293</w:t>
            </w:r>
          </w:p>
        </w:tc>
        <w:tc>
          <w:tcPr>
            <w:tcW w:w="71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649 717</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rPr>
                <w:rFonts w:ascii="Times New Roman" w:hAnsi="Times New Roman"/>
                <w:b/>
                <w:bCs/>
                <w:iCs/>
                <w:color w:val="000000"/>
                <w:sz w:val="16"/>
                <w:szCs w:val="16"/>
              </w:rPr>
            </w:pPr>
            <w:r w:rsidRPr="00A07FB7">
              <w:rPr>
                <w:rFonts w:ascii="Times New Roman" w:hAnsi="Times New Roman"/>
                <w:b/>
                <w:bCs/>
                <w:iCs/>
                <w:color w:val="000000"/>
                <w:sz w:val="16"/>
                <w:szCs w:val="16"/>
              </w:rPr>
              <w:t>vylúčenie finančných operácií</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color w:val="000000"/>
                <w:sz w:val="16"/>
                <w:szCs w:val="16"/>
              </w:rPr>
            </w:pPr>
            <w:r w:rsidRPr="00A07FB7">
              <w:rPr>
                <w:rFonts w:ascii="Times New Roman" w:hAnsi="Times New Roman"/>
                <w:bCs/>
                <w:iCs/>
                <w:color w:val="000000"/>
                <w:sz w:val="16"/>
                <w:szCs w:val="16"/>
              </w:rPr>
              <w:t>-98 595</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-123 074</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-132 739</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-140 225</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-254 683</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-386 004</w:t>
            </w: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-517 373</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rPr>
                <w:rFonts w:ascii="Times New Roman" w:hAnsi="Times New Roman"/>
                <w:b/>
                <w:bCs/>
                <w:iCs/>
                <w:color w:val="000000"/>
                <w:sz w:val="16"/>
                <w:szCs w:val="16"/>
              </w:rPr>
            </w:pPr>
            <w:r w:rsidRPr="00A07FB7">
              <w:rPr>
                <w:rFonts w:ascii="Times New Roman" w:hAnsi="Times New Roman"/>
                <w:b/>
                <w:bCs/>
                <w:iCs/>
                <w:color w:val="000000"/>
                <w:sz w:val="16"/>
                <w:szCs w:val="16"/>
              </w:rPr>
              <w:t xml:space="preserve">   z toho:</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 </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rPr>
                <w:rFonts w:ascii="Times New Roman" w:hAnsi="Times New Roman"/>
                <w:color w:val="000000"/>
                <w:sz w:val="16"/>
                <w:szCs w:val="16"/>
              </w:rPr>
            </w:pPr>
            <w:r w:rsidRPr="00A07FB7">
              <w:rPr>
                <w:rFonts w:ascii="Times New Roman" w:hAnsi="Times New Roman"/>
                <w:color w:val="000000"/>
                <w:sz w:val="16"/>
                <w:szCs w:val="16"/>
              </w:rPr>
              <w:t xml:space="preserve">    ▪   vylúčenie príjmových FO</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-99 331</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-125 595</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-135 739</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-143 225</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-257 683</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-389 004</w:t>
            </w: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-520 373</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rPr>
                <w:rFonts w:ascii="Times New Roman" w:hAnsi="Times New Roman"/>
                <w:color w:val="000000"/>
                <w:sz w:val="16"/>
                <w:szCs w:val="16"/>
              </w:rPr>
            </w:pPr>
            <w:r w:rsidRPr="00A07FB7">
              <w:rPr>
                <w:rFonts w:ascii="Times New Roman" w:hAnsi="Times New Roman"/>
                <w:color w:val="000000"/>
                <w:sz w:val="16"/>
                <w:szCs w:val="16"/>
              </w:rPr>
              <w:t xml:space="preserve">    ▪   vylúčenie výdavkových FO</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736</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2 521</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3 000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3 000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3 000</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3 000</w:t>
            </w: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r w:rsidRPr="00A07FB7">
              <w:rPr>
                <w:rFonts w:ascii="Times New Roman" w:hAnsi="Times New Roman"/>
                <w:sz w:val="16"/>
                <w:szCs w:val="16"/>
              </w:rPr>
              <w:t>3 000</w:t>
            </w: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rPr>
                <w:rFonts w:ascii="Times New Roman" w:hAnsi="Times New Roman"/>
                <w:b/>
                <w:bCs/>
                <w:iCs/>
                <w:color w:val="000000"/>
                <w:sz w:val="16"/>
                <w:szCs w:val="16"/>
              </w:rPr>
            </w:pPr>
            <w:r w:rsidRPr="00A07FB7">
              <w:rPr>
                <w:rFonts w:ascii="Times New Roman" w:hAnsi="Times New Roman"/>
                <w:b/>
                <w:bCs/>
                <w:iCs/>
                <w:color w:val="000000"/>
                <w:sz w:val="16"/>
                <w:szCs w:val="16"/>
              </w:rPr>
              <w:t>ostatné úpravy</w:t>
            </w:r>
          </w:p>
        </w:tc>
        <w:tc>
          <w:tcPr>
            <w:tcW w:w="723"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color w:val="000000"/>
                <w:sz w:val="16"/>
                <w:szCs w:val="16"/>
              </w:rPr>
            </w:pPr>
            <w:r w:rsidRPr="00A07FB7">
              <w:rPr>
                <w:rFonts w:ascii="Times New Roman" w:hAnsi="Times New Roman"/>
                <w:bCs/>
                <w:iCs/>
                <w:color w:val="000000"/>
                <w:sz w:val="16"/>
                <w:szCs w:val="16"/>
              </w:rPr>
              <w:t>-1 414</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color w:val="000000"/>
                <w:sz w:val="16"/>
                <w:szCs w:val="16"/>
              </w:rPr>
            </w:pPr>
            <w:r w:rsidRPr="00A07FB7">
              <w:rPr>
                <w:rFonts w:ascii="Times New Roman" w:hAnsi="Times New Roman"/>
                <w:color w:val="000000"/>
                <w:sz w:val="16"/>
                <w:szCs w:val="16"/>
              </w:rPr>
              <w:t>-747</w:t>
            </w: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bCs/>
                <w:iCs/>
                <w:color w:val="000000"/>
                <w:sz w:val="16"/>
                <w:szCs w:val="16"/>
              </w:rPr>
            </w:pPr>
          </w:p>
        </w:tc>
        <w:tc>
          <w:tcPr>
            <w:tcW w:w="0" w:type="auto"/>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p>
        </w:tc>
        <w:tc>
          <w:tcPr>
            <w:tcW w:w="717"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A07FB7" w:rsidP="000008FE">
            <w:pPr>
              <w:bidi w:val="0"/>
              <w:jc w:val="right"/>
              <w:rPr>
                <w:rFonts w:ascii="Times New Roman" w:hAnsi="Times New Roman"/>
                <w:sz w:val="16"/>
                <w:szCs w:val="16"/>
              </w:rPr>
            </w:pPr>
          </w:p>
        </w:tc>
      </w:tr>
      <w:tr>
        <w:tblPrEx>
          <w:tblW w:w="0" w:type="auto"/>
          <w:tblCellMar>
            <w:left w:w="70" w:type="dxa"/>
            <w:right w:w="70" w:type="dxa"/>
          </w:tblCellMar>
          <w:tblLook w:val="04A0"/>
        </w:tblPrEx>
        <w:trPr>
          <w:trHeight w:val="227"/>
        </w:trPr>
        <w:tc>
          <w:tcPr>
            <w:tcW w:w="3542"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rPr>
                <w:rFonts w:ascii="Times New Roman" w:hAnsi="Times New Roman"/>
                <w:b/>
                <w:bCs/>
                <w:color w:val="000000"/>
                <w:sz w:val="16"/>
                <w:szCs w:val="16"/>
              </w:rPr>
            </w:pPr>
            <w:r w:rsidRPr="00A07FB7">
              <w:rPr>
                <w:rFonts w:ascii="Times New Roman" w:hAnsi="Times New Roman"/>
                <w:b/>
                <w:bCs/>
                <w:color w:val="000000"/>
                <w:sz w:val="16"/>
                <w:szCs w:val="16"/>
              </w:rPr>
              <w:t>Prebytok (+)/schodok (-)  EF (ESA 2010)</w:t>
            </w:r>
          </w:p>
        </w:tc>
        <w:tc>
          <w:tcPr>
            <w:tcW w:w="723"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color w:val="000000"/>
                <w:sz w:val="16"/>
                <w:szCs w:val="16"/>
              </w:rPr>
            </w:pPr>
            <w:r w:rsidRPr="00A07FB7">
              <w:rPr>
                <w:rFonts w:ascii="Times New Roman" w:hAnsi="Times New Roman"/>
                <w:b/>
                <w:bCs/>
                <w:color w:val="000000"/>
                <w:sz w:val="16"/>
                <w:szCs w:val="16"/>
              </w:rPr>
              <w:t>23 104</w:t>
            </w:r>
          </w:p>
        </w:tc>
        <w:tc>
          <w:tcPr>
            <w:tcW w:w="0" w:type="auto"/>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17 324</w:t>
            </w:r>
          </w:p>
        </w:tc>
        <w:tc>
          <w:tcPr>
            <w:tcW w:w="0" w:type="auto"/>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132 380</w:t>
            </w:r>
          </w:p>
        </w:tc>
        <w:tc>
          <w:tcPr>
            <w:tcW w:w="0" w:type="auto"/>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115 378</w:t>
            </w:r>
          </w:p>
        </w:tc>
        <w:tc>
          <w:tcPr>
            <w:tcW w:w="0" w:type="auto"/>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132 240</w:t>
            </w:r>
          </w:p>
        </w:tc>
        <w:tc>
          <w:tcPr>
            <w:tcW w:w="0" w:type="auto"/>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132 289</w:t>
            </w:r>
          </w:p>
        </w:tc>
        <w:tc>
          <w:tcPr>
            <w:tcW w:w="717" w:type="dxa"/>
            <w:tcBorders>
              <w:top w:val="single" w:sz="4" w:space="0" w:color="auto"/>
              <w:left w:val="single" w:sz="4" w:space="0" w:color="auto"/>
              <w:bottom w:val="single" w:sz="4" w:space="0" w:color="auto"/>
              <w:right w:val="single" w:sz="4" w:space="0" w:color="auto"/>
            </w:tcBorders>
            <w:shd w:val="clear" w:color="000000" w:fill="BFBFBF"/>
            <w:textDirection w:val="lrTb"/>
            <w:vAlign w:val="bottom"/>
            <w:hideMark/>
          </w:tcPr>
          <w:p w:rsidR="006C0389" w:rsidRPr="00A07FB7" w:rsidP="000008FE">
            <w:pPr>
              <w:bidi w:val="0"/>
              <w:jc w:val="right"/>
              <w:rPr>
                <w:rFonts w:ascii="Times New Roman" w:hAnsi="Times New Roman"/>
                <w:b/>
                <w:bCs/>
                <w:sz w:val="16"/>
                <w:szCs w:val="16"/>
              </w:rPr>
            </w:pPr>
            <w:r w:rsidRPr="00A07FB7">
              <w:rPr>
                <w:rFonts w:ascii="Times New Roman" w:hAnsi="Times New Roman"/>
                <w:b/>
                <w:bCs/>
                <w:sz w:val="16"/>
                <w:szCs w:val="16"/>
              </w:rPr>
              <w:t>132 344</w:t>
            </w:r>
          </w:p>
        </w:tc>
      </w:tr>
    </w:tbl>
    <w:p w:rsidR="006C0389" w:rsidRPr="006573DA" w:rsidP="006C0389">
      <w:pPr>
        <w:bidi w:val="0"/>
        <w:ind w:firstLine="708"/>
        <w:jc w:val="both"/>
        <w:rPr>
          <w:rFonts w:ascii="Times New Roman" w:hAnsi="Times New Roman"/>
        </w:rPr>
      </w:pPr>
    </w:p>
    <w:p w:rsidR="006C0389" w:rsidRPr="009F1D63" w:rsidP="006C0389">
      <w:pPr>
        <w:bidi w:val="0"/>
        <w:ind w:firstLine="708"/>
        <w:jc w:val="both"/>
        <w:rPr>
          <w:rFonts w:ascii="Times New Roman" w:hAnsi="Times New Roman"/>
        </w:rPr>
      </w:pPr>
      <w:r w:rsidRPr="0007410B">
        <w:rPr>
          <w:rFonts w:ascii="Times New Roman" w:hAnsi="Times New Roman"/>
        </w:rPr>
        <w:t>Objem príjmov je rozpočtovaný na rok 201</w:t>
      </w:r>
      <w:r>
        <w:rPr>
          <w:rFonts w:ascii="Times New Roman" w:hAnsi="Times New Roman"/>
        </w:rPr>
        <w:t>6 v celkovej výške 414</w:t>
      </w:r>
      <w:r w:rsidRPr="0007410B">
        <w:rPr>
          <w:rFonts w:ascii="Times New Roman" w:hAnsi="Times New Roman"/>
        </w:rPr>
        <w:t xml:space="preserve"> mil. eur, ktorý má byť dosiahnutý výlučne z vlastných zdrojov</w:t>
      </w:r>
      <w:r>
        <w:rPr>
          <w:rFonts w:ascii="Times New Roman" w:hAnsi="Times New Roman"/>
        </w:rPr>
        <w:t>,</w:t>
      </w:r>
      <w:r w:rsidRPr="0007410B">
        <w:rPr>
          <w:rFonts w:ascii="Times New Roman" w:hAnsi="Times New Roman"/>
        </w:rPr>
        <w:t xml:space="preserve"> bez dotácií zo štátn</w:t>
      </w:r>
      <w:r>
        <w:rPr>
          <w:rFonts w:ascii="Times New Roman" w:hAnsi="Times New Roman"/>
        </w:rPr>
        <w:t xml:space="preserve">eho rozpočtu. Tento objem rastie </w:t>
      </w:r>
      <w:r w:rsidRPr="0007410B">
        <w:rPr>
          <w:rFonts w:ascii="Times New Roman" w:hAnsi="Times New Roman"/>
        </w:rPr>
        <w:t xml:space="preserve">oproti </w:t>
      </w:r>
      <w:r>
        <w:rPr>
          <w:rFonts w:ascii="Times New Roman" w:hAnsi="Times New Roman"/>
        </w:rPr>
        <w:t>schválenému rozpočtu</w:t>
      </w:r>
      <w:r w:rsidRPr="0007410B">
        <w:rPr>
          <w:rFonts w:ascii="Times New Roman" w:hAnsi="Times New Roman"/>
        </w:rPr>
        <w:t xml:space="preserve"> roku 201</w:t>
      </w:r>
      <w:r>
        <w:rPr>
          <w:rFonts w:ascii="Times New Roman" w:hAnsi="Times New Roman"/>
        </w:rPr>
        <w:t xml:space="preserve">5 o 41,8 %. </w:t>
      </w:r>
      <w:r w:rsidRPr="009F4CE1">
        <w:rPr>
          <w:rFonts w:ascii="Times New Roman" w:hAnsi="Times New Roman"/>
        </w:rPr>
        <w:t xml:space="preserve">Dôvodom celkového nárastu príjmov je </w:t>
      </w:r>
      <w:r>
        <w:rPr>
          <w:rFonts w:ascii="Times New Roman" w:hAnsi="Times New Roman"/>
        </w:rPr>
        <w:t xml:space="preserve">najmä vyššia </w:t>
      </w:r>
      <w:r w:rsidRPr="0007410B">
        <w:rPr>
          <w:rFonts w:ascii="Times New Roman" w:hAnsi="Times New Roman"/>
        </w:rPr>
        <w:t xml:space="preserve">úroveň </w:t>
      </w:r>
      <w:r>
        <w:rPr>
          <w:rFonts w:ascii="Times New Roman" w:hAnsi="Times New Roman"/>
        </w:rPr>
        <w:t>rozpočtovaných príjmov</w:t>
      </w:r>
      <w:r w:rsidRPr="0007410B">
        <w:rPr>
          <w:rFonts w:ascii="Times New Roman" w:hAnsi="Times New Roman"/>
        </w:rPr>
        <w:t xml:space="preserve"> z</w:t>
      </w:r>
      <w:r>
        <w:rPr>
          <w:rFonts w:ascii="Times New Roman" w:hAnsi="Times New Roman"/>
        </w:rPr>
        <w:t> minulých rokov, ktoré rastú o 91,2 %. Ďalšou významnou položkou sú p</w:t>
      </w:r>
      <w:r w:rsidRPr="009F1D63">
        <w:rPr>
          <w:rFonts w:ascii="Times New Roman" w:hAnsi="Times New Roman"/>
        </w:rPr>
        <w:t>ríjmy z adminis</w:t>
      </w:r>
      <w:r>
        <w:rPr>
          <w:rFonts w:ascii="Times New Roman" w:hAnsi="Times New Roman"/>
        </w:rPr>
        <w:t>tratívnych poplatkov (poplatky a platby</w:t>
      </w:r>
      <w:r w:rsidRPr="009F1D63">
        <w:rPr>
          <w:rFonts w:ascii="Times New Roman" w:hAnsi="Times New Roman"/>
        </w:rPr>
        <w:t xml:space="preserve"> za vypúšťanie odpadových vôd do povrchovýc</w:t>
      </w:r>
      <w:r>
        <w:rPr>
          <w:rFonts w:ascii="Times New Roman" w:hAnsi="Times New Roman"/>
        </w:rPr>
        <w:t xml:space="preserve">h vôd, za odber podzemnej vody, </w:t>
      </w:r>
      <w:r w:rsidRPr="009F1D63">
        <w:rPr>
          <w:rFonts w:ascii="Times New Roman" w:hAnsi="Times New Roman"/>
        </w:rPr>
        <w:t> za zne</w:t>
      </w:r>
      <w:r>
        <w:rPr>
          <w:rFonts w:ascii="Times New Roman" w:hAnsi="Times New Roman"/>
        </w:rPr>
        <w:t>čisťovanie ovzdušia, pokuty za porušenie predpisov, príjmy z prieskumných území</w:t>
      </w:r>
      <w:r w:rsidR="00DF7EE9">
        <w:rPr>
          <w:rFonts w:ascii="Times New Roman" w:hAnsi="Times New Roman"/>
        </w:rPr>
        <w:t xml:space="preserve">           </w:t>
      </w:r>
      <w:r>
        <w:rPr>
          <w:rFonts w:ascii="Times New Roman" w:hAnsi="Times New Roman"/>
        </w:rPr>
        <w:t xml:space="preserve"> a ostatné), ktoré sa </w:t>
      </w:r>
      <w:r w:rsidR="0060040C">
        <w:rPr>
          <w:rFonts w:ascii="Times New Roman" w:hAnsi="Times New Roman"/>
        </w:rPr>
        <w:t>na</w:t>
      </w:r>
      <w:r>
        <w:rPr>
          <w:rFonts w:ascii="Times New Roman" w:hAnsi="Times New Roman"/>
        </w:rPr>
        <w:t xml:space="preserve"> rok 2016 navrhujú vo výške  35,4 mil. eur</w:t>
      </w:r>
      <w:r w:rsidRPr="009F1D63">
        <w:rPr>
          <w:rFonts w:ascii="Times New Roman" w:hAnsi="Times New Roman"/>
        </w:rPr>
        <w:t>.</w:t>
      </w:r>
    </w:p>
    <w:p w:rsidR="006C0389" w:rsidRPr="00DF7EE9" w:rsidP="006C0389">
      <w:pPr>
        <w:bidi w:val="0"/>
        <w:jc w:val="both"/>
        <w:rPr>
          <w:rFonts w:ascii="Times New Roman" w:hAnsi="Times New Roman"/>
          <w:sz w:val="16"/>
          <w:szCs w:val="16"/>
        </w:rPr>
      </w:pPr>
    </w:p>
    <w:p w:rsidR="006C0389" w:rsidP="006C0389">
      <w:pPr>
        <w:bidi w:val="0"/>
        <w:ind w:firstLine="708"/>
        <w:jc w:val="both"/>
        <w:rPr>
          <w:rFonts w:ascii="Times New Roman" w:hAnsi="Times New Roman"/>
        </w:rPr>
      </w:pPr>
      <w:r w:rsidRPr="009F1D63">
        <w:rPr>
          <w:rFonts w:ascii="Times New Roman" w:hAnsi="Times New Roman"/>
        </w:rPr>
        <w:t>Výdavky fondu</w:t>
      </w:r>
      <w:r>
        <w:rPr>
          <w:rFonts w:ascii="Times New Roman" w:hAnsi="Times New Roman"/>
        </w:rPr>
        <w:t xml:space="preserve"> sú</w:t>
      </w:r>
      <w:r w:rsidRPr="009F1D63">
        <w:rPr>
          <w:rFonts w:ascii="Times New Roman" w:hAnsi="Times New Roman"/>
        </w:rPr>
        <w:t xml:space="preserve"> rozpočtované na rok 201</w:t>
      </w:r>
      <w:r>
        <w:rPr>
          <w:rFonts w:ascii="Times New Roman" w:hAnsi="Times New Roman"/>
        </w:rPr>
        <w:t xml:space="preserve">6 v celkovej výške 27 mil. eur, čím je takmer zachovaná úroveň schváleného rozpočtu </w:t>
      </w:r>
      <w:r w:rsidRPr="009F1D63">
        <w:rPr>
          <w:rFonts w:ascii="Times New Roman" w:hAnsi="Times New Roman"/>
        </w:rPr>
        <w:t>roku 201</w:t>
      </w:r>
      <w:r>
        <w:rPr>
          <w:rFonts w:ascii="Times New Roman" w:hAnsi="Times New Roman"/>
        </w:rPr>
        <w:t>5</w:t>
      </w:r>
      <w:r w:rsidRPr="009F1D63">
        <w:rPr>
          <w:rFonts w:ascii="Times New Roman" w:hAnsi="Times New Roman"/>
        </w:rPr>
        <w:t>.</w:t>
      </w:r>
      <w:r w:rsidRPr="00AA7DC6">
        <w:rPr>
          <w:rFonts w:ascii="Arial Narrow" w:hAnsi="Arial Narrow"/>
          <w:b/>
          <w:sz w:val="22"/>
          <w:szCs w:val="22"/>
        </w:rPr>
        <w:t xml:space="preserve"> </w:t>
      </w:r>
      <w:r w:rsidRPr="00AA7DC6">
        <w:rPr>
          <w:rFonts w:ascii="Times New Roman" w:hAnsi="Times New Roman"/>
        </w:rPr>
        <w:t>Osobné výdavk</w:t>
      </w:r>
      <w:r>
        <w:rPr>
          <w:rFonts w:ascii="Times New Roman" w:hAnsi="Times New Roman"/>
        </w:rPr>
        <w:t xml:space="preserve">y rastú              o 2,52 % </w:t>
      </w:r>
      <w:r w:rsidRPr="00AA7DC6">
        <w:rPr>
          <w:rFonts w:ascii="Times New Roman" w:hAnsi="Times New Roman"/>
        </w:rPr>
        <w:t xml:space="preserve"> v súvislosti s</w:t>
      </w:r>
      <w:r w:rsidRPr="001731F0">
        <w:rPr>
          <w:rFonts w:ascii="Times New Roman" w:hAnsi="Times New Roman"/>
        </w:rPr>
        <w:t xml:space="preserve"> premietnutím valorizácie roku 201</w:t>
      </w:r>
      <w:r>
        <w:rPr>
          <w:rFonts w:ascii="Times New Roman" w:hAnsi="Times New Roman"/>
        </w:rPr>
        <w:t>5</w:t>
      </w:r>
      <w:r w:rsidRPr="001731F0">
        <w:rPr>
          <w:rFonts w:ascii="Times New Roman" w:hAnsi="Times New Roman"/>
        </w:rPr>
        <w:t xml:space="preserve"> do nasledujúcich rokov.</w:t>
      </w:r>
      <w:r>
        <w:rPr>
          <w:rFonts w:ascii="Times New Roman" w:hAnsi="Times New Roman"/>
        </w:rPr>
        <w:t xml:space="preserve"> </w:t>
      </w:r>
      <w:r w:rsidRPr="009F1D63">
        <w:rPr>
          <w:rFonts w:ascii="Times New Roman" w:hAnsi="Times New Roman"/>
        </w:rPr>
        <w:t>Rozpočet výdavkov určených na správu f</w:t>
      </w:r>
      <w:r>
        <w:rPr>
          <w:rFonts w:ascii="Times New Roman" w:hAnsi="Times New Roman"/>
        </w:rPr>
        <w:t>ondu sa navrhuje</w:t>
      </w:r>
      <w:r w:rsidRPr="009F1D63">
        <w:rPr>
          <w:rFonts w:ascii="Times New Roman" w:hAnsi="Times New Roman"/>
        </w:rPr>
        <w:t xml:space="preserve"> vo výške </w:t>
      </w:r>
      <w:r>
        <w:rPr>
          <w:rFonts w:ascii="Times New Roman" w:hAnsi="Times New Roman"/>
        </w:rPr>
        <w:t xml:space="preserve">1,38 mil. eur. </w:t>
      </w:r>
      <w:r w:rsidRPr="00AA7DC6">
        <w:rPr>
          <w:rFonts w:ascii="Times New Roman" w:hAnsi="Times New Roman"/>
        </w:rPr>
        <w:t xml:space="preserve">Bežné transfery vo výške 1,5 mil. eur a kapitálové transfery na úrovni 18,5 mil. eur </w:t>
      </w:r>
      <w:r w:rsidRPr="00E56FF9">
        <w:rPr>
          <w:rFonts w:ascii="Times New Roman" w:hAnsi="Times New Roman"/>
        </w:rPr>
        <w:t>zachovávajú úroveň schváleného rozpočtu 201</w:t>
      </w:r>
      <w:r>
        <w:rPr>
          <w:rFonts w:ascii="Times New Roman" w:hAnsi="Times New Roman"/>
        </w:rPr>
        <w:t>5</w:t>
      </w:r>
      <w:r w:rsidRPr="00E56FF9">
        <w:rPr>
          <w:rFonts w:ascii="Times New Roman" w:hAnsi="Times New Roman"/>
        </w:rPr>
        <w:t xml:space="preserve"> a sú určené na dotácie v oblasti životného prostredia. Na návratnú podporu ekologických projektov prostredníctvom  úverov je určených 3 mil. eur.</w:t>
      </w:r>
    </w:p>
    <w:p w:rsidR="006C0389" w:rsidRPr="00DF7EE9" w:rsidP="006C0389">
      <w:pPr>
        <w:bidi w:val="0"/>
        <w:jc w:val="both"/>
        <w:rPr>
          <w:rFonts w:ascii="Times New Roman" w:hAnsi="Times New Roman"/>
          <w:sz w:val="16"/>
          <w:szCs w:val="16"/>
          <w:highlight w:val="yellow"/>
        </w:rPr>
      </w:pPr>
    </w:p>
    <w:p w:rsidR="006C0389" w:rsidP="006C0389">
      <w:pPr>
        <w:bidi w:val="0"/>
        <w:ind w:firstLine="708"/>
        <w:jc w:val="both"/>
        <w:rPr>
          <w:rFonts w:ascii="Times New Roman" w:hAnsi="Times New Roman"/>
        </w:rPr>
      </w:pPr>
      <w:r w:rsidRPr="00AA7BC7">
        <w:rPr>
          <w:rFonts w:ascii="Times New Roman" w:hAnsi="Times New Roman"/>
        </w:rPr>
        <w:t>Celkový hotovostný prebytok EF sa rozpočtuje v roku 201</w:t>
      </w:r>
      <w:r>
        <w:rPr>
          <w:rFonts w:ascii="Times New Roman" w:hAnsi="Times New Roman"/>
        </w:rPr>
        <w:t>6 vo výške 387</w:t>
      </w:r>
      <w:r w:rsidRPr="00AA7BC7">
        <w:rPr>
          <w:rFonts w:ascii="Times New Roman" w:hAnsi="Times New Roman"/>
        </w:rPr>
        <w:t xml:space="preserve"> mil. eur</w:t>
      </w:r>
      <w:r>
        <w:rPr>
          <w:rFonts w:ascii="Times New Roman" w:hAnsi="Times New Roman"/>
        </w:rPr>
        <w:t xml:space="preserve">. V metodike ESA 2010 </w:t>
      </w:r>
      <w:r w:rsidRPr="00AA7BC7">
        <w:rPr>
          <w:rFonts w:ascii="Times New Roman" w:hAnsi="Times New Roman"/>
        </w:rPr>
        <w:t>prebytok hospodárenia EF v roku 201</w:t>
      </w:r>
      <w:r>
        <w:rPr>
          <w:rFonts w:ascii="Times New Roman" w:hAnsi="Times New Roman"/>
        </w:rPr>
        <w:t xml:space="preserve">6 dosahuje 132 </w:t>
      </w:r>
      <w:r w:rsidRPr="00AA7BC7">
        <w:rPr>
          <w:rFonts w:ascii="Times New Roman" w:hAnsi="Times New Roman"/>
        </w:rPr>
        <w:t>mil. eur</w:t>
      </w:r>
      <w:r>
        <w:rPr>
          <w:rFonts w:ascii="Times New Roman" w:hAnsi="Times New Roman"/>
        </w:rPr>
        <w:t>, čo takmer zachováva úroveň schváleného rozpočtu roku 2015.</w:t>
      </w:r>
    </w:p>
    <w:p w:rsidR="00DF7EE9" w:rsidRPr="004F17A1" w:rsidP="008225DB">
      <w:pPr>
        <w:bidi w:val="0"/>
        <w:rPr>
          <w:rFonts w:ascii="Times New Roman" w:hAnsi="Times New Roman"/>
          <w:b/>
          <w:bCs/>
          <w:highlight w:val="yellow"/>
        </w:rPr>
      </w:pPr>
    </w:p>
    <w:p w:rsidR="008225DB" w:rsidRPr="000825FE" w:rsidP="008225DB">
      <w:pPr>
        <w:bidi w:val="0"/>
        <w:jc w:val="both"/>
        <w:rPr>
          <w:rFonts w:ascii="Times New Roman" w:hAnsi="Times New Roman"/>
        </w:rPr>
      </w:pPr>
      <w:r w:rsidRPr="000825FE">
        <w:rPr>
          <w:rFonts w:ascii="Times New Roman" w:hAnsi="Times New Roman"/>
          <w:b/>
        </w:rPr>
        <w:t xml:space="preserve">5. Slovenský pozemkový fond        </w:t>
      </w:r>
      <w:r w:rsidRPr="000825FE">
        <w:rPr>
          <w:rFonts w:ascii="Times New Roman" w:hAnsi="Times New Roman"/>
        </w:rPr>
        <w:t xml:space="preserve">                              </w:t>
      </w:r>
    </w:p>
    <w:p w:rsidR="008225DB" w:rsidRPr="006573DA" w:rsidP="008225DB">
      <w:pPr>
        <w:bidi w:val="0"/>
        <w:jc w:val="right"/>
        <w:rPr>
          <w:rFonts w:ascii="Times New Roman" w:hAnsi="Times New Roman"/>
        </w:rPr>
      </w:pPr>
    </w:p>
    <w:tbl>
      <w:tblPr>
        <w:tblStyle w:val="TableNormal"/>
        <w:tblW w:w="9229" w:type="dxa"/>
        <w:tblInd w:w="55" w:type="dxa"/>
        <w:tblCellMar>
          <w:left w:w="70" w:type="dxa"/>
          <w:right w:w="70" w:type="dxa"/>
        </w:tblCellMar>
        <w:tblLook w:val="04A0"/>
      </w:tblPr>
      <w:tblGrid>
        <w:gridCol w:w="3276"/>
        <w:gridCol w:w="850"/>
        <w:gridCol w:w="851"/>
        <w:gridCol w:w="850"/>
        <w:gridCol w:w="851"/>
        <w:gridCol w:w="850"/>
        <w:gridCol w:w="851"/>
        <w:gridCol w:w="850"/>
      </w:tblGrid>
      <w:tr>
        <w:tblPrEx>
          <w:tblW w:w="9229" w:type="dxa"/>
          <w:tblInd w:w="55" w:type="dxa"/>
          <w:tblCellMar>
            <w:left w:w="70" w:type="dxa"/>
            <w:right w:w="70" w:type="dxa"/>
          </w:tblCellMar>
          <w:tblLook w:val="04A0"/>
        </w:tblPrEx>
        <w:trPr>
          <w:trHeight w:val="227"/>
        </w:trPr>
        <w:tc>
          <w:tcPr>
            <w:tcW w:w="3276" w:type="dxa"/>
            <w:tcBorders>
              <w:top w:val="single" w:sz="4" w:space="0" w:color="auto"/>
              <w:left w:val="single" w:sz="4" w:space="0" w:color="auto"/>
              <w:bottom w:val="single" w:sz="4" w:space="0" w:color="auto"/>
              <w:right w:val="single" w:sz="4" w:space="0" w:color="auto"/>
            </w:tcBorders>
            <w:shd w:val="clear" w:color="000000" w:fill="A6A6A6"/>
            <w:noWrap/>
            <w:textDirection w:val="lrTb"/>
            <w:vAlign w:val="center"/>
            <w:hideMark/>
          </w:tcPr>
          <w:p w:rsidR="008225DB" w:rsidRPr="000825FE" w:rsidP="000008FE">
            <w:pPr>
              <w:bidi w:val="0"/>
              <w:ind w:right="-46"/>
              <w:rPr>
                <w:rFonts w:ascii="Times New Roman" w:hAnsi="Times New Roman"/>
                <w:b/>
                <w:sz w:val="16"/>
                <w:szCs w:val="16"/>
              </w:rPr>
            </w:pPr>
            <w:r w:rsidRPr="000825FE">
              <w:rPr>
                <w:rFonts w:ascii="Times New Roman" w:hAnsi="Times New Roman"/>
                <w:b/>
                <w:bCs/>
                <w:sz w:val="16"/>
                <w:szCs w:val="16"/>
              </w:rPr>
              <w:t>v tis. eur</w:t>
            </w:r>
          </w:p>
        </w:tc>
        <w:tc>
          <w:tcPr>
            <w:tcW w:w="85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8225DB" w:rsidRPr="000825FE" w:rsidP="000008FE">
            <w:pPr>
              <w:bidi w:val="0"/>
              <w:ind w:right="-46"/>
              <w:jc w:val="center"/>
              <w:rPr>
                <w:rFonts w:ascii="Times New Roman" w:hAnsi="Times New Roman"/>
                <w:b/>
                <w:sz w:val="16"/>
                <w:szCs w:val="16"/>
              </w:rPr>
            </w:pPr>
            <w:r w:rsidRPr="000825FE">
              <w:rPr>
                <w:rFonts w:ascii="Times New Roman" w:hAnsi="Times New Roman"/>
                <w:b/>
                <w:sz w:val="16"/>
                <w:szCs w:val="16"/>
              </w:rPr>
              <w:t xml:space="preserve"> 2013 S </w:t>
            </w:r>
          </w:p>
        </w:tc>
        <w:tc>
          <w:tcPr>
            <w:tcW w:w="851"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8225DB" w:rsidRPr="000825FE" w:rsidP="000008FE">
            <w:pPr>
              <w:bidi w:val="0"/>
              <w:ind w:right="-46"/>
              <w:jc w:val="center"/>
              <w:rPr>
                <w:rFonts w:ascii="Times New Roman" w:hAnsi="Times New Roman"/>
                <w:b/>
                <w:sz w:val="16"/>
                <w:szCs w:val="16"/>
              </w:rPr>
            </w:pPr>
            <w:r w:rsidRPr="000825FE">
              <w:rPr>
                <w:rFonts w:ascii="Times New Roman" w:hAnsi="Times New Roman"/>
                <w:b/>
                <w:sz w:val="16"/>
                <w:szCs w:val="16"/>
              </w:rPr>
              <w:t xml:space="preserve"> 2014 S </w:t>
            </w:r>
          </w:p>
        </w:tc>
        <w:tc>
          <w:tcPr>
            <w:tcW w:w="85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8225DB" w:rsidRPr="000825FE" w:rsidP="000008FE">
            <w:pPr>
              <w:bidi w:val="0"/>
              <w:ind w:right="-46"/>
              <w:jc w:val="center"/>
              <w:rPr>
                <w:rFonts w:ascii="Times New Roman" w:hAnsi="Times New Roman"/>
                <w:b/>
                <w:sz w:val="16"/>
                <w:szCs w:val="16"/>
              </w:rPr>
            </w:pPr>
            <w:r w:rsidRPr="000825FE">
              <w:rPr>
                <w:rFonts w:ascii="Times New Roman" w:hAnsi="Times New Roman"/>
                <w:b/>
                <w:sz w:val="16"/>
                <w:szCs w:val="16"/>
              </w:rPr>
              <w:t xml:space="preserve"> 2015 R </w:t>
            </w:r>
          </w:p>
        </w:tc>
        <w:tc>
          <w:tcPr>
            <w:tcW w:w="851"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8225DB" w:rsidRPr="000825FE" w:rsidP="000008FE">
            <w:pPr>
              <w:bidi w:val="0"/>
              <w:ind w:right="-46"/>
              <w:jc w:val="center"/>
              <w:rPr>
                <w:rFonts w:ascii="Times New Roman" w:hAnsi="Times New Roman"/>
                <w:b/>
                <w:sz w:val="16"/>
                <w:szCs w:val="16"/>
              </w:rPr>
            </w:pPr>
            <w:r w:rsidRPr="000825FE">
              <w:rPr>
                <w:rFonts w:ascii="Times New Roman" w:hAnsi="Times New Roman"/>
                <w:b/>
                <w:sz w:val="16"/>
                <w:szCs w:val="16"/>
              </w:rPr>
              <w:t>2015 OS</w:t>
            </w:r>
          </w:p>
        </w:tc>
        <w:tc>
          <w:tcPr>
            <w:tcW w:w="85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8225DB" w:rsidRPr="000825FE" w:rsidP="000008FE">
            <w:pPr>
              <w:bidi w:val="0"/>
              <w:ind w:right="-46"/>
              <w:jc w:val="center"/>
              <w:rPr>
                <w:rFonts w:ascii="Times New Roman" w:hAnsi="Times New Roman"/>
                <w:b/>
                <w:sz w:val="16"/>
                <w:szCs w:val="16"/>
              </w:rPr>
            </w:pPr>
            <w:r w:rsidRPr="000825FE">
              <w:rPr>
                <w:rFonts w:ascii="Times New Roman" w:hAnsi="Times New Roman"/>
                <w:b/>
                <w:sz w:val="16"/>
                <w:szCs w:val="16"/>
              </w:rPr>
              <w:t xml:space="preserve"> 2016 N</w:t>
            </w:r>
          </w:p>
        </w:tc>
        <w:tc>
          <w:tcPr>
            <w:tcW w:w="851" w:type="dxa"/>
            <w:tcBorders>
              <w:top w:val="single" w:sz="4" w:space="0" w:color="auto"/>
              <w:left w:val="nil"/>
              <w:bottom w:val="single" w:sz="4" w:space="0" w:color="auto"/>
              <w:right w:val="single" w:sz="4" w:space="0" w:color="auto"/>
            </w:tcBorders>
            <w:shd w:val="clear" w:color="000000" w:fill="A6A6A6"/>
            <w:textDirection w:val="lrTb"/>
            <w:vAlign w:val="center"/>
          </w:tcPr>
          <w:p w:rsidR="008225DB" w:rsidRPr="000825FE" w:rsidP="000008FE">
            <w:pPr>
              <w:bidi w:val="0"/>
              <w:ind w:right="-46"/>
              <w:jc w:val="center"/>
              <w:rPr>
                <w:rFonts w:ascii="Times New Roman" w:hAnsi="Times New Roman"/>
                <w:b/>
                <w:sz w:val="16"/>
                <w:szCs w:val="16"/>
              </w:rPr>
            </w:pPr>
            <w:r w:rsidRPr="000825FE">
              <w:rPr>
                <w:rFonts w:ascii="Times New Roman" w:hAnsi="Times New Roman"/>
                <w:b/>
                <w:sz w:val="16"/>
                <w:szCs w:val="16"/>
              </w:rPr>
              <w:t>2017 N</w:t>
            </w:r>
          </w:p>
        </w:tc>
        <w:tc>
          <w:tcPr>
            <w:tcW w:w="850" w:type="dxa"/>
            <w:tcBorders>
              <w:top w:val="single" w:sz="4" w:space="0" w:color="auto"/>
              <w:left w:val="nil"/>
              <w:bottom w:val="single" w:sz="4" w:space="0" w:color="auto"/>
              <w:right w:val="single" w:sz="4" w:space="0" w:color="auto"/>
            </w:tcBorders>
            <w:shd w:val="clear" w:color="000000" w:fill="A6A6A6"/>
            <w:textDirection w:val="lrTb"/>
            <w:vAlign w:val="center"/>
          </w:tcPr>
          <w:p w:rsidR="008225DB" w:rsidRPr="000825FE" w:rsidP="000008FE">
            <w:pPr>
              <w:bidi w:val="0"/>
              <w:ind w:right="-46"/>
              <w:jc w:val="center"/>
              <w:rPr>
                <w:rFonts w:ascii="Times New Roman" w:hAnsi="Times New Roman"/>
                <w:b/>
                <w:sz w:val="16"/>
                <w:szCs w:val="16"/>
              </w:rPr>
            </w:pPr>
            <w:r w:rsidRPr="000825FE">
              <w:rPr>
                <w:rFonts w:ascii="Times New Roman" w:hAnsi="Times New Roman"/>
                <w:b/>
                <w:sz w:val="16"/>
                <w:szCs w:val="16"/>
              </w:rPr>
              <w:t xml:space="preserve"> 2018 N</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8225DB" w:rsidRPr="000825FE" w:rsidP="000008FE">
            <w:pPr>
              <w:bidi w:val="0"/>
              <w:ind w:right="-46"/>
              <w:rPr>
                <w:rFonts w:ascii="Times New Roman" w:hAnsi="Times New Roman"/>
                <w:b/>
                <w:bCs/>
                <w:sz w:val="16"/>
                <w:szCs w:val="16"/>
              </w:rPr>
            </w:pPr>
            <w:r w:rsidRPr="000825FE">
              <w:rPr>
                <w:rFonts w:ascii="Times New Roman" w:hAnsi="Times New Roman"/>
                <w:b/>
                <w:bCs/>
                <w:sz w:val="16"/>
                <w:szCs w:val="16"/>
              </w:rPr>
              <w:t>Príjmy SPF spolu</w:t>
            </w:r>
          </w:p>
        </w:tc>
        <w:tc>
          <w:tcPr>
            <w:tcW w:w="850" w:type="dxa"/>
            <w:tcBorders>
              <w:top w:val="nil"/>
              <w:left w:val="nil"/>
              <w:bottom w:val="single" w:sz="4" w:space="0" w:color="auto"/>
              <w:right w:val="single" w:sz="4" w:space="0" w:color="auto"/>
            </w:tcBorders>
            <w:shd w:val="clear" w:color="000000" w:fill="C0C0C0"/>
            <w:noWrap/>
            <w:textDirection w:val="lrTb"/>
            <w:vAlign w:val="center"/>
            <w:hideMark/>
          </w:tcPr>
          <w:p w:rsidR="008225DB" w:rsidRPr="000825FE" w:rsidP="000008FE">
            <w:pPr>
              <w:bidi w:val="0"/>
              <w:ind w:right="-46"/>
              <w:jc w:val="right"/>
              <w:rPr>
                <w:rFonts w:ascii="Times New Roman" w:hAnsi="Times New Roman"/>
                <w:b/>
                <w:bCs/>
                <w:sz w:val="16"/>
                <w:szCs w:val="16"/>
              </w:rPr>
            </w:pPr>
            <w:r w:rsidRPr="000825FE">
              <w:rPr>
                <w:rFonts w:ascii="Times New Roman" w:hAnsi="Times New Roman"/>
                <w:b/>
                <w:bCs/>
                <w:sz w:val="16"/>
                <w:szCs w:val="16"/>
              </w:rPr>
              <w:t>44 130</w:t>
            </w:r>
          </w:p>
        </w:tc>
        <w:tc>
          <w:tcPr>
            <w:tcW w:w="851" w:type="dxa"/>
            <w:tcBorders>
              <w:top w:val="nil"/>
              <w:left w:val="nil"/>
              <w:bottom w:val="single" w:sz="4" w:space="0" w:color="auto"/>
              <w:right w:val="single" w:sz="4" w:space="0" w:color="auto"/>
            </w:tcBorders>
            <w:shd w:val="clear" w:color="000000" w:fill="C0C0C0"/>
            <w:noWrap/>
            <w:textDirection w:val="lrTb"/>
            <w:vAlign w:val="center"/>
            <w:hideMark/>
          </w:tcPr>
          <w:p w:rsidR="008225DB" w:rsidRPr="000825FE" w:rsidP="000008FE">
            <w:pPr>
              <w:bidi w:val="0"/>
              <w:ind w:right="-46"/>
              <w:jc w:val="right"/>
              <w:rPr>
                <w:rFonts w:ascii="Times New Roman" w:hAnsi="Times New Roman"/>
                <w:b/>
                <w:bCs/>
                <w:sz w:val="16"/>
                <w:szCs w:val="16"/>
              </w:rPr>
            </w:pPr>
            <w:r w:rsidRPr="000825FE">
              <w:rPr>
                <w:rFonts w:ascii="Times New Roman" w:hAnsi="Times New Roman"/>
                <w:b/>
                <w:bCs/>
                <w:sz w:val="16"/>
                <w:szCs w:val="16"/>
              </w:rPr>
              <w:t>53 230</w:t>
            </w:r>
          </w:p>
        </w:tc>
        <w:tc>
          <w:tcPr>
            <w:tcW w:w="850" w:type="dxa"/>
            <w:tcBorders>
              <w:top w:val="nil"/>
              <w:left w:val="nil"/>
              <w:bottom w:val="single" w:sz="4" w:space="0" w:color="auto"/>
              <w:right w:val="single" w:sz="4" w:space="0" w:color="auto"/>
            </w:tcBorders>
            <w:shd w:val="clear" w:color="000000" w:fill="C0C0C0"/>
            <w:noWrap/>
            <w:textDirection w:val="lrTb"/>
            <w:vAlign w:val="center"/>
            <w:hideMark/>
          </w:tcPr>
          <w:p w:rsidR="008225DB" w:rsidRPr="000825FE" w:rsidP="000008FE">
            <w:pPr>
              <w:bidi w:val="0"/>
              <w:ind w:right="-46"/>
              <w:jc w:val="right"/>
              <w:rPr>
                <w:rFonts w:ascii="Times New Roman" w:hAnsi="Times New Roman"/>
                <w:b/>
                <w:bCs/>
                <w:sz w:val="16"/>
                <w:szCs w:val="16"/>
              </w:rPr>
            </w:pPr>
            <w:r w:rsidRPr="000825FE">
              <w:rPr>
                <w:rFonts w:ascii="Times New Roman" w:hAnsi="Times New Roman"/>
                <w:b/>
                <w:bCs/>
                <w:sz w:val="16"/>
                <w:szCs w:val="16"/>
              </w:rPr>
              <w:t>22 651</w:t>
            </w:r>
          </w:p>
        </w:tc>
        <w:tc>
          <w:tcPr>
            <w:tcW w:w="851" w:type="dxa"/>
            <w:tcBorders>
              <w:top w:val="nil"/>
              <w:left w:val="nil"/>
              <w:bottom w:val="single" w:sz="4" w:space="0" w:color="auto"/>
              <w:right w:val="single" w:sz="4" w:space="0" w:color="auto"/>
            </w:tcBorders>
            <w:shd w:val="clear" w:color="000000" w:fill="C0C0C0"/>
            <w:noWrap/>
            <w:textDirection w:val="lrTb"/>
            <w:vAlign w:val="center"/>
            <w:hideMark/>
          </w:tcPr>
          <w:p w:rsidR="008225DB" w:rsidRPr="000825FE" w:rsidP="000008FE">
            <w:pPr>
              <w:bidi w:val="0"/>
              <w:ind w:right="-46"/>
              <w:jc w:val="right"/>
              <w:rPr>
                <w:rFonts w:ascii="Times New Roman" w:hAnsi="Times New Roman"/>
                <w:b/>
                <w:bCs/>
                <w:sz w:val="16"/>
                <w:szCs w:val="16"/>
              </w:rPr>
            </w:pPr>
            <w:r w:rsidRPr="000825FE">
              <w:rPr>
                <w:rFonts w:ascii="Times New Roman" w:hAnsi="Times New Roman"/>
                <w:b/>
                <w:bCs/>
                <w:sz w:val="16"/>
                <w:szCs w:val="16"/>
              </w:rPr>
              <w:t>48 000</w:t>
            </w:r>
          </w:p>
        </w:tc>
        <w:tc>
          <w:tcPr>
            <w:tcW w:w="850" w:type="dxa"/>
            <w:tcBorders>
              <w:top w:val="nil"/>
              <w:left w:val="nil"/>
              <w:bottom w:val="single" w:sz="4" w:space="0" w:color="auto"/>
              <w:right w:val="single" w:sz="4" w:space="0" w:color="auto"/>
            </w:tcBorders>
            <w:shd w:val="clear" w:color="000000" w:fill="C0C0C0"/>
            <w:noWrap/>
            <w:textDirection w:val="lrTb"/>
            <w:vAlign w:val="center"/>
            <w:hideMark/>
          </w:tcPr>
          <w:p w:rsidR="008225DB" w:rsidRPr="000825FE" w:rsidP="000008FE">
            <w:pPr>
              <w:bidi w:val="0"/>
              <w:ind w:right="-46"/>
              <w:jc w:val="right"/>
              <w:rPr>
                <w:rFonts w:ascii="Times New Roman" w:hAnsi="Times New Roman"/>
                <w:b/>
                <w:bCs/>
                <w:sz w:val="16"/>
                <w:szCs w:val="16"/>
              </w:rPr>
            </w:pPr>
            <w:r w:rsidRPr="000825FE">
              <w:rPr>
                <w:rFonts w:ascii="Times New Roman" w:hAnsi="Times New Roman"/>
                <w:b/>
                <w:bCs/>
                <w:sz w:val="16"/>
                <w:szCs w:val="16"/>
              </w:rPr>
              <w:t>24 062</w:t>
            </w:r>
          </w:p>
        </w:tc>
        <w:tc>
          <w:tcPr>
            <w:tcW w:w="851" w:type="dxa"/>
            <w:tcBorders>
              <w:top w:val="nil"/>
              <w:left w:val="nil"/>
              <w:bottom w:val="single" w:sz="4" w:space="0" w:color="auto"/>
              <w:right w:val="single" w:sz="4" w:space="0" w:color="auto"/>
            </w:tcBorders>
            <w:shd w:val="clear" w:color="000000" w:fill="C0C0C0"/>
            <w:textDirection w:val="lrTb"/>
            <w:vAlign w:val="center"/>
          </w:tcPr>
          <w:p w:rsidR="008225DB" w:rsidRPr="000825FE" w:rsidP="000008FE">
            <w:pPr>
              <w:bidi w:val="0"/>
              <w:ind w:right="-46"/>
              <w:jc w:val="right"/>
              <w:rPr>
                <w:rFonts w:ascii="Times New Roman" w:hAnsi="Times New Roman"/>
                <w:b/>
                <w:bCs/>
                <w:sz w:val="16"/>
                <w:szCs w:val="16"/>
              </w:rPr>
            </w:pPr>
            <w:r w:rsidRPr="000825FE">
              <w:rPr>
                <w:rFonts w:ascii="Times New Roman" w:hAnsi="Times New Roman"/>
                <w:b/>
                <w:bCs/>
                <w:sz w:val="16"/>
                <w:szCs w:val="16"/>
              </w:rPr>
              <w:t>23 085</w:t>
            </w:r>
          </w:p>
        </w:tc>
        <w:tc>
          <w:tcPr>
            <w:tcW w:w="850" w:type="dxa"/>
            <w:tcBorders>
              <w:top w:val="nil"/>
              <w:left w:val="nil"/>
              <w:bottom w:val="single" w:sz="4" w:space="0" w:color="auto"/>
              <w:right w:val="single" w:sz="4" w:space="0" w:color="auto"/>
            </w:tcBorders>
            <w:shd w:val="clear" w:color="000000" w:fill="C0C0C0"/>
            <w:textDirection w:val="lrTb"/>
            <w:vAlign w:val="center"/>
          </w:tcPr>
          <w:p w:rsidR="008225DB" w:rsidRPr="000825FE" w:rsidP="000008FE">
            <w:pPr>
              <w:bidi w:val="0"/>
              <w:ind w:right="-46"/>
              <w:jc w:val="right"/>
              <w:rPr>
                <w:rFonts w:ascii="Times New Roman" w:hAnsi="Times New Roman"/>
                <w:b/>
                <w:bCs/>
                <w:sz w:val="16"/>
                <w:szCs w:val="16"/>
              </w:rPr>
            </w:pPr>
            <w:r w:rsidRPr="000825FE">
              <w:rPr>
                <w:rFonts w:ascii="Times New Roman" w:hAnsi="Times New Roman"/>
                <w:b/>
                <w:bCs/>
                <w:sz w:val="16"/>
                <w:szCs w:val="16"/>
              </w:rPr>
              <w:t>22 985</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noWrap/>
            <w:textDirection w:val="lrTb"/>
            <w:vAlign w:val="center"/>
          </w:tcPr>
          <w:p w:rsidR="008225DB" w:rsidRPr="000825FE" w:rsidP="000008FE">
            <w:pPr>
              <w:bidi w:val="0"/>
              <w:ind w:right="-46"/>
              <w:rPr>
                <w:rFonts w:ascii="Times New Roman" w:hAnsi="Times New Roman"/>
                <w:b/>
                <w:sz w:val="16"/>
                <w:szCs w:val="16"/>
              </w:rPr>
            </w:pPr>
            <w:r w:rsidRPr="000825FE">
              <w:rPr>
                <w:rFonts w:ascii="Times New Roman" w:hAnsi="Times New Roman"/>
                <w:b/>
                <w:sz w:val="16"/>
                <w:szCs w:val="16"/>
              </w:rPr>
              <w:t>z toho:</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noWrap/>
            <w:textDirection w:val="lrTb"/>
            <w:vAlign w:val="center"/>
            <w:hideMark/>
          </w:tcPr>
          <w:p w:rsidR="008225DB" w:rsidRPr="000825FE" w:rsidP="000008FE">
            <w:pPr>
              <w:bidi w:val="0"/>
              <w:ind w:right="-46"/>
              <w:rPr>
                <w:rFonts w:ascii="Times New Roman" w:hAnsi="Times New Roman"/>
                <w:sz w:val="16"/>
                <w:szCs w:val="16"/>
              </w:rPr>
            </w:pPr>
            <w:r w:rsidRPr="000825FE">
              <w:rPr>
                <w:rFonts w:ascii="Times New Roman" w:hAnsi="Times New Roman"/>
                <w:sz w:val="16"/>
                <w:szCs w:val="16"/>
              </w:rPr>
              <w:t xml:space="preserve">    ▪   nedaňové príjmy, z toho:</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24 509</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33 818</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22 651</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25 943</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24 062</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23 085</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22 985</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noWrap/>
            <w:textDirection w:val="lrTb"/>
            <w:vAlign w:val="center"/>
            <w:hideMark/>
          </w:tcPr>
          <w:p w:rsidR="008225DB" w:rsidRPr="000825FE" w:rsidP="000008FE">
            <w:pPr>
              <w:bidi w:val="0"/>
              <w:ind w:left="229" w:right="-46"/>
              <w:rPr>
                <w:rFonts w:ascii="Times New Roman" w:hAnsi="Times New Roman"/>
                <w:sz w:val="16"/>
                <w:szCs w:val="16"/>
              </w:rPr>
            </w:pPr>
            <w:r w:rsidRPr="000825FE">
              <w:rPr>
                <w:rFonts w:ascii="Times New Roman" w:hAnsi="Times New Roman"/>
                <w:sz w:val="16"/>
                <w:szCs w:val="16"/>
              </w:rPr>
              <w:t xml:space="preserve">        príjmy z podnikania a z vlast. majetku</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11 623</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14 484</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12 560</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12 560</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12 683</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12 715</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12 615</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textDirection w:val="lrTb"/>
            <w:vAlign w:val="center"/>
            <w:hideMark/>
          </w:tcPr>
          <w:p w:rsidR="008225DB" w:rsidRPr="000825FE" w:rsidP="00DE4191">
            <w:pPr>
              <w:bidi w:val="0"/>
              <w:ind w:left="229" w:right="-46"/>
              <w:rPr>
                <w:rFonts w:ascii="Times New Roman" w:hAnsi="Times New Roman"/>
                <w:sz w:val="16"/>
                <w:szCs w:val="16"/>
              </w:rPr>
            </w:pPr>
            <w:r w:rsidRPr="000825FE">
              <w:rPr>
                <w:rFonts w:ascii="Times New Roman" w:hAnsi="Times New Roman"/>
                <w:sz w:val="16"/>
                <w:szCs w:val="16"/>
              </w:rPr>
              <w:t xml:space="preserve">        </w:t>
            </w:r>
            <w:r w:rsidR="00DE4191">
              <w:rPr>
                <w:rFonts w:ascii="Times New Roman" w:hAnsi="Times New Roman"/>
                <w:sz w:val="16"/>
                <w:szCs w:val="16"/>
              </w:rPr>
              <w:t>a</w:t>
            </w:r>
            <w:r w:rsidRPr="000825FE">
              <w:rPr>
                <w:rFonts w:ascii="Times New Roman" w:hAnsi="Times New Roman"/>
                <w:sz w:val="16"/>
                <w:szCs w:val="16"/>
              </w:rPr>
              <w:t>dmin. popl. a iné popl. a platby</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126</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85</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160</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160</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160</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160</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160</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noWrap/>
            <w:textDirection w:val="lrTb"/>
            <w:vAlign w:val="center"/>
            <w:hideMark/>
          </w:tcPr>
          <w:p w:rsidR="008225DB" w:rsidRPr="000825FE" w:rsidP="000008FE">
            <w:pPr>
              <w:bidi w:val="0"/>
              <w:ind w:left="229" w:right="-46"/>
              <w:rPr>
                <w:rFonts w:ascii="Times New Roman" w:hAnsi="Times New Roman"/>
                <w:sz w:val="16"/>
                <w:szCs w:val="16"/>
              </w:rPr>
            </w:pPr>
            <w:r w:rsidRPr="000825FE">
              <w:rPr>
                <w:rFonts w:ascii="Times New Roman" w:hAnsi="Times New Roman"/>
                <w:sz w:val="16"/>
                <w:szCs w:val="16"/>
              </w:rPr>
              <w:t xml:space="preserve">        kapitálové príjmy </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11 895</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18 269</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9 085</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12 220</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10 529</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9 520</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9 520</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noWrap/>
            <w:textDirection w:val="lrTb"/>
            <w:vAlign w:val="center"/>
            <w:hideMark/>
          </w:tcPr>
          <w:p w:rsidR="008225DB" w:rsidRPr="000825FE" w:rsidP="000008FE">
            <w:pPr>
              <w:bidi w:val="0"/>
              <w:ind w:left="229" w:right="-46"/>
              <w:rPr>
                <w:rFonts w:ascii="Times New Roman" w:hAnsi="Times New Roman"/>
                <w:sz w:val="16"/>
                <w:szCs w:val="16"/>
              </w:rPr>
            </w:pPr>
            <w:r w:rsidRPr="000825FE">
              <w:rPr>
                <w:rFonts w:ascii="Times New Roman" w:hAnsi="Times New Roman"/>
                <w:sz w:val="16"/>
                <w:szCs w:val="16"/>
              </w:rPr>
              <w:t xml:space="preserve">        úroky z tuz. úverov, pôž., NFV  </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245</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353</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216</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503</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190</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190</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190</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noWrap/>
            <w:textDirection w:val="lrTb"/>
            <w:vAlign w:val="center"/>
            <w:hideMark/>
          </w:tcPr>
          <w:p w:rsidR="008225DB" w:rsidRPr="000825FE" w:rsidP="000008FE">
            <w:pPr>
              <w:bidi w:val="0"/>
              <w:ind w:left="229" w:right="-46"/>
              <w:rPr>
                <w:rFonts w:ascii="Times New Roman" w:hAnsi="Times New Roman"/>
                <w:sz w:val="16"/>
                <w:szCs w:val="16"/>
              </w:rPr>
            </w:pPr>
            <w:r w:rsidRPr="000825FE">
              <w:rPr>
                <w:rFonts w:ascii="Times New Roman" w:hAnsi="Times New Roman"/>
                <w:sz w:val="16"/>
                <w:szCs w:val="16"/>
              </w:rPr>
              <w:t xml:space="preserve">        iné nedaňové príjmy</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620</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627</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630</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500</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500</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500</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500</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textDirection w:val="lrTb"/>
            <w:vAlign w:val="center"/>
            <w:hideMark/>
          </w:tcPr>
          <w:p w:rsidR="008225DB" w:rsidRPr="000825FE" w:rsidP="000008FE">
            <w:pPr>
              <w:bidi w:val="0"/>
              <w:ind w:right="-46"/>
              <w:rPr>
                <w:rFonts w:ascii="Times New Roman" w:hAnsi="Times New Roman"/>
                <w:sz w:val="16"/>
                <w:szCs w:val="16"/>
              </w:rPr>
            </w:pPr>
            <w:r w:rsidRPr="000825FE">
              <w:rPr>
                <w:rFonts w:ascii="Times New Roman" w:hAnsi="Times New Roman"/>
                <w:sz w:val="16"/>
                <w:szCs w:val="16"/>
              </w:rPr>
              <w:t xml:space="preserve">    ▪   príjmy z trans. s fin. akt. a pas.(FO), z toho:  </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19 621</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19 412</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22 057</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textDirection w:val="lrTb"/>
            <w:vAlign w:val="center"/>
          </w:tcPr>
          <w:p w:rsidR="008225DB" w:rsidRPr="000825FE" w:rsidP="000008FE">
            <w:pPr>
              <w:bidi w:val="0"/>
              <w:ind w:left="229" w:right="-46"/>
              <w:rPr>
                <w:rFonts w:ascii="Times New Roman" w:hAnsi="Times New Roman"/>
                <w:sz w:val="16"/>
                <w:szCs w:val="16"/>
              </w:rPr>
            </w:pPr>
            <w:r w:rsidRPr="000825FE">
              <w:rPr>
                <w:rFonts w:ascii="Times New Roman" w:hAnsi="Times New Roman"/>
                <w:sz w:val="16"/>
                <w:szCs w:val="16"/>
              </w:rPr>
              <w:t xml:space="preserve">        príjmy z predaja maj. účasti (FO)</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textDirection w:val="lrTb"/>
            <w:vAlign w:val="center"/>
            <w:hideMark/>
          </w:tcPr>
          <w:p w:rsidR="008225DB" w:rsidRPr="000825FE" w:rsidP="000008FE">
            <w:pPr>
              <w:bidi w:val="0"/>
              <w:ind w:left="229" w:right="-46"/>
              <w:rPr>
                <w:rFonts w:ascii="Times New Roman" w:hAnsi="Times New Roman"/>
                <w:sz w:val="16"/>
                <w:szCs w:val="16"/>
              </w:rPr>
            </w:pPr>
            <w:r w:rsidRPr="000825FE">
              <w:rPr>
                <w:rFonts w:ascii="Times New Roman" w:hAnsi="Times New Roman"/>
                <w:sz w:val="16"/>
                <w:szCs w:val="16"/>
              </w:rPr>
              <w:t xml:space="preserve">        príjmy z privatizácie (FO)</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141</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159</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textDirection w:val="lrTb"/>
            <w:vAlign w:val="center"/>
            <w:hideMark/>
          </w:tcPr>
          <w:p w:rsidR="008225DB" w:rsidRPr="000825FE" w:rsidP="000008FE">
            <w:pPr>
              <w:bidi w:val="0"/>
              <w:ind w:left="229" w:right="-46"/>
              <w:rPr>
                <w:rFonts w:ascii="Times New Roman" w:hAnsi="Times New Roman"/>
                <w:sz w:val="16"/>
                <w:szCs w:val="16"/>
              </w:rPr>
            </w:pPr>
            <w:r w:rsidRPr="000825FE">
              <w:rPr>
                <w:rFonts w:ascii="Times New Roman" w:hAnsi="Times New Roman"/>
                <w:sz w:val="16"/>
                <w:szCs w:val="16"/>
              </w:rPr>
              <w:t xml:space="preserve">        zost. prostr. z predch. roka (FO) </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9 117</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6 941</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10 022</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textDirection w:val="lrTb"/>
            <w:vAlign w:val="center"/>
            <w:hideMark/>
          </w:tcPr>
          <w:p w:rsidR="008225DB" w:rsidRPr="000825FE" w:rsidP="000008FE">
            <w:pPr>
              <w:bidi w:val="0"/>
              <w:ind w:left="229" w:right="-46"/>
              <w:rPr>
                <w:rFonts w:ascii="Times New Roman" w:hAnsi="Times New Roman"/>
                <w:sz w:val="16"/>
                <w:szCs w:val="16"/>
              </w:rPr>
            </w:pPr>
            <w:r w:rsidRPr="000825FE">
              <w:rPr>
                <w:rFonts w:ascii="Times New Roman" w:hAnsi="Times New Roman"/>
                <w:sz w:val="16"/>
                <w:szCs w:val="16"/>
              </w:rPr>
              <w:t xml:space="preserve">        iné príjmové FO </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10 362</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12 312</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 xml:space="preserve">12 035 </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8225DB" w:rsidRPr="000825FE" w:rsidP="000008FE">
            <w:pPr>
              <w:bidi w:val="0"/>
              <w:ind w:right="-46"/>
              <w:rPr>
                <w:rFonts w:ascii="Times New Roman" w:hAnsi="Times New Roman"/>
                <w:b/>
                <w:sz w:val="16"/>
                <w:szCs w:val="16"/>
              </w:rPr>
            </w:pPr>
            <w:r w:rsidRPr="000825FE">
              <w:rPr>
                <w:rFonts w:ascii="Times New Roman" w:hAnsi="Times New Roman"/>
                <w:b/>
                <w:sz w:val="16"/>
                <w:szCs w:val="16"/>
              </w:rPr>
              <w:t>Výdavky SPF spolu</w:t>
            </w:r>
          </w:p>
        </w:tc>
        <w:tc>
          <w:tcPr>
            <w:tcW w:w="850" w:type="dxa"/>
            <w:tcBorders>
              <w:top w:val="nil"/>
              <w:left w:val="nil"/>
              <w:bottom w:val="single" w:sz="4" w:space="0" w:color="auto"/>
              <w:right w:val="single" w:sz="4" w:space="0" w:color="auto"/>
            </w:tcBorders>
            <w:shd w:val="clear" w:color="000000" w:fill="C0C0C0"/>
            <w:noWrap/>
            <w:textDirection w:val="lrTb"/>
            <w:vAlign w:val="center"/>
            <w:hideMark/>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15 271</w:t>
            </w:r>
          </w:p>
        </w:tc>
        <w:tc>
          <w:tcPr>
            <w:tcW w:w="851" w:type="dxa"/>
            <w:tcBorders>
              <w:top w:val="nil"/>
              <w:left w:val="nil"/>
              <w:bottom w:val="single" w:sz="4" w:space="0" w:color="auto"/>
              <w:right w:val="single" w:sz="4" w:space="0" w:color="auto"/>
            </w:tcBorders>
            <w:shd w:val="clear" w:color="000000" w:fill="C0C0C0"/>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19 475</w:t>
            </w:r>
          </w:p>
        </w:tc>
        <w:tc>
          <w:tcPr>
            <w:tcW w:w="850" w:type="dxa"/>
            <w:tcBorders>
              <w:top w:val="nil"/>
              <w:left w:val="nil"/>
              <w:bottom w:val="single" w:sz="4" w:space="0" w:color="auto"/>
              <w:right w:val="single" w:sz="4" w:space="0" w:color="auto"/>
            </w:tcBorders>
            <w:shd w:val="clear" w:color="000000" w:fill="C0C0C0"/>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16 244</w:t>
            </w:r>
          </w:p>
        </w:tc>
        <w:tc>
          <w:tcPr>
            <w:tcW w:w="851" w:type="dxa"/>
            <w:tcBorders>
              <w:top w:val="nil"/>
              <w:left w:val="nil"/>
              <w:bottom w:val="single" w:sz="4" w:space="0" w:color="auto"/>
              <w:right w:val="single" w:sz="4" w:space="0" w:color="auto"/>
            </w:tcBorders>
            <w:shd w:val="clear" w:color="000000" w:fill="C0C0C0"/>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43 615</w:t>
            </w:r>
          </w:p>
        </w:tc>
        <w:tc>
          <w:tcPr>
            <w:tcW w:w="850" w:type="dxa"/>
            <w:tcBorders>
              <w:top w:val="nil"/>
              <w:left w:val="nil"/>
              <w:bottom w:val="single" w:sz="4" w:space="0" w:color="auto"/>
              <w:right w:val="single" w:sz="4" w:space="0" w:color="auto"/>
            </w:tcBorders>
            <w:shd w:val="clear" w:color="000000" w:fill="C0C0C0"/>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15 948</w:t>
            </w:r>
          </w:p>
        </w:tc>
        <w:tc>
          <w:tcPr>
            <w:tcW w:w="851" w:type="dxa"/>
            <w:tcBorders>
              <w:top w:val="nil"/>
              <w:left w:val="nil"/>
              <w:bottom w:val="single" w:sz="4" w:space="0" w:color="auto"/>
              <w:right w:val="single" w:sz="4" w:space="0" w:color="auto"/>
            </w:tcBorders>
            <w:shd w:val="clear" w:color="000000" w:fill="C0C0C0"/>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15 961</w:t>
            </w:r>
          </w:p>
        </w:tc>
        <w:tc>
          <w:tcPr>
            <w:tcW w:w="850" w:type="dxa"/>
            <w:tcBorders>
              <w:top w:val="nil"/>
              <w:left w:val="nil"/>
              <w:bottom w:val="single" w:sz="4" w:space="0" w:color="auto"/>
              <w:right w:val="single" w:sz="4" w:space="0" w:color="auto"/>
            </w:tcBorders>
            <w:shd w:val="clear" w:color="000000" w:fill="C0C0C0"/>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14 411</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textDirection w:val="lrTb"/>
            <w:vAlign w:val="center"/>
          </w:tcPr>
          <w:p w:rsidR="008225DB" w:rsidRPr="000825FE" w:rsidP="000008FE">
            <w:pPr>
              <w:bidi w:val="0"/>
              <w:ind w:right="-46"/>
              <w:rPr>
                <w:rFonts w:ascii="Times New Roman" w:hAnsi="Times New Roman"/>
                <w:sz w:val="16"/>
                <w:szCs w:val="16"/>
              </w:rPr>
            </w:pPr>
            <w:r w:rsidRPr="000825FE">
              <w:rPr>
                <w:rFonts w:ascii="Times New Roman" w:hAnsi="Times New Roman"/>
                <w:b/>
                <w:sz w:val="16"/>
                <w:szCs w:val="16"/>
              </w:rPr>
              <w:t>z toho:</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textDirection w:val="lrTb"/>
            <w:vAlign w:val="center"/>
            <w:hideMark/>
          </w:tcPr>
          <w:p w:rsidR="008225DB" w:rsidRPr="000825FE" w:rsidP="000008FE">
            <w:pPr>
              <w:bidi w:val="0"/>
              <w:ind w:right="-46"/>
              <w:rPr>
                <w:rFonts w:ascii="Times New Roman" w:hAnsi="Times New Roman"/>
                <w:sz w:val="16"/>
                <w:szCs w:val="16"/>
              </w:rPr>
            </w:pPr>
            <w:r w:rsidRPr="000825FE">
              <w:rPr>
                <w:rFonts w:ascii="Times New Roman" w:hAnsi="Times New Roman"/>
                <w:sz w:val="16"/>
                <w:szCs w:val="16"/>
              </w:rPr>
              <w:t xml:space="preserve">    ▪   bežné výdavky, z toho:</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13 676</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15 584</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15 865</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38 315</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15 527</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15 519</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13 964</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textDirection w:val="lrTb"/>
            <w:vAlign w:val="center"/>
            <w:hideMark/>
          </w:tcPr>
          <w:p w:rsidR="008225DB" w:rsidRPr="000825FE" w:rsidP="000008FE">
            <w:pPr>
              <w:bidi w:val="0"/>
              <w:ind w:left="371" w:right="-46" w:hanging="142"/>
              <w:rPr>
                <w:rFonts w:ascii="Times New Roman" w:hAnsi="Times New Roman"/>
                <w:sz w:val="16"/>
                <w:szCs w:val="16"/>
              </w:rPr>
            </w:pPr>
            <w:r w:rsidRPr="000825FE">
              <w:rPr>
                <w:rFonts w:ascii="Times New Roman" w:hAnsi="Times New Roman"/>
                <w:sz w:val="16"/>
                <w:szCs w:val="16"/>
              </w:rPr>
              <w:t xml:space="preserve">         mzdy a odvody</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 xml:space="preserve">5 470 </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 xml:space="preserve">5 139 </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5 232</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5 232</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5 404</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5 404</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5 404</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textDirection w:val="lrTb"/>
            <w:vAlign w:val="center"/>
            <w:hideMark/>
          </w:tcPr>
          <w:p w:rsidR="008225DB" w:rsidRPr="000825FE" w:rsidP="000008FE">
            <w:pPr>
              <w:bidi w:val="0"/>
              <w:ind w:left="371" w:right="-46" w:hanging="142"/>
              <w:rPr>
                <w:rFonts w:ascii="Times New Roman" w:hAnsi="Times New Roman"/>
                <w:sz w:val="16"/>
                <w:szCs w:val="16"/>
              </w:rPr>
            </w:pPr>
            <w:r w:rsidRPr="000825FE">
              <w:rPr>
                <w:rFonts w:ascii="Times New Roman" w:hAnsi="Times New Roman"/>
                <w:sz w:val="16"/>
                <w:szCs w:val="16"/>
              </w:rPr>
              <w:t xml:space="preserve">         tovary a služby</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4 012</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4 195</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 xml:space="preserve">3 941 </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 xml:space="preserve">5 836 </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 xml:space="preserve">4 416 </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4 408</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4 353</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textDirection w:val="lrTb"/>
            <w:vAlign w:val="center"/>
            <w:hideMark/>
          </w:tcPr>
          <w:p w:rsidR="008225DB" w:rsidRPr="000825FE" w:rsidP="000008FE">
            <w:pPr>
              <w:bidi w:val="0"/>
              <w:ind w:left="371" w:right="-46" w:hanging="142"/>
              <w:rPr>
                <w:rFonts w:ascii="Times New Roman" w:hAnsi="Times New Roman"/>
                <w:sz w:val="16"/>
                <w:szCs w:val="16"/>
              </w:rPr>
            </w:pPr>
            <w:r w:rsidRPr="000825FE">
              <w:rPr>
                <w:rFonts w:ascii="Times New Roman" w:hAnsi="Times New Roman"/>
                <w:sz w:val="16"/>
                <w:szCs w:val="16"/>
              </w:rPr>
              <w:t xml:space="preserve">         bežné transfery (reštit. a fin. náhrady)</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4 194</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6 250</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6 692</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27 247</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5 707</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5 707</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4 207</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noWrap/>
            <w:textDirection w:val="lrTb"/>
            <w:vAlign w:val="center"/>
            <w:hideMark/>
          </w:tcPr>
          <w:p w:rsidR="008225DB" w:rsidRPr="000825FE" w:rsidP="000008FE">
            <w:pPr>
              <w:bidi w:val="0"/>
              <w:ind w:right="-46"/>
              <w:rPr>
                <w:rFonts w:ascii="Times New Roman" w:hAnsi="Times New Roman"/>
                <w:sz w:val="16"/>
                <w:szCs w:val="16"/>
              </w:rPr>
            </w:pPr>
            <w:r w:rsidRPr="000825FE">
              <w:rPr>
                <w:rFonts w:ascii="Times New Roman" w:hAnsi="Times New Roman"/>
                <w:sz w:val="16"/>
                <w:szCs w:val="16"/>
              </w:rPr>
              <w:t xml:space="preserve">    ▪   kapitálové výdavky </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268</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296</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379</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400</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421</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442</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447</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noWrap/>
            <w:textDirection w:val="lrTb"/>
            <w:vAlign w:val="center"/>
            <w:hideMark/>
          </w:tcPr>
          <w:p w:rsidR="008225DB" w:rsidRPr="000825FE" w:rsidP="000008FE">
            <w:pPr>
              <w:bidi w:val="0"/>
              <w:ind w:right="-46"/>
              <w:rPr>
                <w:rFonts w:ascii="Times New Roman" w:hAnsi="Times New Roman"/>
                <w:sz w:val="16"/>
                <w:szCs w:val="16"/>
              </w:rPr>
            </w:pPr>
            <w:r w:rsidRPr="000825FE">
              <w:rPr>
                <w:rFonts w:ascii="Times New Roman" w:hAnsi="Times New Roman"/>
                <w:sz w:val="16"/>
                <w:szCs w:val="16"/>
              </w:rPr>
              <w:t xml:space="preserve">    ▪   ostatné výdavkové finančné operácie (FO)</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1 327</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3 595</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4 900</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8225DB" w:rsidRPr="000825FE" w:rsidP="000008FE">
            <w:pPr>
              <w:bidi w:val="0"/>
              <w:ind w:right="-46"/>
              <w:rPr>
                <w:rFonts w:ascii="Times New Roman" w:hAnsi="Times New Roman"/>
                <w:b/>
                <w:sz w:val="16"/>
                <w:szCs w:val="16"/>
              </w:rPr>
            </w:pPr>
            <w:r w:rsidRPr="000825FE">
              <w:rPr>
                <w:rFonts w:ascii="Times New Roman" w:hAnsi="Times New Roman"/>
                <w:b/>
                <w:sz w:val="16"/>
                <w:szCs w:val="16"/>
              </w:rPr>
              <w:t>Celková bilancia SPF</w:t>
            </w:r>
          </w:p>
        </w:tc>
        <w:tc>
          <w:tcPr>
            <w:tcW w:w="850" w:type="dxa"/>
            <w:tcBorders>
              <w:top w:val="nil"/>
              <w:left w:val="nil"/>
              <w:bottom w:val="single" w:sz="4" w:space="0" w:color="auto"/>
              <w:right w:val="single" w:sz="4" w:space="0" w:color="auto"/>
            </w:tcBorders>
            <w:shd w:val="clear" w:color="000000" w:fill="C0C0C0"/>
            <w:noWrap/>
            <w:textDirection w:val="lrTb"/>
            <w:vAlign w:val="center"/>
            <w:hideMark/>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28 859</w:t>
            </w:r>
          </w:p>
        </w:tc>
        <w:tc>
          <w:tcPr>
            <w:tcW w:w="851" w:type="dxa"/>
            <w:tcBorders>
              <w:top w:val="nil"/>
              <w:left w:val="nil"/>
              <w:bottom w:val="single" w:sz="4" w:space="0" w:color="auto"/>
              <w:right w:val="single" w:sz="4" w:space="0" w:color="auto"/>
            </w:tcBorders>
            <w:shd w:val="clear" w:color="000000" w:fill="C0C0C0"/>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33 755</w:t>
            </w:r>
          </w:p>
        </w:tc>
        <w:tc>
          <w:tcPr>
            <w:tcW w:w="850" w:type="dxa"/>
            <w:tcBorders>
              <w:top w:val="nil"/>
              <w:left w:val="nil"/>
              <w:bottom w:val="single" w:sz="4" w:space="0" w:color="auto"/>
              <w:right w:val="single" w:sz="4" w:space="0" w:color="auto"/>
            </w:tcBorders>
            <w:shd w:val="clear" w:color="000000" w:fill="C0C0C0"/>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6 407</w:t>
            </w:r>
          </w:p>
        </w:tc>
        <w:tc>
          <w:tcPr>
            <w:tcW w:w="851" w:type="dxa"/>
            <w:tcBorders>
              <w:top w:val="nil"/>
              <w:left w:val="nil"/>
              <w:bottom w:val="single" w:sz="4" w:space="0" w:color="auto"/>
              <w:right w:val="single" w:sz="4" w:space="0" w:color="auto"/>
            </w:tcBorders>
            <w:shd w:val="clear" w:color="000000" w:fill="C0C0C0"/>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4 385</w:t>
            </w:r>
          </w:p>
        </w:tc>
        <w:tc>
          <w:tcPr>
            <w:tcW w:w="850" w:type="dxa"/>
            <w:tcBorders>
              <w:top w:val="nil"/>
              <w:left w:val="nil"/>
              <w:bottom w:val="single" w:sz="4" w:space="0" w:color="auto"/>
              <w:right w:val="single" w:sz="4" w:space="0" w:color="auto"/>
            </w:tcBorders>
            <w:shd w:val="clear" w:color="000000" w:fill="C0C0C0"/>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8 114</w:t>
            </w:r>
          </w:p>
        </w:tc>
        <w:tc>
          <w:tcPr>
            <w:tcW w:w="851" w:type="dxa"/>
            <w:tcBorders>
              <w:top w:val="nil"/>
              <w:left w:val="nil"/>
              <w:bottom w:val="single" w:sz="4" w:space="0" w:color="auto"/>
              <w:right w:val="single" w:sz="4" w:space="0" w:color="auto"/>
            </w:tcBorders>
            <w:shd w:val="clear" w:color="000000" w:fill="C0C0C0"/>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7 124</w:t>
            </w:r>
          </w:p>
        </w:tc>
        <w:tc>
          <w:tcPr>
            <w:tcW w:w="850" w:type="dxa"/>
            <w:tcBorders>
              <w:top w:val="nil"/>
              <w:left w:val="nil"/>
              <w:bottom w:val="single" w:sz="4" w:space="0" w:color="auto"/>
              <w:right w:val="single" w:sz="4" w:space="0" w:color="auto"/>
            </w:tcBorders>
            <w:shd w:val="clear" w:color="000000" w:fill="C0C0C0"/>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8 574</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noWrap/>
            <w:textDirection w:val="lrTb"/>
            <w:vAlign w:val="center"/>
            <w:hideMark/>
          </w:tcPr>
          <w:p w:rsidR="008225DB" w:rsidRPr="000825FE" w:rsidP="000008FE">
            <w:pPr>
              <w:bidi w:val="0"/>
              <w:ind w:right="-46"/>
              <w:rPr>
                <w:rFonts w:ascii="Times New Roman" w:hAnsi="Times New Roman"/>
                <w:b/>
                <w:sz w:val="16"/>
                <w:szCs w:val="16"/>
              </w:rPr>
            </w:pPr>
            <w:r w:rsidRPr="000825FE">
              <w:rPr>
                <w:rFonts w:ascii="Times New Roman" w:hAnsi="Times New Roman"/>
                <w:b/>
                <w:sz w:val="16"/>
                <w:szCs w:val="16"/>
              </w:rPr>
              <w:t>vylúčenie finančných operácií</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-18 294</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-15 817</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0</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-17 157</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0</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0</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0</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noWrap/>
            <w:textDirection w:val="lrTb"/>
            <w:vAlign w:val="center"/>
          </w:tcPr>
          <w:p w:rsidR="008225DB" w:rsidRPr="000825FE" w:rsidP="000008FE">
            <w:pPr>
              <w:bidi w:val="0"/>
              <w:ind w:right="-46"/>
              <w:rPr>
                <w:rFonts w:ascii="Times New Roman" w:hAnsi="Times New Roman"/>
                <w:sz w:val="16"/>
                <w:szCs w:val="16"/>
              </w:rPr>
            </w:pPr>
            <w:r w:rsidRPr="000825FE">
              <w:rPr>
                <w:rFonts w:ascii="Times New Roman" w:hAnsi="Times New Roman"/>
                <w:b/>
                <w:sz w:val="16"/>
                <w:szCs w:val="16"/>
              </w:rPr>
              <w:t>z toho:</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noWrap/>
            <w:textDirection w:val="lrTb"/>
            <w:vAlign w:val="center"/>
            <w:hideMark/>
          </w:tcPr>
          <w:p w:rsidR="008225DB" w:rsidRPr="000825FE" w:rsidP="000008FE">
            <w:pPr>
              <w:bidi w:val="0"/>
              <w:ind w:right="-46"/>
              <w:rPr>
                <w:rFonts w:ascii="Times New Roman" w:hAnsi="Times New Roman"/>
                <w:sz w:val="16"/>
                <w:szCs w:val="16"/>
              </w:rPr>
            </w:pPr>
            <w:r w:rsidRPr="000825FE">
              <w:rPr>
                <w:rFonts w:ascii="Times New Roman" w:hAnsi="Times New Roman"/>
                <w:sz w:val="16"/>
                <w:szCs w:val="16"/>
              </w:rPr>
              <w:t xml:space="preserve">    ▪   vylúčenie príjmových (FO)</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-19 621</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-19 412</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-22 057</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noWrap/>
            <w:textDirection w:val="lrTb"/>
            <w:vAlign w:val="center"/>
            <w:hideMark/>
          </w:tcPr>
          <w:p w:rsidR="008225DB" w:rsidRPr="000825FE" w:rsidP="000008FE">
            <w:pPr>
              <w:bidi w:val="0"/>
              <w:ind w:right="-46"/>
              <w:rPr>
                <w:rFonts w:ascii="Times New Roman" w:hAnsi="Times New Roman"/>
                <w:sz w:val="16"/>
                <w:szCs w:val="16"/>
              </w:rPr>
            </w:pPr>
            <w:r w:rsidRPr="000825FE">
              <w:rPr>
                <w:rFonts w:ascii="Times New Roman" w:hAnsi="Times New Roman"/>
                <w:sz w:val="16"/>
                <w:szCs w:val="16"/>
              </w:rPr>
              <w:t xml:space="preserve">    ▪   vylúčenie výdavkových (FO)</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1 327</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3 595</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4 900</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sz w:val="16"/>
                <w:szCs w:val="16"/>
              </w:rPr>
            </w:pPr>
            <w:r w:rsidRPr="000825FE">
              <w:rPr>
                <w:rFonts w:ascii="Times New Roman" w:hAnsi="Times New Roman"/>
                <w:sz w:val="16"/>
                <w:szCs w:val="16"/>
              </w:rPr>
              <w:t>0</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noWrap/>
            <w:textDirection w:val="lrTb"/>
            <w:vAlign w:val="center"/>
            <w:hideMark/>
          </w:tcPr>
          <w:p w:rsidR="008225DB" w:rsidRPr="000825FE" w:rsidP="000008FE">
            <w:pPr>
              <w:bidi w:val="0"/>
              <w:ind w:right="-46"/>
              <w:rPr>
                <w:rFonts w:ascii="Times New Roman" w:hAnsi="Times New Roman"/>
                <w:b/>
                <w:sz w:val="16"/>
                <w:szCs w:val="16"/>
              </w:rPr>
            </w:pPr>
            <w:r w:rsidRPr="000825FE">
              <w:rPr>
                <w:rFonts w:ascii="Times New Roman" w:hAnsi="Times New Roman"/>
                <w:b/>
                <w:sz w:val="16"/>
                <w:szCs w:val="16"/>
              </w:rPr>
              <w:t>ostatné úpravy</w:t>
            </w:r>
          </w:p>
        </w:tc>
        <w:tc>
          <w:tcPr>
            <w:tcW w:w="850" w:type="dxa"/>
            <w:tcBorders>
              <w:top w:val="nil"/>
              <w:left w:val="nil"/>
              <w:bottom w:val="single" w:sz="4" w:space="0" w:color="auto"/>
              <w:right w:val="single" w:sz="4" w:space="0" w:color="auto"/>
            </w:tcBorders>
            <w:noWrap/>
            <w:textDirection w:val="lrTb"/>
            <w:vAlign w:val="center"/>
            <w:hideMark/>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-634</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-1 281</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0</w:t>
            </w:r>
          </w:p>
        </w:tc>
        <w:tc>
          <w:tcPr>
            <w:tcW w:w="851"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-788</w:t>
            </w:r>
          </w:p>
        </w:tc>
        <w:tc>
          <w:tcPr>
            <w:tcW w:w="850" w:type="dxa"/>
            <w:tcBorders>
              <w:top w:val="nil"/>
              <w:left w:val="nil"/>
              <w:bottom w:val="single" w:sz="4" w:space="0" w:color="auto"/>
              <w:right w:val="single" w:sz="4" w:space="0" w:color="auto"/>
            </w:tcBorders>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0</w:t>
            </w:r>
          </w:p>
        </w:tc>
        <w:tc>
          <w:tcPr>
            <w:tcW w:w="851"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0</w:t>
            </w:r>
          </w:p>
        </w:tc>
        <w:tc>
          <w:tcPr>
            <w:tcW w:w="850" w:type="dxa"/>
            <w:tcBorders>
              <w:top w:val="nil"/>
              <w:left w:val="nil"/>
              <w:bottom w:val="single" w:sz="4" w:space="0" w:color="auto"/>
              <w:right w:val="single" w:sz="4" w:space="0" w:color="auto"/>
            </w:tcBorders>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0</w:t>
            </w:r>
          </w:p>
        </w:tc>
      </w:tr>
      <w:tr>
        <w:tblPrEx>
          <w:tblW w:w="9229" w:type="dxa"/>
          <w:tblInd w:w="55" w:type="dxa"/>
          <w:tblCellMar>
            <w:left w:w="70" w:type="dxa"/>
            <w:right w:w="70" w:type="dxa"/>
          </w:tblCellMar>
          <w:tblLook w:val="04A0"/>
        </w:tblPrEx>
        <w:trPr>
          <w:trHeight w:val="227"/>
        </w:trPr>
        <w:tc>
          <w:tcPr>
            <w:tcW w:w="3276" w:type="dxa"/>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8225DB" w:rsidRPr="000825FE" w:rsidP="000008FE">
            <w:pPr>
              <w:bidi w:val="0"/>
              <w:ind w:right="-46"/>
              <w:rPr>
                <w:rFonts w:ascii="Times New Roman" w:hAnsi="Times New Roman"/>
                <w:b/>
                <w:sz w:val="16"/>
                <w:szCs w:val="16"/>
              </w:rPr>
            </w:pPr>
            <w:r w:rsidRPr="000825FE">
              <w:rPr>
                <w:rFonts w:ascii="Times New Roman" w:hAnsi="Times New Roman"/>
                <w:b/>
                <w:sz w:val="16"/>
                <w:szCs w:val="16"/>
              </w:rPr>
              <w:t>Prebytok (+)/schodok (-)  SPF  (ESA 2010)</w:t>
            </w:r>
          </w:p>
        </w:tc>
        <w:tc>
          <w:tcPr>
            <w:tcW w:w="850" w:type="dxa"/>
            <w:tcBorders>
              <w:top w:val="nil"/>
              <w:left w:val="nil"/>
              <w:bottom w:val="single" w:sz="4" w:space="0" w:color="auto"/>
              <w:right w:val="single" w:sz="4" w:space="0" w:color="auto"/>
            </w:tcBorders>
            <w:shd w:val="clear" w:color="000000" w:fill="C0C0C0"/>
            <w:noWrap/>
            <w:textDirection w:val="lrTb"/>
            <w:vAlign w:val="center"/>
            <w:hideMark/>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9 931</w:t>
            </w:r>
          </w:p>
        </w:tc>
        <w:tc>
          <w:tcPr>
            <w:tcW w:w="851" w:type="dxa"/>
            <w:tcBorders>
              <w:top w:val="nil"/>
              <w:left w:val="nil"/>
              <w:bottom w:val="single" w:sz="4" w:space="0" w:color="auto"/>
              <w:right w:val="single" w:sz="4" w:space="0" w:color="auto"/>
            </w:tcBorders>
            <w:shd w:val="clear" w:color="000000" w:fill="C0C0C0"/>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16 657</w:t>
            </w:r>
          </w:p>
        </w:tc>
        <w:tc>
          <w:tcPr>
            <w:tcW w:w="850" w:type="dxa"/>
            <w:tcBorders>
              <w:top w:val="nil"/>
              <w:left w:val="nil"/>
              <w:bottom w:val="single" w:sz="4" w:space="0" w:color="auto"/>
              <w:right w:val="single" w:sz="4" w:space="0" w:color="auto"/>
            </w:tcBorders>
            <w:shd w:val="clear" w:color="000000" w:fill="C0C0C0"/>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 xml:space="preserve"> 6 407</w:t>
            </w:r>
          </w:p>
        </w:tc>
        <w:tc>
          <w:tcPr>
            <w:tcW w:w="851" w:type="dxa"/>
            <w:tcBorders>
              <w:top w:val="nil"/>
              <w:left w:val="nil"/>
              <w:bottom w:val="single" w:sz="4" w:space="0" w:color="auto"/>
              <w:right w:val="single" w:sz="4" w:space="0" w:color="auto"/>
            </w:tcBorders>
            <w:shd w:val="clear" w:color="000000" w:fill="C0C0C0"/>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-13 560</w:t>
            </w:r>
          </w:p>
        </w:tc>
        <w:tc>
          <w:tcPr>
            <w:tcW w:w="850" w:type="dxa"/>
            <w:tcBorders>
              <w:top w:val="nil"/>
              <w:left w:val="nil"/>
              <w:bottom w:val="single" w:sz="4" w:space="0" w:color="auto"/>
              <w:right w:val="single" w:sz="4" w:space="0" w:color="auto"/>
            </w:tcBorders>
            <w:shd w:val="clear" w:color="000000" w:fill="C0C0C0"/>
            <w:noWrap/>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8 114</w:t>
            </w:r>
          </w:p>
        </w:tc>
        <w:tc>
          <w:tcPr>
            <w:tcW w:w="851" w:type="dxa"/>
            <w:tcBorders>
              <w:top w:val="nil"/>
              <w:left w:val="nil"/>
              <w:bottom w:val="single" w:sz="4" w:space="0" w:color="auto"/>
              <w:right w:val="single" w:sz="4" w:space="0" w:color="auto"/>
            </w:tcBorders>
            <w:shd w:val="clear" w:color="000000" w:fill="C0C0C0"/>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7 124</w:t>
            </w:r>
          </w:p>
        </w:tc>
        <w:tc>
          <w:tcPr>
            <w:tcW w:w="850" w:type="dxa"/>
            <w:tcBorders>
              <w:top w:val="nil"/>
              <w:left w:val="nil"/>
              <w:bottom w:val="single" w:sz="4" w:space="0" w:color="auto"/>
              <w:right w:val="single" w:sz="4" w:space="0" w:color="auto"/>
            </w:tcBorders>
            <w:shd w:val="clear" w:color="000000" w:fill="C0C0C0"/>
            <w:textDirection w:val="lrTb"/>
            <w:vAlign w:val="center"/>
          </w:tcPr>
          <w:p w:rsidR="008225DB" w:rsidRPr="000825FE" w:rsidP="000008FE">
            <w:pPr>
              <w:bidi w:val="0"/>
              <w:ind w:right="-46"/>
              <w:jc w:val="right"/>
              <w:rPr>
                <w:rFonts w:ascii="Times New Roman" w:hAnsi="Times New Roman"/>
                <w:b/>
                <w:sz w:val="16"/>
                <w:szCs w:val="16"/>
              </w:rPr>
            </w:pPr>
            <w:r w:rsidRPr="000825FE">
              <w:rPr>
                <w:rFonts w:ascii="Times New Roman" w:hAnsi="Times New Roman"/>
                <w:b/>
                <w:sz w:val="16"/>
                <w:szCs w:val="16"/>
              </w:rPr>
              <w:t>8 574</w:t>
            </w:r>
          </w:p>
        </w:tc>
      </w:tr>
    </w:tbl>
    <w:p w:rsidR="008225DB" w:rsidRPr="006573DA" w:rsidP="008225DB">
      <w:pPr>
        <w:bidi w:val="0"/>
        <w:jc w:val="both"/>
        <w:rPr>
          <w:rFonts w:ascii="Times New Roman" w:hAnsi="Times New Roman"/>
          <w:b/>
          <w:u w:val="single"/>
        </w:rPr>
      </w:pPr>
    </w:p>
    <w:p w:rsidR="008225DB" w:rsidRPr="000825FE" w:rsidP="008225DB">
      <w:pPr>
        <w:bidi w:val="0"/>
        <w:ind w:firstLine="708"/>
        <w:jc w:val="both"/>
        <w:rPr>
          <w:rFonts w:ascii="Times New Roman" w:hAnsi="Times New Roman"/>
        </w:rPr>
      </w:pPr>
      <w:r w:rsidRPr="000825FE">
        <w:rPr>
          <w:rFonts w:ascii="Times New Roman" w:hAnsi="Times New Roman"/>
        </w:rPr>
        <w:t>Celkové príjmy Slovenského pozemkového fondu (ďalej len „SPF“) na rok 2016  sú rozpočtované v sume 24 062 tis. eur. V porovnaní so schváleným rozpočtom na rok 2015 sú vyššie o 1 411 tis. eur, čo  predstavuje   nárast  o  6,2 %,</w:t>
      </w:r>
      <w:r w:rsidRPr="000825FE">
        <w:rPr>
          <w:rFonts w:ascii="Times New Roman" w:hAnsi="Times New Roman"/>
          <w:b/>
        </w:rPr>
        <w:t xml:space="preserve"> </w:t>
      </w:r>
      <w:r w:rsidRPr="000825FE">
        <w:rPr>
          <w:rFonts w:ascii="Times New Roman" w:hAnsi="Times New Roman"/>
        </w:rPr>
        <w:t>predovšetkým z dôvodu  nárastu</w:t>
      </w:r>
      <w:r w:rsidRPr="000825FE">
        <w:rPr>
          <w:rFonts w:ascii="Times New Roman" w:hAnsi="Times New Roman"/>
          <w:b/>
        </w:rPr>
        <w:t xml:space="preserve">  </w:t>
      </w:r>
      <w:r w:rsidRPr="000825FE">
        <w:rPr>
          <w:rFonts w:ascii="Times New Roman" w:hAnsi="Times New Roman"/>
        </w:rPr>
        <w:t xml:space="preserve">kapitálových príjmov z predaja pozemkov. Tieto príjmy  z  predaja fondom  spravovaných pozemkov  rozpočtované  v objeme 10 500 tis. eur  sú v porovnaní  so schváleným rozpočtom na   rok   2015  vyššie  o  1 500  tis. eur, t. j.  o  16,7 %.  Príjmy  z   prenajatých   pozemkov   a  z vlastníctva majetku rozpočtované v objeme 12 683 tis. eur zaznamenávajú oproti schválenému rozpočtu na rok 2015 nárast o 123 tis. eur, t. j. o 1,0 %,  pri nezmenenej  ročnej  sadzbe nájomného 2,2 </w:t>
      </w:r>
      <w:r>
        <w:rPr>
          <w:rFonts w:ascii="Times New Roman" w:hAnsi="Times New Roman"/>
        </w:rPr>
        <w:t>%</w:t>
      </w:r>
      <w:r w:rsidRPr="000825FE">
        <w:rPr>
          <w:rFonts w:ascii="Times New Roman" w:hAnsi="Times New Roman"/>
        </w:rPr>
        <w:t xml:space="preserve"> z  hodnoty  prenajímanej  pôdy z  prenajatých pozemkov </w:t>
      </w:r>
      <w:r w:rsidR="00DF7EE9">
        <w:rPr>
          <w:rFonts w:ascii="Times New Roman" w:hAnsi="Times New Roman"/>
        </w:rPr>
        <w:t xml:space="preserve">                </w:t>
      </w:r>
      <w:r w:rsidRPr="000825FE">
        <w:rPr>
          <w:rFonts w:ascii="Times New Roman" w:hAnsi="Times New Roman"/>
        </w:rPr>
        <w:t xml:space="preserve">od 1. septembra 2013. </w:t>
      </w:r>
    </w:p>
    <w:p w:rsidR="008225DB" w:rsidRPr="00DF7EE9" w:rsidP="008225DB">
      <w:pPr>
        <w:bidi w:val="0"/>
        <w:ind w:firstLine="708"/>
        <w:jc w:val="both"/>
        <w:rPr>
          <w:rFonts w:ascii="Times New Roman" w:hAnsi="Times New Roman"/>
          <w:sz w:val="16"/>
          <w:szCs w:val="16"/>
        </w:rPr>
      </w:pPr>
    </w:p>
    <w:p w:rsidR="008225DB" w:rsidRPr="000825FE" w:rsidP="008225DB">
      <w:pPr>
        <w:bidi w:val="0"/>
        <w:ind w:firstLine="708"/>
        <w:jc w:val="both"/>
        <w:rPr>
          <w:rFonts w:ascii="Times New Roman" w:hAnsi="Times New Roman"/>
        </w:rPr>
      </w:pPr>
      <w:r w:rsidRPr="000825FE">
        <w:rPr>
          <w:rFonts w:ascii="Times New Roman" w:hAnsi="Times New Roman"/>
        </w:rPr>
        <w:t xml:space="preserve"> </w:t>
      </w:r>
      <w:r>
        <w:rPr>
          <w:rFonts w:ascii="Times New Roman" w:hAnsi="Times New Roman"/>
        </w:rPr>
        <w:t>S</w:t>
      </w:r>
      <w:r w:rsidRPr="000825FE">
        <w:rPr>
          <w:rFonts w:ascii="Times New Roman" w:hAnsi="Times New Roman"/>
        </w:rPr>
        <w:t>um</w:t>
      </w:r>
      <w:r>
        <w:rPr>
          <w:rFonts w:ascii="Times New Roman" w:hAnsi="Times New Roman"/>
        </w:rPr>
        <w:t>ou</w:t>
      </w:r>
      <w:r w:rsidRPr="000825FE">
        <w:rPr>
          <w:rFonts w:ascii="Times New Roman" w:hAnsi="Times New Roman"/>
        </w:rPr>
        <w:t xml:space="preserve"> 15 948 tis. eur sú rozpočtované </w:t>
      </w:r>
      <w:r>
        <w:rPr>
          <w:rFonts w:ascii="Times New Roman" w:hAnsi="Times New Roman"/>
        </w:rPr>
        <w:t>c</w:t>
      </w:r>
      <w:r w:rsidRPr="000825FE">
        <w:rPr>
          <w:rFonts w:ascii="Times New Roman" w:hAnsi="Times New Roman"/>
        </w:rPr>
        <w:t>elkové výdavky SPF na rok 2016</w:t>
      </w:r>
      <w:r>
        <w:rPr>
          <w:rFonts w:ascii="Times New Roman" w:hAnsi="Times New Roman"/>
        </w:rPr>
        <w:t>.</w:t>
      </w:r>
      <w:r w:rsidRPr="000825FE">
        <w:rPr>
          <w:rFonts w:ascii="Times New Roman" w:hAnsi="Times New Roman"/>
        </w:rPr>
        <w:t xml:space="preserve"> </w:t>
      </w:r>
      <w:r>
        <w:rPr>
          <w:rFonts w:ascii="Times New Roman" w:hAnsi="Times New Roman"/>
        </w:rPr>
        <w:t>V</w:t>
      </w:r>
      <w:r w:rsidRPr="000825FE">
        <w:rPr>
          <w:rFonts w:ascii="Times New Roman" w:hAnsi="Times New Roman"/>
        </w:rPr>
        <w:t xml:space="preserve"> porovnaní so schváleným rozpočtom na rok 2015 </w:t>
      </w:r>
      <w:r>
        <w:rPr>
          <w:rFonts w:ascii="Times New Roman" w:hAnsi="Times New Roman"/>
        </w:rPr>
        <w:t xml:space="preserve">sú </w:t>
      </w:r>
      <w:r w:rsidRPr="000825FE">
        <w:rPr>
          <w:rFonts w:ascii="Times New Roman" w:hAnsi="Times New Roman"/>
        </w:rPr>
        <w:t xml:space="preserve">nižšie o  296 tis. eur, t. j. o 1,8 %. </w:t>
      </w:r>
      <w:r>
        <w:rPr>
          <w:rFonts w:ascii="Times New Roman" w:hAnsi="Times New Roman"/>
        </w:rPr>
        <w:t xml:space="preserve">Najvyšší objem v rámci rozpočtovaných výdavkov vo </w:t>
      </w:r>
      <w:r w:rsidRPr="000825FE">
        <w:rPr>
          <w:rFonts w:ascii="Times New Roman" w:hAnsi="Times New Roman"/>
        </w:rPr>
        <w:t xml:space="preserve">15 527 tis. eur </w:t>
      </w:r>
      <w:r>
        <w:rPr>
          <w:rFonts w:ascii="Times New Roman" w:hAnsi="Times New Roman"/>
        </w:rPr>
        <w:t xml:space="preserve">majú </w:t>
      </w:r>
      <w:r w:rsidRPr="000825FE">
        <w:rPr>
          <w:rFonts w:ascii="Times New Roman" w:hAnsi="Times New Roman"/>
        </w:rPr>
        <w:t xml:space="preserve">bežné výdavky, ktorých financovanie pre SPF vyplýva z príslušných právnych predpisov upravujúcich jeho postavenie a činnosti. Ide o výdavky určené  na zabezpečenie financovania činnosti SPF, plnenia reštitučných nárokov oprávnených osôb a  usporiadania vlastníctva k pozemkom. Výdavky na mzdy a odvody rozpočtované vo výške 5 404 tis. eur </w:t>
      </w:r>
      <w:r>
        <w:rPr>
          <w:rFonts w:ascii="Times New Roman" w:hAnsi="Times New Roman"/>
        </w:rPr>
        <w:t xml:space="preserve">sú </w:t>
      </w:r>
      <w:r w:rsidRPr="000825FE">
        <w:rPr>
          <w:rFonts w:ascii="Times New Roman" w:hAnsi="Times New Roman"/>
        </w:rPr>
        <w:t xml:space="preserve">oproti schválenému rozpočtu na rok 2015 vyššie o 3,3 %, </w:t>
      </w:r>
      <w:r>
        <w:rPr>
          <w:rFonts w:ascii="Times New Roman" w:hAnsi="Times New Roman"/>
        </w:rPr>
        <w:t xml:space="preserve">a to </w:t>
      </w:r>
      <w:r w:rsidRPr="000825FE">
        <w:rPr>
          <w:rFonts w:ascii="Times New Roman" w:hAnsi="Times New Roman"/>
        </w:rPr>
        <w:t xml:space="preserve">z titulu </w:t>
      </w:r>
      <w:r>
        <w:rPr>
          <w:rFonts w:ascii="Times New Roman" w:hAnsi="Times New Roman"/>
        </w:rPr>
        <w:t xml:space="preserve">2,5 % </w:t>
      </w:r>
      <w:r w:rsidRPr="000825FE">
        <w:rPr>
          <w:rFonts w:ascii="Times New Roman" w:hAnsi="Times New Roman"/>
        </w:rPr>
        <w:t xml:space="preserve">valorizácie realizovanej od 1. januára 2015  </w:t>
      </w:r>
      <w:r>
        <w:rPr>
          <w:rFonts w:ascii="Times New Roman" w:hAnsi="Times New Roman"/>
        </w:rPr>
        <w:t>a z dôvodu</w:t>
      </w:r>
      <w:r w:rsidRPr="000825FE">
        <w:rPr>
          <w:rFonts w:ascii="Times New Roman" w:hAnsi="Times New Roman"/>
        </w:rPr>
        <w:t xml:space="preserve"> zvýšen</w:t>
      </w:r>
      <w:r>
        <w:rPr>
          <w:rFonts w:ascii="Times New Roman" w:hAnsi="Times New Roman"/>
        </w:rPr>
        <w:t>ia</w:t>
      </w:r>
      <w:r w:rsidRPr="000825FE">
        <w:rPr>
          <w:rFonts w:ascii="Times New Roman" w:hAnsi="Times New Roman"/>
        </w:rPr>
        <w:t xml:space="preserve"> počtu zamestnancov,</w:t>
      </w:r>
      <w:r>
        <w:rPr>
          <w:rFonts w:ascii="Times New Roman" w:hAnsi="Times New Roman"/>
        </w:rPr>
        <w:t xml:space="preserve"> ktoré súvisí</w:t>
      </w:r>
      <w:r w:rsidRPr="000825FE">
        <w:rPr>
          <w:rFonts w:ascii="Times New Roman" w:hAnsi="Times New Roman"/>
        </w:rPr>
        <w:t xml:space="preserve"> </w:t>
      </w:r>
      <w:r>
        <w:rPr>
          <w:rFonts w:ascii="Times New Roman" w:hAnsi="Times New Roman"/>
        </w:rPr>
        <w:t xml:space="preserve">so </w:t>
      </w:r>
      <w:r w:rsidRPr="000825FE">
        <w:rPr>
          <w:rFonts w:ascii="Times New Roman" w:hAnsi="Times New Roman"/>
        </w:rPr>
        <w:t>zabezpečen</w:t>
      </w:r>
      <w:r>
        <w:rPr>
          <w:rFonts w:ascii="Times New Roman" w:hAnsi="Times New Roman"/>
        </w:rPr>
        <w:t>ím</w:t>
      </w:r>
      <w:r w:rsidRPr="000825FE">
        <w:rPr>
          <w:rFonts w:ascii="Times New Roman" w:hAnsi="Times New Roman"/>
        </w:rPr>
        <w:t xml:space="preserve"> činností </w:t>
      </w:r>
      <w:r>
        <w:rPr>
          <w:rFonts w:ascii="Times New Roman" w:hAnsi="Times New Roman"/>
        </w:rPr>
        <w:t>spojených</w:t>
      </w:r>
      <w:r w:rsidRPr="000825FE">
        <w:rPr>
          <w:rFonts w:ascii="Times New Roman" w:hAnsi="Times New Roman"/>
        </w:rPr>
        <w:t xml:space="preserve"> s výkupom pozemkov</w:t>
      </w:r>
      <w:r>
        <w:rPr>
          <w:rFonts w:ascii="Times New Roman" w:hAnsi="Times New Roman"/>
        </w:rPr>
        <w:t>.</w:t>
      </w:r>
      <w:r w:rsidRPr="000825FE">
        <w:rPr>
          <w:rFonts w:ascii="Times New Roman" w:hAnsi="Times New Roman"/>
        </w:rPr>
        <w:t xml:space="preserve"> Tovary a služby v</w:t>
      </w:r>
      <w:r>
        <w:rPr>
          <w:rFonts w:ascii="Times New Roman" w:hAnsi="Times New Roman"/>
        </w:rPr>
        <w:t xml:space="preserve"> </w:t>
      </w:r>
      <w:r w:rsidRPr="000825FE">
        <w:rPr>
          <w:rFonts w:ascii="Times New Roman" w:hAnsi="Times New Roman"/>
        </w:rPr>
        <w:t xml:space="preserve"> porovnaní </w:t>
      </w:r>
      <w:r>
        <w:rPr>
          <w:rFonts w:ascii="Times New Roman" w:hAnsi="Times New Roman"/>
        </w:rPr>
        <w:t xml:space="preserve"> </w:t>
      </w:r>
      <w:r w:rsidRPr="000825FE">
        <w:rPr>
          <w:rFonts w:ascii="Times New Roman" w:hAnsi="Times New Roman"/>
        </w:rPr>
        <w:t xml:space="preserve">so </w:t>
      </w:r>
      <w:r>
        <w:rPr>
          <w:rFonts w:ascii="Times New Roman" w:hAnsi="Times New Roman"/>
        </w:rPr>
        <w:t xml:space="preserve"> </w:t>
      </w:r>
      <w:r w:rsidRPr="000825FE">
        <w:rPr>
          <w:rFonts w:ascii="Times New Roman" w:hAnsi="Times New Roman"/>
        </w:rPr>
        <w:t>schváleným</w:t>
      </w:r>
      <w:r>
        <w:rPr>
          <w:rFonts w:ascii="Times New Roman" w:hAnsi="Times New Roman"/>
        </w:rPr>
        <w:t xml:space="preserve"> </w:t>
      </w:r>
      <w:r w:rsidRPr="000825FE">
        <w:rPr>
          <w:rFonts w:ascii="Times New Roman" w:hAnsi="Times New Roman"/>
        </w:rPr>
        <w:t> rozpočtom</w:t>
      </w:r>
      <w:r>
        <w:rPr>
          <w:rFonts w:ascii="Times New Roman" w:hAnsi="Times New Roman"/>
        </w:rPr>
        <w:t xml:space="preserve"> </w:t>
      </w:r>
      <w:r w:rsidRPr="000825FE">
        <w:rPr>
          <w:rFonts w:ascii="Times New Roman" w:hAnsi="Times New Roman"/>
        </w:rPr>
        <w:t xml:space="preserve"> na</w:t>
      </w:r>
      <w:r>
        <w:rPr>
          <w:rFonts w:ascii="Times New Roman" w:hAnsi="Times New Roman"/>
        </w:rPr>
        <w:t xml:space="preserve"> </w:t>
      </w:r>
      <w:r w:rsidRPr="000825FE">
        <w:rPr>
          <w:rFonts w:ascii="Times New Roman" w:hAnsi="Times New Roman"/>
        </w:rPr>
        <w:t xml:space="preserve"> rok</w:t>
      </w:r>
      <w:r>
        <w:rPr>
          <w:rFonts w:ascii="Times New Roman" w:hAnsi="Times New Roman"/>
        </w:rPr>
        <w:t xml:space="preserve"> </w:t>
      </w:r>
      <w:r w:rsidRPr="000825FE">
        <w:rPr>
          <w:rFonts w:ascii="Times New Roman" w:hAnsi="Times New Roman"/>
        </w:rPr>
        <w:t xml:space="preserve"> 2015 </w:t>
      </w:r>
      <w:r>
        <w:rPr>
          <w:rFonts w:ascii="Times New Roman" w:hAnsi="Times New Roman"/>
        </w:rPr>
        <w:t xml:space="preserve"> </w:t>
      </w:r>
      <w:r w:rsidRPr="000825FE">
        <w:rPr>
          <w:rFonts w:ascii="Times New Roman" w:hAnsi="Times New Roman"/>
        </w:rPr>
        <w:t>sú vyššie o 475 tis. eur, t. j. o 12,1 %, z dôvodu úhrady právnyc</w:t>
      </w:r>
      <w:r w:rsidR="0060040C">
        <w:rPr>
          <w:rFonts w:ascii="Times New Roman" w:hAnsi="Times New Roman"/>
        </w:rPr>
        <w:t>h služieb advokátskym kanceláriá</w:t>
      </w:r>
      <w:r w:rsidRPr="000825FE">
        <w:rPr>
          <w:rFonts w:ascii="Times New Roman" w:hAnsi="Times New Roman"/>
        </w:rPr>
        <w:t xml:space="preserve">m, ktoré zastupujú fond pri dôležitých súdnych sporoch. Bežné transfery vo výške 5 707 tis. eur  oproti schválenému rozpočtu roku 2015 sú nižšie </w:t>
      </w:r>
      <w:r w:rsidR="00DF7EE9">
        <w:rPr>
          <w:rFonts w:ascii="Times New Roman" w:hAnsi="Times New Roman"/>
        </w:rPr>
        <w:t xml:space="preserve">           </w:t>
      </w:r>
      <w:r w:rsidRPr="000825FE">
        <w:rPr>
          <w:rFonts w:ascii="Times New Roman" w:hAnsi="Times New Roman"/>
        </w:rPr>
        <w:t>o 985 tis. eur (o 14,7 %), z  toho transfer MPRV SR na zabezpečenie projektov pozemkových úprav a financovanie DPH k projektom pozemkových úprav hradených z programov EÚ a spolufinancovania k EÚ v sume 1 500 tis. eur je nižší o</w:t>
      </w:r>
      <w:r w:rsidRPr="000825FE">
        <w:rPr>
          <w:rFonts w:ascii="Times New Roman" w:hAnsi="Times New Roman"/>
          <w:b/>
        </w:rPr>
        <w:t> </w:t>
      </w:r>
      <w:r w:rsidRPr="000825FE">
        <w:rPr>
          <w:rFonts w:ascii="Times New Roman" w:hAnsi="Times New Roman"/>
        </w:rPr>
        <w:t>500 tis. eur. Výdavky na náhrady v zriadených záhradkových osadách v sume 4 000 tis. eur sú nižšie o 500 tis. eur. Kapitálové výdavky rozpočtované v objeme 421 tis. eur sú v porovnaní  so  schváleným  rozpočtom  na rok 2015 vyššie o 42 tis. eur, t. j. o 11,1 %.  Zvýšenie kapitálových výdavkov súvisí s financovaním nevyhnutných kapitálových opráv majetku fondu a s nákupom výpočtovej techniky. </w:t>
      </w:r>
    </w:p>
    <w:p w:rsidR="008225DB" w:rsidRPr="00DF7EE9" w:rsidP="008225DB">
      <w:pPr>
        <w:bidi w:val="0"/>
        <w:rPr>
          <w:rFonts w:ascii="Times New Roman" w:hAnsi="Times New Roman"/>
          <w:sz w:val="16"/>
          <w:szCs w:val="16"/>
        </w:rPr>
      </w:pPr>
    </w:p>
    <w:p w:rsidR="008225DB" w:rsidRPr="000825FE" w:rsidP="008225DB">
      <w:pPr>
        <w:pStyle w:val="NoSpacing"/>
        <w:bidi w:val="0"/>
        <w:ind w:firstLine="708"/>
        <w:jc w:val="both"/>
        <w:rPr>
          <w:rFonts w:ascii="Times New Roman" w:hAnsi="Times New Roman"/>
        </w:rPr>
      </w:pPr>
      <w:r w:rsidRPr="000825FE">
        <w:rPr>
          <w:rFonts w:ascii="Times New Roman" w:hAnsi="Times New Roman"/>
        </w:rPr>
        <w:t>Prebytok v roku 2016 rozpočtovaný na hotovostnej báze a v metodike ESA 2010 sa predpokladá na úrovni  8 114 tis. eur, v roku 2017 na úrovni 7 124 tis. eur a v roku 2018 na úrovni 8 574 tis. eur.</w:t>
      </w: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P="008225DB">
      <w:pPr>
        <w:bidi w:val="0"/>
        <w:jc w:val="both"/>
        <w:rPr>
          <w:rFonts w:ascii="Times New Roman" w:hAnsi="Times New Roman"/>
          <w:b/>
          <w:highlight w:val="yellow"/>
        </w:rPr>
      </w:pPr>
    </w:p>
    <w:p w:rsidR="00B103BF" w:rsidP="008225DB">
      <w:pPr>
        <w:bidi w:val="0"/>
        <w:jc w:val="both"/>
        <w:rPr>
          <w:rFonts w:ascii="Times New Roman" w:hAnsi="Times New Roman"/>
          <w:b/>
          <w:highlight w:val="yellow"/>
        </w:rPr>
      </w:pPr>
    </w:p>
    <w:p w:rsidR="0053284A"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4F17A1" w:rsidP="008225DB">
      <w:pPr>
        <w:bidi w:val="0"/>
        <w:jc w:val="both"/>
        <w:rPr>
          <w:rFonts w:ascii="Times New Roman" w:hAnsi="Times New Roman"/>
          <w:b/>
          <w:highlight w:val="yellow"/>
        </w:rPr>
      </w:pPr>
    </w:p>
    <w:p w:rsidR="008225DB" w:rsidRPr="00B75CD5" w:rsidP="008225DB">
      <w:pPr>
        <w:keepNext/>
        <w:bidi w:val="0"/>
        <w:outlineLvl w:val="0"/>
        <w:rPr>
          <w:rFonts w:ascii="Times New Roman" w:hAnsi="Times New Roman"/>
          <w:b/>
          <w:bCs/>
          <w:kern w:val="32"/>
        </w:rPr>
      </w:pPr>
      <w:r w:rsidRPr="00B75CD5">
        <w:rPr>
          <w:rFonts w:ascii="Times New Roman" w:hAnsi="Times New Roman"/>
          <w:b/>
          <w:bCs/>
          <w:kern w:val="32"/>
        </w:rPr>
        <w:t>6. Fond národného majetku Slovenskej republiky</w:t>
      </w:r>
    </w:p>
    <w:p w:rsidR="008225DB" w:rsidRPr="006573DA" w:rsidP="008225DB">
      <w:pPr>
        <w:keepNext/>
        <w:bidi w:val="0"/>
        <w:jc w:val="right"/>
        <w:outlineLvl w:val="0"/>
        <w:rPr>
          <w:rFonts w:ascii="Times New Roman" w:hAnsi="Times New Roman"/>
          <w:b/>
          <w:bCs/>
          <w:kern w:val="32"/>
        </w:rPr>
      </w:pPr>
    </w:p>
    <w:tbl>
      <w:tblPr>
        <w:tblStyle w:val="TableNormal"/>
        <w:tblW w:w="9083" w:type="dxa"/>
        <w:tblInd w:w="55" w:type="dxa"/>
        <w:tblCellMar>
          <w:left w:w="70" w:type="dxa"/>
          <w:right w:w="70" w:type="dxa"/>
        </w:tblCellMar>
        <w:tblLook w:val="04A0"/>
      </w:tblPr>
      <w:tblGrid>
        <w:gridCol w:w="3875"/>
        <w:gridCol w:w="744"/>
        <w:gridCol w:w="744"/>
        <w:gridCol w:w="744"/>
        <w:gridCol w:w="744"/>
        <w:gridCol w:w="744"/>
        <w:gridCol w:w="744"/>
        <w:gridCol w:w="744"/>
      </w:tblGrid>
      <w:tr>
        <w:tblPrEx>
          <w:tblW w:w="9083" w:type="dxa"/>
          <w:tblInd w:w="55" w:type="dxa"/>
          <w:tblCellMar>
            <w:left w:w="70" w:type="dxa"/>
            <w:right w:w="70" w:type="dxa"/>
          </w:tblCellMar>
          <w:tblLook w:val="04A0"/>
        </w:tblPrEx>
        <w:trPr>
          <w:trHeight w:val="260"/>
        </w:trPr>
        <w:tc>
          <w:tcPr>
            <w:tcW w:w="3875" w:type="dxa"/>
            <w:tcBorders>
              <w:top w:val="single" w:sz="4" w:space="0" w:color="auto"/>
              <w:left w:val="single" w:sz="4" w:space="0" w:color="auto"/>
              <w:bottom w:val="nil"/>
              <w:right w:val="nil"/>
            </w:tcBorders>
            <w:shd w:val="clear" w:color="000000" w:fill="A6A6A6"/>
            <w:noWrap/>
            <w:textDirection w:val="lrTb"/>
            <w:vAlign w:val="center"/>
            <w:hideMark/>
          </w:tcPr>
          <w:p w:rsidR="008225DB" w:rsidRPr="00C23612" w:rsidP="000008FE">
            <w:pPr>
              <w:bidi w:val="0"/>
              <w:rPr>
                <w:rFonts w:ascii="Times New Roman" w:hAnsi="Times New Roman"/>
                <w:b/>
                <w:bCs/>
                <w:sz w:val="16"/>
                <w:szCs w:val="16"/>
              </w:rPr>
            </w:pPr>
            <w:r w:rsidRPr="00C23612">
              <w:rPr>
                <w:rFonts w:ascii="Times New Roman" w:hAnsi="Times New Roman"/>
                <w:b/>
                <w:bCs/>
                <w:sz w:val="16"/>
                <w:szCs w:val="16"/>
              </w:rPr>
              <w:t>v tis. eur</w:t>
            </w:r>
          </w:p>
        </w:tc>
        <w:tc>
          <w:tcPr>
            <w:tcW w:w="744" w:type="dxa"/>
            <w:tcBorders>
              <w:top w:val="single" w:sz="4" w:space="0" w:color="auto"/>
              <w:left w:val="single" w:sz="4" w:space="0" w:color="auto"/>
              <w:bottom w:val="nil"/>
              <w:right w:val="single" w:sz="4" w:space="0" w:color="auto"/>
            </w:tcBorders>
            <w:shd w:val="clear" w:color="000000" w:fill="A6A6A6"/>
            <w:textDirection w:val="lrTb"/>
            <w:vAlign w:val="center"/>
            <w:hideMark/>
          </w:tcPr>
          <w:p w:rsidR="008225DB" w:rsidRPr="00C23612" w:rsidP="000008FE">
            <w:pPr>
              <w:bidi w:val="0"/>
              <w:jc w:val="center"/>
              <w:rPr>
                <w:rFonts w:ascii="Times New Roman" w:hAnsi="Times New Roman"/>
                <w:b/>
                <w:bCs/>
                <w:sz w:val="16"/>
                <w:szCs w:val="16"/>
              </w:rPr>
            </w:pPr>
            <w:r w:rsidRPr="00C23612">
              <w:rPr>
                <w:rFonts w:ascii="Times New Roman" w:hAnsi="Times New Roman"/>
                <w:b/>
                <w:bCs/>
                <w:sz w:val="16"/>
                <w:szCs w:val="16"/>
              </w:rPr>
              <w:t>2013 S</w:t>
            </w:r>
          </w:p>
        </w:tc>
        <w:tc>
          <w:tcPr>
            <w:tcW w:w="744"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8225DB" w:rsidRPr="00C23612" w:rsidP="000008FE">
            <w:pPr>
              <w:bidi w:val="0"/>
              <w:jc w:val="center"/>
              <w:rPr>
                <w:rFonts w:ascii="Times New Roman" w:hAnsi="Times New Roman"/>
                <w:b/>
                <w:bCs/>
                <w:sz w:val="16"/>
                <w:szCs w:val="16"/>
              </w:rPr>
            </w:pPr>
            <w:r w:rsidRPr="00C23612">
              <w:rPr>
                <w:rFonts w:ascii="Times New Roman" w:hAnsi="Times New Roman"/>
                <w:b/>
                <w:bCs/>
                <w:sz w:val="16"/>
                <w:szCs w:val="16"/>
              </w:rPr>
              <w:t>2014 S</w:t>
            </w:r>
          </w:p>
        </w:tc>
        <w:tc>
          <w:tcPr>
            <w:tcW w:w="744"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8225DB" w:rsidRPr="00C23612" w:rsidP="000008FE">
            <w:pPr>
              <w:bidi w:val="0"/>
              <w:jc w:val="center"/>
              <w:rPr>
                <w:rFonts w:ascii="Times New Roman" w:hAnsi="Times New Roman"/>
                <w:b/>
                <w:bCs/>
                <w:sz w:val="16"/>
                <w:szCs w:val="16"/>
              </w:rPr>
            </w:pPr>
            <w:r w:rsidRPr="00C23612">
              <w:rPr>
                <w:rFonts w:ascii="Times New Roman" w:hAnsi="Times New Roman"/>
                <w:b/>
                <w:bCs/>
                <w:sz w:val="16"/>
                <w:szCs w:val="16"/>
              </w:rPr>
              <w:t>2015 R</w:t>
            </w:r>
          </w:p>
        </w:tc>
        <w:tc>
          <w:tcPr>
            <w:tcW w:w="744" w:type="dxa"/>
            <w:tcBorders>
              <w:top w:val="single" w:sz="4" w:space="0" w:color="auto"/>
              <w:left w:val="nil"/>
              <w:bottom w:val="nil"/>
              <w:right w:val="single" w:sz="4" w:space="0" w:color="auto"/>
            </w:tcBorders>
            <w:shd w:val="clear" w:color="000000" w:fill="A6A6A6"/>
            <w:noWrap/>
            <w:textDirection w:val="lrTb"/>
            <w:vAlign w:val="center"/>
            <w:hideMark/>
          </w:tcPr>
          <w:p w:rsidR="008225DB" w:rsidRPr="00C23612" w:rsidP="000008FE">
            <w:pPr>
              <w:bidi w:val="0"/>
              <w:jc w:val="center"/>
              <w:rPr>
                <w:rFonts w:ascii="Times New Roman" w:hAnsi="Times New Roman"/>
                <w:b/>
                <w:bCs/>
                <w:color w:val="000000"/>
                <w:sz w:val="16"/>
                <w:szCs w:val="16"/>
              </w:rPr>
            </w:pPr>
            <w:r w:rsidRPr="00C23612">
              <w:rPr>
                <w:rFonts w:ascii="Times New Roman" w:hAnsi="Times New Roman"/>
                <w:b/>
                <w:bCs/>
                <w:color w:val="000000"/>
                <w:sz w:val="16"/>
                <w:szCs w:val="16"/>
              </w:rPr>
              <w:t>2015 OS</w:t>
            </w:r>
          </w:p>
        </w:tc>
        <w:tc>
          <w:tcPr>
            <w:tcW w:w="744" w:type="dxa"/>
            <w:tcBorders>
              <w:top w:val="single" w:sz="4" w:space="0" w:color="auto"/>
              <w:left w:val="nil"/>
              <w:bottom w:val="nil"/>
              <w:right w:val="nil"/>
            </w:tcBorders>
            <w:shd w:val="clear" w:color="000000" w:fill="A6A6A6"/>
            <w:textDirection w:val="lrTb"/>
            <w:vAlign w:val="center"/>
            <w:hideMark/>
          </w:tcPr>
          <w:p w:rsidR="008225DB" w:rsidRPr="00C23612" w:rsidP="000008FE">
            <w:pPr>
              <w:bidi w:val="0"/>
              <w:jc w:val="center"/>
              <w:rPr>
                <w:rFonts w:ascii="Times New Roman" w:hAnsi="Times New Roman"/>
                <w:b/>
                <w:bCs/>
                <w:sz w:val="16"/>
                <w:szCs w:val="16"/>
              </w:rPr>
            </w:pPr>
            <w:r w:rsidRPr="00C23612">
              <w:rPr>
                <w:rFonts w:ascii="Times New Roman" w:hAnsi="Times New Roman"/>
                <w:b/>
                <w:bCs/>
                <w:sz w:val="16"/>
                <w:szCs w:val="16"/>
              </w:rPr>
              <w:t>2016 N</w:t>
            </w:r>
          </w:p>
        </w:tc>
        <w:tc>
          <w:tcPr>
            <w:tcW w:w="744" w:type="dxa"/>
            <w:tcBorders>
              <w:top w:val="single" w:sz="4" w:space="0" w:color="auto"/>
              <w:left w:val="single" w:sz="4" w:space="0" w:color="auto"/>
              <w:bottom w:val="nil"/>
              <w:right w:val="single" w:sz="4" w:space="0" w:color="auto"/>
            </w:tcBorders>
            <w:shd w:val="clear" w:color="000000" w:fill="A6A6A6"/>
            <w:textDirection w:val="lrTb"/>
            <w:vAlign w:val="center"/>
            <w:hideMark/>
          </w:tcPr>
          <w:p w:rsidR="008225DB" w:rsidRPr="00C23612" w:rsidP="000008FE">
            <w:pPr>
              <w:bidi w:val="0"/>
              <w:jc w:val="center"/>
              <w:rPr>
                <w:rFonts w:ascii="Times New Roman" w:hAnsi="Times New Roman"/>
                <w:b/>
                <w:bCs/>
                <w:sz w:val="16"/>
                <w:szCs w:val="16"/>
              </w:rPr>
            </w:pPr>
            <w:r w:rsidRPr="00C23612">
              <w:rPr>
                <w:rFonts w:ascii="Times New Roman" w:hAnsi="Times New Roman"/>
                <w:b/>
                <w:bCs/>
                <w:sz w:val="16"/>
                <w:szCs w:val="16"/>
              </w:rPr>
              <w:t>2017 N</w:t>
            </w:r>
          </w:p>
        </w:tc>
        <w:tc>
          <w:tcPr>
            <w:tcW w:w="744" w:type="dxa"/>
            <w:tcBorders>
              <w:top w:val="single" w:sz="4" w:space="0" w:color="auto"/>
              <w:left w:val="nil"/>
              <w:bottom w:val="nil"/>
              <w:right w:val="single" w:sz="4" w:space="0" w:color="auto"/>
            </w:tcBorders>
            <w:shd w:val="clear" w:color="000000" w:fill="A6A6A6"/>
            <w:textDirection w:val="lrTb"/>
            <w:vAlign w:val="center"/>
            <w:hideMark/>
          </w:tcPr>
          <w:p w:rsidR="008225DB" w:rsidRPr="00C23612" w:rsidP="000008FE">
            <w:pPr>
              <w:bidi w:val="0"/>
              <w:jc w:val="center"/>
              <w:rPr>
                <w:rFonts w:ascii="Times New Roman" w:hAnsi="Times New Roman"/>
                <w:b/>
                <w:bCs/>
                <w:sz w:val="16"/>
                <w:szCs w:val="16"/>
              </w:rPr>
            </w:pPr>
            <w:r w:rsidRPr="00C23612">
              <w:rPr>
                <w:rFonts w:ascii="Times New Roman" w:hAnsi="Times New Roman"/>
                <w:b/>
                <w:bCs/>
                <w:sz w:val="16"/>
                <w:szCs w:val="16"/>
              </w:rPr>
              <w:t>2018 N</w:t>
            </w:r>
          </w:p>
        </w:tc>
      </w:tr>
      <w:tr>
        <w:tblPrEx>
          <w:tblW w:w="9083" w:type="dxa"/>
          <w:tblInd w:w="55" w:type="dxa"/>
          <w:tblCellMar>
            <w:left w:w="70" w:type="dxa"/>
            <w:right w:w="70" w:type="dxa"/>
          </w:tblCellMar>
          <w:tblLook w:val="04A0"/>
        </w:tblPrEx>
        <w:trPr>
          <w:trHeight w:val="260"/>
        </w:trPr>
        <w:tc>
          <w:tcPr>
            <w:tcW w:w="3875" w:type="dxa"/>
            <w:tcBorders>
              <w:top w:val="single" w:sz="4" w:space="0" w:color="auto"/>
              <w:left w:val="single" w:sz="4" w:space="0" w:color="auto"/>
              <w:bottom w:val="single" w:sz="4" w:space="0" w:color="auto"/>
              <w:right w:val="nil"/>
            </w:tcBorders>
            <w:shd w:val="clear" w:color="000000" w:fill="BFBFBF"/>
            <w:noWrap/>
            <w:textDirection w:val="lrTb"/>
            <w:vAlign w:val="center"/>
            <w:hideMark/>
          </w:tcPr>
          <w:p w:rsidR="008225DB" w:rsidRPr="00C23612" w:rsidP="000008FE">
            <w:pPr>
              <w:bidi w:val="0"/>
              <w:rPr>
                <w:rFonts w:ascii="Times New Roman" w:hAnsi="Times New Roman"/>
                <w:b/>
                <w:bCs/>
                <w:sz w:val="16"/>
                <w:szCs w:val="16"/>
              </w:rPr>
            </w:pPr>
            <w:r w:rsidRPr="00C23612">
              <w:rPr>
                <w:rFonts w:ascii="Times New Roman" w:hAnsi="Times New Roman"/>
                <w:b/>
                <w:bCs/>
                <w:sz w:val="16"/>
                <w:szCs w:val="16"/>
              </w:rPr>
              <w:t>Príjmy FNM SR spolu</w:t>
            </w:r>
          </w:p>
        </w:tc>
        <w:tc>
          <w:tcPr>
            <w:tcW w:w="74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572 781</w:t>
            </w:r>
          </w:p>
        </w:tc>
        <w:tc>
          <w:tcPr>
            <w:tcW w:w="744" w:type="dxa"/>
            <w:tcBorders>
              <w:top w:val="nil"/>
              <w:left w:val="nil"/>
              <w:bottom w:val="single" w:sz="4" w:space="0" w:color="auto"/>
              <w:right w:val="nil"/>
            </w:tcBorders>
            <w:shd w:val="clear" w:color="000000" w:fill="BFBFBF"/>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369 793</w:t>
            </w:r>
          </w:p>
        </w:tc>
        <w:tc>
          <w:tcPr>
            <w:tcW w:w="744" w:type="dxa"/>
            <w:tcBorders>
              <w:top w:val="nil"/>
              <w:left w:val="single" w:sz="4" w:space="0" w:color="auto"/>
              <w:bottom w:val="single" w:sz="4" w:space="0" w:color="auto"/>
              <w:right w:val="nil"/>
            </w:tcBorders>
            <w:shd w:val="clear" w:color="000000" w:fill="BFBFBF"/>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87 382</w:t>
            </w:r>
          </w:p>
        </w:tc>
        <w:tc>
          <w:tcPr>
            <w:tcW w:w="744"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894 030</w:t>
            </w:r>
          </w:p>
        </w:tc>
        <w:tc>
          <w:tcPr>
            <w:tcW w:w="744"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36 722</w:t>
            </w:r>
          </w:p>
        </w:tc>
        <w:tc>
          <w:tcPr>
            <w:tcW w:w="744"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26 667</w:t>
            </w:r>
          </w:p>
        </w:tc>
        <w:tc>
          <w:tcPr>
            <w:tcW w:w="744"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21 787</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z toho:</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rPr>
                <w:rFonts w:ascii="Times New Roman" w:hAnsi="Times New Roman"/>
                <w:color w:val="000000"/>
                <w:sz w:val="16"/>
                <w:szCs w:val="16"/>
              </w:rPr>
            </w:pPr>
            <w:r w:rsidRPr="00C23612">
              <w:rPr>
                <w:rFonts w:ascii="Times New Roman" w:hAnsi="Times New Roman"/>
                <w:color w:val="000000"/>
                <w:sz w:val="16"/>
                <w:szCs w:val="16"/>
              </w:rPr>
              <w:t> </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rPr>
                <w:rFonts w:ascii="Times New Roman" w:hAnsi="Times New Roman"/>
                <w:color w:val="000000"/>
                <w:sz w:val="16"/>
                <w:szCs w:val="16"/>
              </w:rPr>
            </w:pPr>
            <w:r w:rsidRPr="00C23612">
              <w:rPr>
                <w:rFonts w:ascii="Times New Roman" w:hAnsi="Times New Roman"/>
                <w:color w:val="000000"/>
                <w:sz w:val="16"/>
                <w:szCs w:val="16"/>
              </w:rPr>
              <w:t> </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rPr>
                <w:rFonts w:ascii="Times New Roman" w:hAnsi="Times New Roman"/>
                <w:color w:val="000000"/>
                <w:sz w:val="16"/>
                <w:szCs w:val="16"/>
              </w:rPr>
            </w:pPr>
            <w:r w:rsidRPr="00C23612">
              <w:rPr>
                <w:rFonts w:ascii="Times New Roman" w:hAnsi="Times New Roman"/>
                <w:color w:val="000000"/>
                <w:sz w:val="16"/>
                <w:szCs w:val="16"/>
              </w:rPr>
              <w:t> </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rPr>
                <w:rFonts w:ascii="Times New Roman" w:hAnsi="Times New Roman"/>
                <w:color w:val="000000"/>
                <w:sz w:val="16"/>
                <w:szCs w:val="16"/>
              </w:rPr>
            </w:pPr>
            <w:r w:rsidRPr="00C23612">
              <w:rPr>
                <w:rFonts w:ascii="Times New Roman" w:hAnsi="Times New Roman"/>
                <w:color w:val="000000"/>
                <w:sz w:val="16"/>
                <w:szCs w:val="16"/>
              </w:rPr>
              <w:t> </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ost.nedaň.príjmy (úroky a iné príjmy)</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361</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1 251</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66</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90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23</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23</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23</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príjmy z dividend</w:t>
            </w:r>
          </w:p>
        </w:tc>
        <w:tc>
          <w:tcPr>
            <w:tcW w:w="744" w:type="dxa"/>
            <w:tcBorders>
              <w:top w:val="nil"/>
              <w:left w:val="single" w:sz="4" w:space="0" w:color="auto"/>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452 267</w:t>
            </w:r>
          </w:p>
        </w:tc>
        <w:tc>
          <w:tcPr>
            <w:tcW w:w="744" w:type="dxa"/>
            <w:tcBorders>
              <w:top w:val="nil"/>
              <w:left w:val="nil"/>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266 032</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15 424</w:t>
            </w:r>
          </w:p>
        </w:tc>
        <w:tc>
          <w:tcPr>
            <w:tcW w:w="744" w:type="dxa"/>
            <w:tcBorders>
              <w:top w:val="nil"/>
              <w:left w:val="nil"/>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8 662</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47</w:t>
            </w:r>
          </w:p>
        </w:tc>
        <w:tc>
          <w:tcPr>
            <w:tcW w:w="744" w:type="dxa"/>
            <w:tcBorders>
              <w:top w:val="nil"/>
              <w:left w:val="nil"/>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17</w:t>
            </w:r>
          </w:p>
        </w:tc>
        <w:tc>
          <w:tcPr>
            <w:tcW w:w="744" w:type="dxa"/>
            <w:tcBorders>
              <w:top w:val="nil"/>
              <w:left w:val="nil"/>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17</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príjmy z transakcií s fin. akt. a pas., z toho: (FO)</w:t>
            </w:r>
          </w:p>
        </w:tc>
        <w:tc>
          <w:tcPr>
            <w:tcW w:w="744" w:type="dxa"/>
            <w:tcBorders>
              <w:top w:val="nil"/>
              <w:left w:val="single" w:sz="4" w:space="0" w:color="auto"/>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120 153</w:t>
            </w:r>
          </w:p>
        </w:tc>
        <w:tc>
          <w:tcPr>
            <w:tcW w:w="744" w:type="dxa"/>
            <w:tcBorders>
              <w:top w:val="nil"/>
              <w:left w:val="nil"/>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102 510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71 892</w:t>
            </w:r>
          </w:p>
        </w:tc>
        <w:tc>
          <w:tcPr>
            <w:tcW w:w="744" w:type="dxa"/>
            <w:tcBorders>
              <w:top w:val="nil"/>
              <w:left w:val="nil"/>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885 278</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36 652</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26 627</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21 747</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ind w:firstLine="320" w:firstLineChars="200"/>
              <w:rPr>
                <w:rFonts w:ascii="Times New Roman" w:hAnsi="Times New Roman"/>
                <w:sz w:val="16"/>
                <w:szCs w:val="16"/>
              </w:rPr>
            </w:pPr>
            <w:r w:rsidRPr="00C23612">
              <w:rPr>
                <w:rFonts w:ascii="Times New Roman" w:hAnsi="Times New Roman"/>
                <w:sz w:val="16"/>
                <w:szCs w:val="16"/>
              </w:rPr>
              <w:t xml:space="preserve">      príjmy z privatizácie (FO)</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800 009</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ind w:firstLine="320" w:firstLineChars="200"/>
              <w:rPr>
                <w:rFonts w:ascii="Times New Roman" w:hAnsi="Times New Roman"/>
                <w:sz w:val="16"/>
                <w:szCs w:val="16"/>
              </w:rPr>
            </w:pPr>
            <w:r w:rsidRPr="00C23612">
              <w:rPr>
                <w:rFonts w:ascii="Times New Roman" w:hAnsi="Times New Roman"/>
                <w:sz w:val="16"/>
                <w:szCs w:val="16"/>
              </w:rPr>
              <w:t xml:space="preserve">      ostatné finančné operácie (FO)</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110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25</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14</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ind w:firstLine="320" w:firstLineChars="200"/>
              <w:rPr>
                <w:rFonts w:ascii="Times New Roman" w:hAnsi="Times New Roman"/>
                <w:sz w:val="16"/>
                <w:szCs w:val="16"/>
              </w:rPr>
            </w:pPr>
            <w:r w:rsidRPr="00C23612">
              <w:rPr>
                <w:rFonts w:ascii="Times New Roman" w:hAnsi="Times New Roman"/>
                <w:sz w:val="16"/>
                <w:szCs w:val="16"/>
              </w:rPr>
              <w:t xml:space="preserve">      zostatok pros. z pred. rokov (FO)</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color w:val="000000"/>
                <w:sz w:val="16"/>
                <w:szCs w:val="16"/>
              </w:rPr>
            </w:pPr>
            <w:r w:rsidRPr="00C23612">
              <w:rPr>
                <w:rFonts w:ascii="Times New Roman" w:hAnsi="Times New Roman"/>
                <w:color w:val="000000"/>
                <w:sz w:val="16"/>
                <w:szCs w:val="16"/>
              </w:rPr>
              <w:t>120 043</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color w:val="000000"/>
                <w:sz w:val="16"/>
                <w:szCs w:val="16"/>
              </w:rPr>
            </w:pPr>
            <w:r w:rsidRPr="00C23612">
              <w:rPr>
                <w:rFonts w:ascii="Times New Roman" w:hAnsi="Times New Roman"/>
                <w:color w:val="000000"/>
                <w:sz w:val="16"/>
                <w:szCs w:val="16"/>
              </w:rPr>
              <w:t>102 484</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71 892</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color w:val="000000"/>
                <w:sz w:val="16"/>
                <w:szCs w:val="16"/>
              </w:rPr>
            </w:pPr>
            <w:r w:rsidRPr="00C23612">
              <w:rPr>
                <w:rFonts w:ascii="Times New Roman" w:hAnsi="Times New Roman"/>
                <w:color w:val="000000"/>
                <w:sz w:val="16"/>
                <w:szCs w:val="16"/>
              </w:rPr>
              <w:t>85 255</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36 652</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26 627</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21 747</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shd w:val="clear" w:color="000000" w:fill="C0C0C0"/>
            <w:noWrap/>
            <w:textDirection w:val="lrTb"/>
            <w:vAlign w:val="center"/>
            <w:hideMark/>
          </w:tcPr>
          <w:p w:rsidR="008225DB" w:rsidRPr="00C23612" w:rsidP="000008FE">
            <w:pPr>
              <w:bidi w:val="0"/>
              <w:rPr>
                <w:rFonts w:ascii="Times New Roman" w:hAnsi="Times New Roman"/>
                <w:b/>
                <w:bCs/>
                <w:sz w:val="16"/>
                <w:szCs w:val="16"/>
              </w:rPr>
            </w:pPr>
            <w:r w:rsidRPr="00C23612">
              <w:rPr>
                <w:rFonts w:ascii="Times New Roman" w:hAnsi="Times New Roman"/>
                <w:b/>
                <w:bCs/>
                <w:sz w:val="16"/>
                <w:szCs w:val="16"/>
              </w:rPr>
              <w:t>Výdavky FNM SR spolu</w:t>
            </w:r>
          </w:p>
        </w:tc>
        <w:tc>
          <w:tcPr>
            <w:tcW w:w="744" w:type="dxa"/>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470 295</w:t>
            </w:r>
          </w:p>
        </w:tc>
        <w:tc>
          <w:tcPr>
            <w:tcW w:w="744" w:type="dxa"/>
            <w:tcBorders>
              <w:top w:val="nil"/>
              <w:left w:val="nil"/>
              <w:bottom w:val="single" w:sz="4" w:space="0" w:color="auto"/>
              <w:right w:val="nil"/>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284 538</w:t>
            </w:r>
          </w:p>
        </w:tc>
        <w:tc>
          <w:tcPr>
            <w:tcW w:w="744" w:type="dxa"/>
            <w:tcBorders>
              <w:top w:val="nil"/>
              <w:left w:val="single" w:sz="4" w:space="0" w:color="auto"/>
              <w:bottom w:val="single" w:sz="4" w:space="0" w:color="auto"/>
              <w:right w:val="nil"/>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27 040</w:t>
            </w:r>
          </w:p>
        </w:tc>
        <w:tc>
          <w:tcPr>
            <w:tcW w:w="744" w:type="dxa"/>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857 378</w:t>
            </w:r>
          </w:p>
        </w:tc>
        <w:tc>
          <w:tcPr>
            <w:tcW w:w="744" w:type="dxa"/>
            <w:tcBorders>
              <w:top w:val="nil"/>
              <w:left w:val="nil"/>
              <w:bottom w:val="single" w:sz="4" w:space="0" w:color="auto"/>
              <w:right w:val="single" w:sz="4" w:space="0" w:color="auto"/>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10 095</w:t>
            </w:r>
          </w:p>
        </w:tc>
        <w:tc>
          <w:tcPr>
            <w:tcW w:w="744" w:type="dxa"/>
            <w:tcBorders>
              <w:top w:val="nil"/>
              <w:left w:val="nil"/>
              <w:bottom w:val="single" w:sz="4" w:space="0" w:color="auto"/>
              <w:right w:val="single" w:sz="4" w:space="0" w:color="auto"/>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4 920</w:t>
            </w:r>
          </w:p>
        </w:tc>
        <w:tc>
          <w:tcPr>
            <w:tcW w:w="744" w:type="dxa"/>
            <w:tcBorders>
              <w:top w:val="nil"/>
              <w:left w:val="nil"/>
              <w:bottom w:val="single" w:sz="4" w:space="0" w:color="auto"/>
              <w:right w:val="single" w:sz="4" w:space="0" w:color="auto"/>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4 160</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z toho:</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rPr>
                <w:rFonts w:ascii="Times New Roman" w:hAnsi="Times New Roman"/>
                <w:color w:val="000000"/>
                <w:sz w:val="16"/>
                <w:szCs w:val="16"/>
              </w:rPr>
            </w:pPr>
            <w:r w:rsidRPr="00C23612">
              <w:rPr>
                <w:rFonts w:ascii="Times New Roman" w:hAnsi="Times New Roman"/>
                <w:color w:val="000000"/>
                <w:sz w:val="16"/>
                <w:szCs w:val="16"/>
              </w:rPr>
              <w:t> </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rPr>
                <w:rFonts w:ascii="Times New Roman" w:hAnsi="Times New Roman"/>
                <w:color w:val="000000"/>
                <w:sz w:val="16"/>
                <w:szCs w:val="16"/>
              </w:rPr>
            </w:pPr>
            <w:r w:rsidRPr="00C23612">
              <w:rPr>
                <w:rFonts w:ascii="Times New Roman" w:hAnsi="Times New Roman"/>
                <w:color w:val="000000"/>
                <w:sz w:val="16"/>
                <w:szCs w:val="16"/>
              </w:rPr>
              <w:t> </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rPr>
                <w:rFonts w:ascii="Times New Roman" w:hAnsi="Times New Roman"/>
                <w:color w:val="000000"/>
                <w:sz w:val="16"/>
                <w:szCs w:val="16"/>
              </w:rPr>
            </w:pPr>
            <w:r w:rsidRPr="00C23612">
              <w:rPr>
                <w:rFonts w:ascii="Times New Roman" w:hAnsi="Times New Roman"/>
                <w:color w:val="000000"/>
                <w:sz w:val="16"/>
                <w:szCs w:val="16"/>
              </w:rPr>
              <w:t> </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rPr>
                <w:rFonts w:ascii="Times New Roman" w:hAnsi="Times New Roman"/>
                <w:color w:val="000000"/>
                <w:sz w:val="16"/>
                <w:szCs w:val="16"/>
              </w:rPr>
            </w:pPr>
            <w:r w:rsidRPr="00C23612">
              <w:rPr>
                <w:rFonts w:ascii="Times New Roman" w:hAnsi="Times New Roman"/>
                <w:color w:val="000000"/>
                <w:sz w:val="16"/>
                <w:szCs w:val="16"/>
              </w:rPr>
              <w:t> </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transfer do ŠFA </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452 267</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266 027</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15 424</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808 662</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47</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17</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17</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výdavky spojené s činnosťou FNM SR</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2 106</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1 900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2 071</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2 071</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1 665</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1 665</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1 665</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úhrada nákladov spojených s privatizáciou</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538</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1 440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786</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26 886</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772</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745</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739</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výdavky spojené s reštitučnými nárokmi</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766</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766</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764</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766</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766</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úhrada nákladov  v dôsl. odstúp.od zmluvy </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1 642</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3 521</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50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8 550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45</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40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40</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na ďalšie účely (osobitný predpis) CP fyz. osoby</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10 639</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8 604</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6 500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9 000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6 500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1 400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700</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úhrada nákladov spojených s ukonč. činn. fondu</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1 831</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2 884</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1 000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1 000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výdavky FNM SR (§ 15)</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140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140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výdavky FNM SR (§ 30)</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ostatné</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4</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4</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3</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3</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3</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splátka dlhopisov FNM SR</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267</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160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299</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299</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299</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284</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230</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z toho:  úrok</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24</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32</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43</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43</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43</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43</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43</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istina (FO)</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128</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96</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133</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133</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133</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133</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133</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daň</w:t>
            </w:r>
          </w:p>
        </w:tc>
        <w:tc>
          <w:tcPr>
            <w:tcW w:w="744" w:type="dxa"/>
            <w:tcBorders>
              <w:top w:val="nil"/>
              <w:left w:val="single" w:sz="4" w:space="0" w:color="auto"/>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1</w:t>
            </w:r>
          </w:p>
        </w:tc>
        <w:tc>
          <w:tcPr>
            <w:tcW w:w="744" w:type="dxa"/>
            <w:tcBorders>
              <w:top w:val="nil"/>
              <w:left w:val="nil"/>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1</w:t>
            </w:r>
          </w:p>
        </w:tc>
        <w:tc>
          <w:tcPr>
            <w:tcW w:w="744" w:type="dxa"/>
            <w:tcBorders>
              <w:top w:val="nil"/>
              <w:left w:val="nil"/>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4</w:t>
            </w:r>
          </w:p>
        </w:tc>
        <w:tc>
          <w:tcPr>
            <w:tcW w:w="744" w:type="dxa"/>
            <w:tcBorders>
              <w:top w:val="nil"/>
              <w:left w:val="nil"/>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4</w:t>
            </w:r>
          </w:p>
        </w:tc>
        <w:tc>
          <w:tcPr>
            <w:tcW w:w="744" w:type="dxa"/>
            <w:tcBorders>
              <w:top w:val="nil"/>
              <w:left w:val="nil"/>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1</w:t>
            </w:r>
          </w:p>
        </w:tc>
        <w:tc>
          <w:tcPr>
            <w:tcW w:w="744" w:type="dxa"/>
            <w:tcBorders>
              <w:top w:val="nil"/>
              <w:left w:val="nil"/>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1</w:t>
            </w:r>
          </w:p>
        </w:tc>
        <w:tc>
          <w:tcPr>
            <w:tcW w:w="744" w:type="dxa"/>
            <w:tcBorders>
              <w:top w:val="nil"/>
              <w:left w:val="nil"/>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1</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poplatok</w:t>
            </w:r>
          </w:p>
        </w:tc>
        <w:tc>
          <w:tcPr>
            <w:tcW w:w="744" w:type="dxa"/>
            <w:tcBorders>
              <w:top w:val="nil"/>
              <w:left w:val="single" w:sz="4" w:space="0" w:color="auto"/>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114</w:t>
            </w:r>
          </w:p>
        </w:tc>
        <w:tc>
          <w:tcPr>
            <w:tcW w:w="744" w:type="dxa"/>
            <w:tcBorders>
              <w:top w:val="nil"/>
              <w:left w:val="nil"/>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31</w:t>
            </w:r>
          </w:p>
        </w:tc>
        <w:tc>
          <w:tcPr>
            <w:tcW w:w="744" w:type="dxa"/>
            <w:tcBorders>
              <w:top w:val="nil"/>
              <w:left w:val="nil"/>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119</w:t>
            </w:r>
          </w:p>
        </w:tc>
        <w:tc>
          <w:tcPr>
            <w:tcW w:w="744" w:type="dxa"/>
            <w:tcBorders>
              <w:top w:val="nil"/>
              <w:left w:val="nil"/>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119</w:t>
            </w:r>
          </w:p>
        </w:tc>
        <w:tc>
          <w:tcPr>
            <w:tcW w:w="744" w:type="dxa"/>
            <w:tcBorders>
              <w:top w:val="nil"/>
              <w:left w:val="nil"/>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122</w:t>
            </w:r>
          </w:p>
        </w:tc>
        <w:tc>
          <w:tcPr>
            <w:tcW w:w="744" w:type="dxa"/>
            <w:tcBorders>
              <w:top w:val="nil"/>
              <w:left w:val="nil"/>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107</w:t>
            </w:r>
          </w:p>
        </w:tc>
        <w:tc>
          <w:tcPr>
            <w:tcW w:w="744" w:type="dxa"/>
            <w:tcBorders>
              <w:top w:val="nil"/>
              <w:left w:val="nil"/>
              <w:bottom w:val="single" w:sz="4" w:space="0" w:color="auto"/>
              <w:right w:val="single" w:sz="4" w:space="0" w:color="auto"/>
            </w:tcBorders>
            <w:noWrap/>
            <w:textDirection w:val="lrTb"/>
            <w:vAlign w:val="center"/>
            <w:hideMark/>
          </w:tcPr>
          <w:p w:rsidR="008225DB" w:rsidRPr="00C23612" w:rsidP="000008FE">
            <w:pPr>
              <w:bidi w:val="0"/>
              <w:jc w:val="right"/>
              <w:rPr>
                <w:rFonts w:ascii="Times New Roman" w:hAnsi="Times New Roman"/>
                <w:iCs/>
                <w:sz w:val="16"/>
                <w:szCs w:val="16"/>
              </w:rPr>
            </w:pPr>
            <w:r w:rsidRPr="00C23612">
              <w:rPr>
                <w:rFonts w:ascii="Times New Roman" w:hAnsi="Times New Roman"/>
                <w:iCs/>
                <w:sz w:val="16"/>
                <w:szCs w:val="16"/>
              </w:rPr>
              <w:t>53</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účasť na majetku a iné FO (FO)</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1 005</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nákup maj. účastí, na kt. má fond predk.právo (FO)</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ostatné výdavkové fin. operácie (FO)</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0</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shd w:val="clear" w:color="000000" w:fill="C0C0C0"/>
            <w:noWrap/>
            <w:textDirection w:val="lrTb"/>
            <w:vAlign w:val="center"/>
            <w:hideMark/>
          </w:tcPr>
          <w:p w:rsidR="008225DB" w:rsidRPr="00C23612" w:rsidP="000008FE">
            <w:pPr>
              <w:bidi w:val="0"/>
              <w:rPr>
                <w:rFonts w:ascii="Times New Roman" w:hAnsi="Times New Roman"/>
                <w:b/>
                <w:bCs/>
                <w:sz w:val="16"/>
                <w:szCs w:val="16"/>
              </w:rPr>
            </w:pPr>
            <w:r w:rsidRPr="00C23612">
              <w:rPr>
                <w:rFonts w:ascii="Times New Roman" w:hAnsi="Times New Roman"/>
                <w:b/>
                <w:bCs/>
                <w:sz w:val="16"/>
                <w:szCs w:val="16"/>
              </w:rPr>
              <w:t>Celková bilancia FNM SR</w:t>
            </w:r>
          </w:p>
        </w:tc>
        <w:tc>
          <w:tcPr>
            <w:tcW w:w="744" w:type="dxa"/>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102 486</w:t>
            </w:r>
          </w:p>
        </w:tc>
        <w:tc>
          <w:tcPr>
            <w:tcW w:w="744" w:type="dxa"/>
            <w:tcBorders>
              <w:top w:val="nil"/>
              <w:left w:val="nil"/>
              <w:bottom w:val="single" w:sz="4" w:space="0" w:color="auto"/>
              <w:right w:val="single" w:sz="4" w:space="0" w:color="auto"/>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85 255</w:t>
            </w:r>
          </w:p>
        </w:tc>
        <w:tc>
          <w:tcPr>
            <w:tcW w:w="744" w:type="dxa"/>
            <w:tcBorders>
              <w:top w:val="nil"/>
              <w:left w:val="nil"/>
              <w:bottom w:val="single" w:sz="4" w:space="0" w:color="auto"/>
              <w:right w:val="single" w:sz="4" w:space="0" w:color="auto"/>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60 342</w:t>
            </w:r>
          </w:p>
        </w:tc>
        <w:tc>
          <w:tcPr>
            <w:tcW w:w="744" w:type="dxa"/>
            <w:tcBorders>
              <w:top w:val="nil"/>
              <w:left w:val="nil"/>
              <w:bottom w:val="single" w:sz="4" w:space="0" w:color="auto"/>
              <w:right w:val="single" w:sz="4" w:space="0" w:color="auto"/>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36 652</w:t>
            </w:r>
          </w:p>
        </w:tc>
        <w:tc>
          <w:tcPr>
            <w:tcW w:w="744" w:type="dxa"/>
            <w:tcBorders>
              <w:top w:val="nil"/>
              <w:left w:val="nil"/>
              <w:bottom w:val="single" w:sz="4" w:space="0" w:color="auto"/>
              <w:right w:val="single" w:sz="4" w:space="0" w:color="auto"/>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26 627</w:t>
            </w:r>
          </w:p>
        </w:tc>
        <w:tc>
          <w:tcPr>
            <w:tcW w:w="744" w:type="dxa"/>
            <w:tcBorders>
              <w:top w:val="nil"/>
              <w:left w:val="nil"/>
              <w:bottom w:val="single" w:sz="4" w:space="0" w:color="auto"/>
              <w:right w:val="single" w:sz="4" w:space="0" w:color="auto"/>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21 747</w:t>
            </w:r>
          </w:p>
        </w:tc>
        <w:tc>
          <w:tcPr>
            <w:tcW w:w="744" w:type="dxa"/>
            <w:tcBorders>
              <w:top w:val="nil"/>
              <w:left w:val="nil"/>
              <w:bottom w:val="single" w:sz="4" w:space="0" w:color="auto"/>
              <w:right w:val="single" w:sz="4" w:space="0" w:color="auto"/>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17 627</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b/>
                <w:bCs/>
                <w:iCs/>
                <w:sz w:val="16"/>
                <w:szCs w:val="16"/>
              </w:rPr>
            </w:pPr>
            <w:r w:rsidRPr="00C23612">
              <w:rPr>
                <w:rFonts w:ascii="Times New Roman" w:hAnsi="Times New Roman"/>
                <w:b/>
                <w:bCs/>
                <w:iCs/>
                <w:sz w:val="16"/>
                <w:szCs w:val="16"/>
              </w:rPr>
              <w:t xml:space="preserve"> vylúčenie finančných operácií</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-119 020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-102 414</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-71 759</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-885 145</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-36 519</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-26 494</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-21 614</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b/>
                <w:bCs/>
                <w:iCs/>
                <w:sz w:val="16"/>
                <w:szCs w:val="16"/>
              </w:rPr>
            </w:pPr>
            <w:r w:rsidRPr="00C23612">
              <w:rPr>
                <w:rFonts w:ascii="Times New Roman" w:hAnsi="Times New Roman"/>
                <w:b/>
                <w:bCs/>
                <w:iCs/>
                <w:sz w:val="16"/>
                <w:szCs w:val="16"/>
              </w:rPr>
              <w:t xml:space="preserve">   z toho:</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rPr>
                <w:rFonts w:ascii="Times New Roman" w:hAnsi="Times New Roman"/>
                <w:iCs/>
                <w:color w:val="000000"/>
                <w:sz w:val="16"/>
                <w:szCs w:val="16"/>
              </w:rPr>
            </w:pPr>
            <w:r w:rsidRPr="00C23612">
              <w:rPr>
                <w:rFonts w:ascii="Times New Roman" w:hAnsi="Times New Roman"/>
                <w:iCs/>
                <w:color w:val="000000"/>
                <w:sz w:val="16"/>
                <w:szCs w:val="16"/>
              </w:rPr>
              <w:t> </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rPr>
                <w:rFonts w:ascii="Times New Roman" w:hAnsi="Times New Roman"/>
                <w:iCs/>
                <w:color w:val="000000"/>
                <w:sz w:val="16"/>
                <w:szCs w:val="16"/>
              </w:rPr>
            </w:pPr>
            <w:r w:rsidRPr="00C23612">
              <w:rPr>
                <w:rFonts w:ascii="Times New Roman" w:hAnsi="Times New Roman"/>
                <w:iCs/>
                <w:color w:val="000000"/>
                <w:sz w:val="16"/>
                <w:szCs w:val="16"/>
              </w:rPr>
              <w:t> </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rPr>
                <w:rFonts w:ascii="Times New Roman" w:hAnsi="Times New Roman"/>
                <w:iCs/>
                <w:color w:val="000000"/>
                <w:sz w:val="16"/>
                <w:szCs w:val="16"/>
              </w:rPr>
            </w:pPr>
            <w:r w:rsidRPr="00C23612">
              <w:rPr>
                <w:rFonts w:ascii="Times New Roman" w:hAnsi="Times New Roman"/>
                <w:iCs/>
                <w:color w:val="000000"/>
                <w:sz w:val="16"/>
                <w:szCs w:val="16"/>
              </w:rPr>
              <w:t> </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rPr>
                <w:rFonts w:ascii="Times New Roman" w:hAnsi="Times New Roman"/>
                <w:iCs/>
                <w:color w:val="000000"/>
                <w:sz w:val="16"/>
                <w:szCs w:val="16"/>
              </w:rPr>
            </w:pPr>
            <w:r w:rsidRPr="00C23612">
              <w:rPr>
                <w:rFonts w:ascii="Times New Roman" w:hAnsi="Times New Roman"/>
                <w:iCs/>
                <w:color w:val="000000"/>
                <w:sz w:val="16"/>
                <w:szCs w:val="16"/>
              </w:rPr>
              <w:t> </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rPr>
                <w:rFonts w:ascii="Times New Roman" w:hAnsi="Times New Roman"/>
                <w:iCs/>
                <w:sz w:val="16"/>
                <w:szCs w:val="16"/>
              </w:rPr>
            </w:pPr>
            <w:r w:rsidRPr="00C23612">
              <w:rPr>
                <w:rFonts w:ascii="Times New Roman" w:hAnsi="Times New Roman"/>
                <w:iCs/>
                <w:sz w:val="16"/>
                <w:szCs w:val="16"/>
              </w:rPr>
              <w:t> </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rPr>
                <w:rFonts w:ascii="Times New Roman" w:hAnsi="Times New Roman"/>
                <w:iCs/>
                <w:sz w:val="16"/>
                <w:szCs w:val="16"/>
              </w:rPr>
            </w:pPr>
            <w:r w:rsidRPr="00C23612">
              <w:rPr>
                <w:rFonts w:ascii="Times New Roman" w:hAnsi="Times New Roman"/>
                <w:iCs/>
                <w:sz w:val="16"/>
                <w:szCs w:val="16"/>
              </w:rPr>
              <w:t> </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rPr>
                <w:rFonts w:ascii="Times New Roman" w:hAnsi="Times New Roman"/>
                <w:iCs/>
                <w:sz w:val="16"/>
                <w:szCs w:val="16"/>
              </w:rPr>
            </w:pPr>
            <w:r w:rsidRPr="00C23612">
              <w:rPr>
                <w:rFonts w:ascii="Times New Roman" w:hAnsi="Times New Roman"/>
                <w:iCs/>
                <w:sz w:val="16"/>
                <w:szCs w:val="16"/>
              </w:rPr>
              <w:t> </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vylúčenie príjmových (FO)</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color w:val="000000"/>
                <w:sz w:val="16"/>
                <w:szCs w:val="16"/>
              </w:rPr>
            </w:pPr>
            <w:r w:rsidRPr="00C23612">
              <w:rPr>
                <w:rFonts w:ascii="Times New Roman" w:hAnsi="Times New Roman"/>
                <w:color w:val="000000"/>
                <w:sz w:val="16"/>
                <w:szCs w:val="16"/>
              </w:rPr>
              <w:t>-120 153</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-102 510</w:t>
            </w:r>
          </w:p>
        </w:tc>
        <w:tc>
          <w:tcPr>
            <w:tcW w:w="744" w:type="dxa"/>
            <w:tcBorders>
              <w:top w:val="nil"/>
              <w:left w:val="single" w:sz="4" w:space="0" w:color="auto"/>
              <w:bottom w:val="single" w:sz="4" w:space="0" w:color="auto"/>
              <w:right w:val="nil"/>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-71 892</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-885 278</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-36 652</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-26 627</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-21 747</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noWrap/>
            <w:textDirection w:val="lrTb"/>
            <w:vAlign w:val="center"/>
            <w:hideMark/>
          </w:tcPr>
          <w:p w:rsidR="008225DB" w:rsidRPr="00C23612" w:rsidP="000008FE">
            <w:pPr>
              <w:bidi w:val="0"/>
              <w:rPr>
                <w:rFonts w:ascii="Times New Roman" w:hAnsi="Times New Roman"/>
                <w:sz w:val="16"/>
                <w:szCs w:val="16"/>
              </w:rPr>
            </w:pPr>
            <w:r w:rsidRPr="00C23612">
              <w:rPr>
                <w:rFonts w:ascii="Times New Roman" w:hAnsi="Times New Roman"/>
                <w:sz w:val="16"/>
                <w:szCs w:val="16"/>
              </w:rPr>
              <w:t xml:space="preserve">    ▪   vylúčenie výdavkových (FO)</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color w:val="000000"/>
                <w:sz w:val="16"/>
                <w:szCs w:val="16"/>
              </w:rPr>
            </w:pPr>
            <w:r w:rsidRPr="00C23612">
              <w:rPr>
                <w:rFonts w:ascii="Times New Roman" w:hAnsi="Times New Roman"/>
                <w:color w:val="000000"/>
                <w:sz w:val="16"/>
                <w:szCs w:val="16"/>
              </w:rPr>
              <w:t>1 133</w:t>
            </w:r>
          </w:p>
        </w:tc>
        <w:tc>
          <w:tcPr>
            <w:tcW w:w="744" w:type="dxa"/>
            <w:tcBorders>
              <w:top w:val="nil"/>
              <w:left w:val="nil"/>
              <w:bottom w:val="single" w:sz="4" w:space="0" w:color="auto"/>
              <w:right w:val="nil"/>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96</w:t>
            </w:r>
          </w:p>
        </w:tc>
        <w:tc>
          <w:tcPr>
            <w:tcW w:w="744" w:type="dxa"/>
            <w:tcBorders>
              <w:top w:val="nil"/>
              <w:left w:val="single" w:sz="4" w:space="0" w:color="auto"/>
              <w:bottom w:val="single" w:sz="4" w:space="0" w:color="auto"/>
              <w:right w:val="nil"/>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133</w:t>
            </w:r>
          </w:p>
        </w:tc>
        <w:tc>
          <w:tcPr>
            <w:tcW w:w="744"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133</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133</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133</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sz w:val="16"/>
                <w:szCs w:val="16"/>
              </w:rPr>
            </w:pPr>
            <w:r w:rsidRPr="00C23612">
              <w:rPr>
                <w:rFonts w:ascii="Times New Roman" w:hAnsi="Times New Roman"/>
                <w:sz w:val="16"/>
                <w:szCs w:val="16"/>
              </w:rPr>
              <w:t>133</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single" w:sz="4" w:space="0" w:color="auto"/>
            </w:tcBorders>
            <w:noWrap/>
            <w:textDirection w:val="lrTb"/>
            <w:vAlign w:val="center"/>
            <w:hideMark/>
          </w:tcPr>
          <w:p w:rsidR="008225DB" w:rsidRPr="00C23612" w:rsidP="000008FE">
            <w:pPr>
              <w:bidi w:val="0"/>
              <w:rPr>
                <w:rFonts w:ascii="Times New Roman" w:hAnsi="Times New Roman"/>
                <w:b/>
                <w:bCs/>
                <w:iCs/>
                <w:sz w:val="16"/>
                <w:szCs w:val="16"/>
              </w:rPr>
            </w:pPr>
            <w:r w:rsidRPr="00C23612">
              <w:rPr>
                <w:rFonts w:ascii="Times New Roman" w:hAnsi="Times New Roman"/>
                <w:b/>
                <w:bCs/>
                <w:iCs/>
                <w:sz w:val="16"/>
                <w:szCs w:val="16"/>
              </w:rPr>
              <w:t xml:space="preserve">  medziročná zmena stavu pohľadávok a záväzkov</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-183 568</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1 531</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0</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single" w:sz="4" w:space="0" w:color="auto"/>
            </w:tcBorders>
            <w:noWrap/>
            <w:textDirection w:val="lrTb"/>
            <w:vAlign w:val="center"/>
            <w:hideMark/>
          </w:tcPr>
          <w:p w:rsidR="008225DB" w:rsidRPr="00C23612" w:rsidP="000008FE">
            <w:pPr>
              <w:bidi w:val="0"/>
              <w:rPr>
                <w:rFonts w:ascii="Times New Roman" w:hAnsi="Times New Roman"/>
                <w:b/>
                <w:bCs/>
                <w:iCs/>
                <w:sz w:val="16"/>
                <w:szCs w:val="16"/>
              </w:rPr>
            </w:pPr>
            <w:r w:rsidRPr="00C23612">
              <w:rPr>
                <w:rFonts w:ascii="Times New Roman" w:hAnsi="Times New Roman"/>
                <w:b/>
                <w:bCs/>
                <w:iCs/>
                <w:sz w:val="16"/>
                <w:szCs w:val="16"/>
              </w:rPr>
              <w:t xml:space="preserve">  ostatné úpravy</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-130 791</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-16 042</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-3 334</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0</w:t>
            </w:r>
          </w:p>
        </w:tc>
        <w:tc>
          <w:tcPr>
            <w:tcW w:w="744" w:type="dxa"/>
            <w:tcBorders>
              <w:top w:val="nil"/>
              <w:left w:val="nil"/>
              <w:bottom w:val="single" w:sz="4" w:space="0" w:color="auto"/>
              <w:right w:val="single" w:sz="4" w:space="0" w:color="auto"/>
            </w:tcBorders>
            <w:shd w:val="clear" w:color="000000" w:fill="FFFFFF"/>
            <w:noWrap/>
            <w:textDirection w:val="lrTb"/>
            <w:vAlign w:val="center"/>
            <w:hideMark/>
          </w:tcPr>
          <w:p w:rsidR="008225DB" w:rsidRPr="00C23612" w:rsidP="000008FE">
            <w:pPr>
              <w:bidi w:val="0"/>
              <w:jc w:val="right"/>
              <w:rPr>
                <w:rFonts w:ascii="Times New Roman" w:hAnsi="Times New Roman"/>
                <w:b/>
                <w:bCs/>
                <w:iCs/>
                <w:sz w:val="16"/>
                <w:szCs w:val="16"/>
              </w:rPr>
            </w:pPr>
            <w:r w:rsidRPr="00C23612">
              <w:rPr>
                <w:rFonts w:ascii="Times New Roman" w:hAnsi="Times New Roman"/>
                <w:b/>
                <w:bCs/>
                <w:iCs/>
                <w:sz w:val="16"/>
                <w:szCs w:val="16"/>
              </w:rPr>
              <w:t>0</w:t>
            </w:r>
          </w:p>
        </w:tc>
      </w:tr>
      <w:tr>
        <w:tblPrEx>
          <w:tblW w:w="9083" w:type="dxa"/>
          <w:tblInd w:w="55" w:type="dxa"/>
          <w:tblCellMar>
            <w:left w:w="70" w:type="dxa"/>
            <w:right w:w="70" w:type="dxa"/>
          </w:tblCellMar>
          <w:tblLook w:val="04A0"/>
        </w:tblPrEx>
        <w:trPr>
          <w:trHeight w:val="260"/>
        </w:trPr>
        <w:tc>
          <w:tcPr>
            <w:tcW w:w="3875" w:type="dxa"/>
            <w:tcBorders>
              <w:top w:val="nil"/>
              <w:left w:val="single" w:sz="4" w:space="0" w:color="auto"/>
              <w:bottom w:val="single" w:sz="4" w:space="0" w:color="auto"/>
              <w:right w:val="nil"/>
            </w:tcBorders>
            <w:shd w:val="clear" w:color="000000" w:fill="C0C0C0"/>
            <w:noWrap/>
            <w:textDirection w:val="lrTb"/>
            <w:vAlign w:val="center"/>
            <w:hideMark/>
          </w:tcPr>
          <w:p w:rsidR="008225DB" w:rsidRPr="00C23612" w:rsidP="000008FE">
            <w:pPr>
              <w:bidi w:val="0"/>
              <w:rPr>
                <w:rFonts w:ascii="Times New Roman" w:hAnsi="Times New Roman"/>
                <w:b/>
                <w:bCs/>
                <w:sz w:val="16"/>
                <w:szCs w:val="16"/>
              </w:rPr>
            </w:pPr>
            <w:r w:rsidRPr="00C23612">
              <w:rPr>
                <w:rFonts w:ascii="Times New Roman" w:hAnsi="Times New Roman"/>
                <w:b/>
                <w:bCs/>
                <w:sz w:val="16"/>
                <w:szCs w:val="16"/>
              </w:rPr>
              <w:t>Prebytok (+)/schodok (-) FNM SR   (ESA 2010)</w:t>
            </w:r>
          </w:p>
        </w:tc>
        <w:tc>
          <w:tcPr>
            <w:tcW w:w="744" w:type="dxa"/>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8225DB" w:rsidRPr="00C23612" w:rsidP="000008FE">
            <w:pPr>
              <w:bidi w:val="0"/>
              <w:jc w:val="right"/>
              <w:rPr>
                <w:rFonts w:ascii="Times New Roman" w:hAnsi="Times New Roman"/>
                <w:b/>
                <w:bCs/>
                <w:color w:val="000000"/>
                <w:sz w:val="16"/>
                <w:szCs w:val="16"/>
              </w:rPr>
            </w:pPr>
            <w:r w:rsidRPr="00C23612">
              <w:rPr>
                <w:rFonts w:ascii="Times New Roman" w:hAnsi="Times New Roman"/>
                <w:b/>
                <w:bCs/>
                <w:color w:val="000000"/>
                <w:sz w:val="16"/>
                <w:szCs w:val="16"/>
              </w:rPr>
              <w:t>-147 325</w:t>
            </w:r>
          </w:p>
        </w:tc>
        <w:tc>
          <w:tcPr>
            <w:tcW w:w="744" w:type="dxa"/>
            <w:tcBorders>
              <w:top w:val="nil"/>
              <w:left w:val="nil"/>
              <w:bottom w:val="single" w:sz="4" w:space="0" w:color="auto"/>
              <w:right w:val="nil"/>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-216 769</w:t>
            </w:r>
          </w:p>
        </w:tc>
        <w:tc>
          <w:tcPr>
            <w:tcW w:w="744" w:type="dxa"/>
            <w:tcBorders>
              <w:top w:val="nil"/>
              <w:left w:val="single" w:sz="4" w:space="0" w:color="auto"/>
              <w:bottom w:val="single" w:sz="4" w:space="0" w:color="auto"/>
              <w:right w:val="nil"/>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-11 417</w:t>
            </w:r>
          </w:p>
        </w:tc>
        <w:tc>
          <w:tcPr>
            <w:tcW w:w="744" w:type="dxa"/>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-850 296</w:t>
            </w:r>
          </w:p>
        </w:tc>
        <w:tc>
          <w:tcPr>
            <w:tcW w:w="744" w:type="dxa"/>
            <w:tcBorders>
              <w:top w:val="nil"/>
              <w:left w:val="nil"/>
              <w:bottom w:val="single" w:sz="4" w:space="0" w:color="auto"/>
              <w:right w:val="single" w:sz="4" w:space="0" w:color="auto"/>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-9 892</w:t>
            </w:r>
          </w:p>
        </w:tc>
        <w:tc>
          <w:tcPr>
            <w:tcW w:w="744" w:type="dxa"/>
            <w:tcBorders>
              <w:top w:val="nil"/>
              <w:left w:val="nil"/>
              <w:bottom w:val="single" w:sz="4" w:space="0" w:color="auto"/>
              <w:right w:val="single" w:sz="4" w:space="0" w:color="auto"/>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-4 747</w:t>
            </w:r>
          </w:p>
        </w:tc>
        <w:tc>
          <w:tcPr>
            <w:tcW w:w="744" w:type="dxa"/>
            <w:tcBorders>
              <w:top w:val="nil"/>
              <w:left w:val="nil"/>
              <w:bottom w:val="single" w:sz="4" w:space="0" w:color="auto"/>
              <w:right w:val="single" w:sz="4" w:space="0" w:color="auto"/>
            </w:tcBorders>
            <w:shd w:val="clear" w:color="000000" w:fill="C0C0C0"/>
            <w:noWrap/>
            <w:textDirection w:val="lrTb"/>
            <w:vAlign w:val="center"/>
            <w:hideMark/>
          </w:tcPr>
          <w:p w:rsidR="008225DB" w:rsidRPr="00C23612" w:rsidP="000008FE">
            <w:pPr>
              <w:bidi w:val="0"/>
              <w:jc w:val="right"/>
              <w:rPr>
                <w:rFonts w:ascii="Times New Roman" w:hAnsi="Times New Roman"/>
                <w:b/>
                <w:bCs/>
                <w:sz w:val="16"/>
                <w:szCs w:val="16"/>
              </w:rPr>
            </w:pPr>
            <w:r w:rsidRPr="00C23612">
              <w:rPr>
                <w:rFonts w:ascii="Times New Roman" w:hAnsi="Times New Roman"/>
                <w:b/>
                <w:bCs/>
                <w:sz w:val="16"/>
                <w:szCs w:val="16"/>
              </w:rPr>
              <w:t>-3 987</w:t>
            </w:r>
          </w:p>
        </w:tc>
      </w:tr>
    </w:tbl>
    <w:p w:rsidR="008225DB" w:rsidRPr="00C23612" w:rsidP="008225DB">
      <w:pPr>
        <w:bidi w:val="0"/>
        <w:spacing w:before="120"/>
        <w:jc w:val="both"/>
        <w:rPr>
          <w:rFonts w:ascii="Times New Roman" w:hAnsi="Times New Roman"/>
        </w:rPr>
      </w:pPr>
    </w:p>
    <w:p w:rsidR="008225DB" w:rsidRPr="00395C4B" w:rsidP="008225DB">
      <w:pPr>
        <w:bidi w:val="0"/>
        <w:ind w:firstLine="709"/>
        <w:jc w:val="both"/>
        <w:rPr>
          <w:rFonts w:ascii="Times New Roman" w:hAnsi="Times New Roman"/>
        </w:rPr>
      </w:pPr>
      <w:r>
        <w:rPr>
          <w:rFonts w:ascii="Times New Roman" w:hAnsi="Times New Roman"/>
        </w:rPr>
        <w:t>Návrh rozpočtu Fondu národného majetku SR (ďalej len „FNM SR“) ako súčasť rozpočtu verejnej správy je zostavený v súlade s platnými právnymi predpismi. V súčasnosti sa v legislatívnom procese nachádza návrh zákona o zrušení FNM SR a o zmene a doplnení niektorých zákonov. Po jeho schválení</w:t>
      </w:r>
      <w:r w:rsidRPr="00395C4B">
        <w:rPr>
          <w:rFonts w:ascii="Times New Roman" w:hAnsi="Times New Roman"/>
        </w:rPr>
        <w:t xml:space="preserve"> bud</w:t>
      </w:r>
      <w:r>
        <w:rPr>
          <w:rFonts w:ascii="Times New Roman" w:hAnsi="Times New Roman"/>
        </w:rPr>
        <w:t>e rozpočet verejnej správy na danú zmenu plne reflektovať v rámci schvaľovacieho procesu zákona o štátnom rozpočte na rok 2016.</w:t>
      </w:r>
    </w:p>
    <w:p w:rsidR="008225DB" w:rsidRPr="006573DA" w:rsidP="008225DB">
      <w:pPr>
        <w:bidi w:val="0"/>
        <w:ind w:firstLine="709"/>
        <w:jc w:val="both"/>
        <w:rPr>
          <w:rFonts w:ascii="Times New Roman" w:hAnsi="Times New Roman"/>
          <w:sz w:val="16"/>
          <w:szCs w:val="16"/>
        </w:rPr>
      </w:pPr>
    </w:p>
    <w:p w:rsidR="008225DB" w:rsidP="008225DB">
      <w:pPr>
        <w:bidi w:val="0"/>
        <w:ind w:firstLine="709"/>
        <w:jc w:val="both"/>
        <w:rPr>
          <w:rFonts w:ascii="Times New Roman" w:hAnsi="Times New Roman"/>
        </w:rPr>
      </w:pPr>
      <w:r w:rsidRPr="00B75CD5">
        <w:rPr>
          <w:rFonts w:ascii="Times New Roman" w:hAnsi="Times New Roman"/>
        </w:rPr>
        <w:t xml:space="preserve">Príjmy </w:t>
      </w:r>
      <w:r w:rsidRPr="00395C4B">
        <w:rPr>
          <w:rFonts w:ascii="Times New Roman" w:hAnsi="Times New Roman"/>
        </w:rPr>
        <w:t xml:space="preserve">Fondu národného majetku Slovenskej </w:t>
      </w:r>
      <w:r>
        <w:rPr>
          <w:rFonts w:ascii="Times New Roman" w:hAnsi="Times New Roman"/>
        </w:rPr>
        <w:t xml:space="preserve">republiky </w:t>
      </w:r>
      <w:r w:rsidRPr="00395C4B">
        <w:rPr>
          <w:rFonts w:ascii="Times New Roman" w:hAnsi="Times New Roman"/>
        </w:rPr>
        <w:t>sú na rok 201</w:t>
      </w:r>
      <w:r>
        <w:rPr>
          <w:rFonts w:ascii="Times New Roman" w:hAnsi="Times New Roman"/>
        </w:rPr>
        <w:t>6</w:t>
      </w:r>
      <w:r w:rsidRPr="00395C4B">
        <w:rPr>
          <w:rFonts w:ascii="Times New Roman" w:hAnsi="Times New Roman"/>
        </w:rPr>
        <w:t xml:space="preserve"> rozpočtované v sume </w:t>
      </w:r>
      <w:r>
        <w:rPr>
          <w:rFonts w:ascii="Times New Roman" w:hAnsi="Times New Roman"/>
        </w:rPr>
        <w:t>36 722 tis. eur, čo predstavuje pokles oproti schválenému rozpočtu na rok 2015  o 58,0 %.</w:t>
      </w:r>
      <w:r w:rsidRPr="00395C4B">
        <w:rPr>
          <w:rFonts w:ascii="Times New Roman" w:hAnsi="Times New Roman"/>
        </w:rPr>
        <w:t xml:space="preserve"> </w:t>
      </w:r>
      <w:r>
        <w:rPr>
          <w:rFonts w:ascii="Times New Roman" w:hAnsi="Times New Roman"/>
        </w:rPr>
        <w:t>Príjem FNM SR z dividend sa z dôvodu prechodu akcionárskych práv v energetických spoločnostiach a SPP, a. s. v roku 2014 na štát a predaju majetkového podielu v Slovak Telekom, a. s. v roku 2015 oproti minulým rokom podstatne znížil.</w:t>
      </w:r>
      <w:r w:rsidRPr="00395C4B">
        <w:rPr>
          <w:rFonts w:ascii="Times New Roman" w:hAnsi="Times New Roman"/>
        </w:rPr>
        <w:t xml:space="preserve"> V roku 201</w:t>
      </w:r>
      <w:r>
        <w:rPr>
          <w:rFonts w:ascii="Times New Roman" w:hAnsi="Times New Roman"/>
        </w:rPr>
        <w:t>6</w:t>
      </w:r>
      <w:r w:rsidRPr="00395C4B">
        <w:rPr>
          <w:rFonts w:ascii="Times New Roman" w:hAnsi="Times New Roman"/>
        </w:rPr>
        <w:t xml:space="preserve"> sa objem dividend predpokladá vo výške </w:t>
      </w:r>
      <w:r>
        <w:rPr>
          <w:rFonts w:ascii="Times New Roman" w:hAnsi="Times New Roman"/>
        </w:rPr>
        <w:t>47</w:t>
      </w:r>
      <w:r w:rsidRPr="00395C4B">
        <w:rPr>
          <w:rFonts w:ascii="Times New Roman" w:hAnsi="Times New Roman"/>
        </w:rPr>
        <w:t xml:space="preserve"> tis. eur, čo je oproti schválenému rozpočtu na rok 201</w:t>
      </w:r>
      <w:r>
        <w:rPr>
          <w:rFonts w:ascii="Times New Roman" w:hAnsi="Times New Roman"/>
        </w:rPr>
        <w:t>5</w:t>
      </w:r>
      <w:r w:rsidRPr="00395C4B">
        <w:rPr>
          <w:rFonts w:ascii="Times New Roman" w:hAnsi="Times New Roman"/>
        </w:rPr>
        <w:t xml:space="preserve"> menej o</w:t>
      </w:r>
      <w:r>
        <w:rPr>
          <w:rFonts w:ascii="Times New Roman" w:hAnsi="Times New Roman"/>
        </w:rPr>
        <w:t> 15 377</w:t>
      </w:r>
      <w:r w:rsidRPr="00395C4B">
        <w:rPr>
          <w:rFonts w:ascii="Times New Roman" w:hAnsi="Times New Roman"/>
        </w:rPr>
        <w:t xml:space="preserve"> tis. eur</w:t>
      </w:r>
      <w:r>
        <w:rPr>
          <w:rFonts w:ascii="Times New Roman" w:hAnsi="Times New Roman"/>
        </w:rPr>
        <w:t xml:space="preserve">. </w:t>
      </w:r>
      <w:r w:rsidRPr="00395C4B">
        <w:rPr>
          <w:rFonts w:ascii="Times New Roman" w:hAnsi="Times New Roman"/>
        </w:rPr>
        <w:t>V návrhu rozpočtu na roky 201</w:t>
      </w:r>
      <w:r>
        <w:rPr>
          <w:rFonts w:ascii="Times New Roman" w:hAnsi="Times New Roman"/>
        </w:rPr>
        <w:t>6</w:t>
      </w:r>
      <w:r w:rsidRPr="00395C4B">
        <w:rPr>
          <w:rFonts w:ascii="Times New Roman" w:hAnsi="Times New Roman"/>
        </w:rPr>
        <w:t xml:space="preserve"> až 201</w:t>
      </w:r>
      <w:r>
        <w:rPr>
          <w:rFonts w:ascii="Times New Roman" w:hAnsi="Times New Roman"/>
        </w:rPr>
        <w:t>8</w:t>
      </w:r>
      <w:r w:rsidRPr="00395C4B">
        <w:rPr>
          <w:rFonts w:ascii="Times New Roman" w:hAnsi="Times New Roman"/>
        </w:rPr>
        <w:t xml:space="preserve"> sú rozpočtované iba riadne dividendy. Predpokladá sa, že všetky príjmy z dividend budú v rokoch 201</w:t>
      </w:r>
      <w:r>
        <w:rPr>
          <w:rFonts w:ascii="Times New Roman" w:hAnsi="Times New Roman"/>
        </w:rPr>
        <w:t>6</w:t>
      </w:r>
      <w:r w:rsidRPr="00395C4B">
        <w:rPr>
          <w:rFonts w:ascii="Times New Roman" w:hAnsi="Times New Roman"/>
        </w:rPr>
        <w:t xml:space="preserve"> až 201</w:t>
      </w:r>
      <w:r>
        <w:rPr>
          <w:rFonts w:ascii="Times New Roman" w:hAnsi="Times New Roman"/>
        </w:rPr>
        <w:t>8</w:t>
      </w:r>
      <w:r w:rsidRPr="00395C4B">
        <w:rPr>
          <w:rFonts w:ascii="Times New Roman" w:hAnsi="Times New Roman"/>
        </w:rPr>
        <w:t xml:space="preserve"> transferované prostredníctvom štátnych finančných aktív do príjmov štátneho rozpočtu. </w:t>
      </w:r>
    </w:p>
    <w:p w:rsidR="008225DB" w:rsidRPr="006573DA" w:rsidP="008225DB">
      <w:pPr>
        <w:bidi w:val="0"/>
        <w:ind w:firstLine="709"/>
        <w:jc w:val="both"/>
        <w:rPr>
          <w:rFonts w:ascii="Times New Roman" w:hAnsi="Times New Roman"/>
          <w:sz w:val="16"/>
          <w:szCs w:val="16"/>
        </w:rPr>
      </w:pPr>
    </w:p>
    <w:p w:rsidR="008225DB" w:rsidRPr="00395C4B" w:rsidP="008225DB">
      <w:pPr>
        <w:bidi w:val="0"/>
        <w:ind w:firstLine="709"/>
        <w:jc w:val="both"/>
        <w:rPr>
          <w:rFonts w:ascii="Times New Roman" w:hAnsi="Times New Roman"/>
        </w:rPr>
      </w:pPr>
      <w:r w:rsidRPr="00395C4B">
        <w:rPr>
          <w:rFonts w:ascii="Times New Roman" w:hAnsi="Times New Roman"/>
        </w:rPr>
        <w:t>Výdavky FNM SR sú na rok 201</w:t>
      </w:r>
      <w:r>
        <w:rPr>
          <w:rFonts w:ascii="Times New Roman" w:hAnsi="Times New Roman"/>
        </w:rPr>
        <w:t>6</w:t>
      </w:r>
      <w:r w:rsidRPr="00395C4B">
        <w:rPr>
          <w:rFonts w:ascii="Times New Roman" w:hAnsi="Times New Roman"/>
        </w:rPr>
        <w:t xml:space="preserve"> rozpočtované vo výške </w:t>
      </w:r>
      <w:r>
        <w:rPr>
          <w:rFonts w:ascii="Times New Roman" w:hAnsi="Times New Roman"/>
        </w:rPr>
        <w:t>10 095</w:t>
      </w:r>
      <w:r w:rsidRPr="00395C4B">
        <w:rPr>
          <w:rFonts w:ascii="Times New Roman" w:hAnsi="Times New Roman"/>
        </w:rPr>
        <w:t xml:space="preserve"> tis. eur. V porovnaní so schváleným rozpočtom na rok 201</w:t>
      </w:r>
      <w:r>
        <w:rPr>
          <w:rFonts w:ascii="Times New Roman" w:hAnsi="Times New Roman"/>
        </w:rPr>
        <w:t>5</w:t>
      </w:r>
      <w:r w:rsidRPr="00395C4B">
        <w:rPr>
          <w:rFonts w:ascii="Times New Roman" w:hAnsi="Times New Roman"/>
        </w:rPr>
        <w:t xml:space="preserve"> dochádza v roku 201</w:t>
      </w:r>
      <w:r>
        <w:rPr>
          <w:rFonts w:ascii="Times New Roman" w:hAnsi="Times New Roman"/>
        </w:rPr>
        <w:t>6</w:t>
      </w:r>
      <w:r w:rsidRPr="00395C4B">
        <w:rPr>
          <w:rFonts w:ascii="Times New Roman" w:hAnsi="Times New Roman"/>
        </w:rPr>
        <w:t xml:space="preserve"> k poklesu celkového objemu výdavkov</w:t>
      </w:r>
      <w:r>
        <w:rPr>
          <w:rFonts w:ascii="Times New Roman" w:hAnsi="Times New Roman"/>
        </w:rPr>
        <w:t xml:space="preserve"> o 62,7 %</w:t>
      </w:r>
      <w:r w:rsidRPr="00395C4B">
        <w:rPr>
          <w:rFonts w:ascii="Times New Roman" w:hAnsi="Times New Roman"/>
        </w:rPr>
        <w:t xml:space="preserve">, a to hlavne z dôvodu nižšieho transferu do štátnych finančných aktív v dôsledku </w:t>
      </w:r>
      <w:r>
        <w:rPr>
          <w:rFonts w:ascii="Times New Roman" w:hAnsi="Times New Roman"/>
        </w:rPr>
        <w:t>zníženia prijatých dividend</w:t>
      </w:r>
      <w:r w:rsidRPr="00395C4B">
        <w:rPr>
          <w:rFonts w:ascii="Times New Roman" w:hAnsi="Times New Roman"/>
        </w:rPr>
        <w:t xml:space="preserve">. Ostatné výdavky FNM SR tvoria výdavky </w:t>
      </w:r>
      <w:r>
        <w:rPr>
          <w:rFonts w:ascii="Times New Roman" w:hAnsi="Times New Roman"/>
        </w:rPr>
        <w:t>na jeho činnosť</w:t>
      </w:r>
      <w:r w:rsidRPr="00395C4B">
        <w:rPr>
          <w:rFonts w:ascii="Times New Roman" w:hAnsi="Times New Roman"/>
        </w:rPr>
        <w:t xml:space="preserve"> a výdavky, ktoré FNM SR vyplývajú zo zákona č. 92/1991 Zb. (napr. úhrada nákladov v dôsledku odstúpenia od zmluvy, </w:t>
      </w:r>
      <w:r>
        <w:rPr>
          <w:rFonts w:ascii="Times New Roman" w:hAnsi="Times New Roman"/>
        </w:rPr>
        <w:t>úhrada nákladov spojených s privatizáciou</w:t>
      </w:r>
      <w:r w:rsidRPr="00395C4B">
        <w:rPr>
          <w:rFonts w:ascii="Times New Roman" w:hAnsi="Times New Roman"/>
        </w:rPr>
        <w:t xml:space="preserve"> a pod.).</w:t>
      </w:r>
    </w:p>
    <w:p w:rsidR="008225DB" w:rsidRPr="006573DA" w:rsidP="008225DB">
      <w:pPr>
        <w:bidi w:val="0"/>
        <w:ind w:firstLine="709"/>
        <w:jc w:val="both"/>
        <w:rPr>
          <w:rFonts w:ascii="Times New Roman" w:hAnsi="Times New Roman"/>
          <w:sz w:val="16"/>
          <w:szCs w:val="16"/>
        </w:rPr>
      </w:pPr>
    </w:p>
    <w:p w:rsidR="008225DB" w:rsidP="008225DB">
      <w:pPr>
        <w:bidi w:val="0"/>
        <w:ind w:firstLine="709"/>
        <w:jc w:val="both"/>
        <w:rPr>
          <w:rFonts w:ascii="Times New Roman" w:hAnsi="Times New Roman"/>
        </w:rPr>
      </w:pPr>
      <w:r w:rsidRPr="00395C4B">
        <w:rPr>
          <w:rFonts w:ascii="Times New Roman" w:hAnsi="Times New Roman"/>
        </w:rPr>
        <w:t xml:space="preserve">Výdavky spojené s činnosťou FNM SR </w:t>
      </w:r>
      <w:r>
        <w:rPr>
          <w:rFonts w:ascii="Times New Roman" w:hAnsi="Times New Roman"/>
        </w:rPr>
        <w:t>sú v roku 2016</w:t>
      </w:r>
      <w:r w:rsidRPr="00395C4B">
        <w:rPr>
          <w:rFonts w:ascii="Times New Roman" w:hAnsi="Times New Roman"/>
        </w:rPr>
        <w:t xml:space="preserve"> </w:t>
      </w:r>
      <w:r>
        <w:rPr>
          <w:rFonts w:ascii="Times New Roman" w:hAnsi="Times New Roman"/>
        </w:rPr>
        <w:t xml:space="preserve">rozpočtované vo výške            1 665 tis. eur. Z dôvodu plánovaného ukončenia činnosti FNM SR </w:t>
      </w:r>
      <w:r w:rsidRPr="00395C4B">
        <w:rPr>
          <w:rFonts w:ascii="Times New Roman" w:hAnsi="Times New Roman"/>
        </w:rPr>
        <w:t xml:space="preserve">sú </w:t>
      </w:r>
      <w:r>
        <w:rPr>
          <w:rFonts w:ascii="Times New Roman" w:hAnsi="Times New Roman"/>
        </w:rPr>
        <w:t>oproti schválenému rozpočtu na rok 2015 nižšie o 406 tis. eur, teda o 19,6 %.</w:t>
      </w:r>
    </w:p>
    <w:p w:rsidR="008225DB" w:rsidRPr="006573DA" w:rsidP="008225DB">
      <w:pPr>
        <w:bidi w:val="0"/>
        <w:ind w:firstLine="709"/>
        <w:jc w:val="both"/>
        <w:rPr>
          <w:rFonts w:ascii="Times New Roman" w:hAnsi="Times New Roman"/>
          <w:sz w:val="16"/>
          <w:szCs w:val="16"/>
        </w:rPr>
      </w:pPr>
    </w:p>
    <w:p w:rsidR="008225DB" w:rsidP="008225DB">
      <w:pPr>
        <w:bidi w:val="0"/>
        <w:ind w:firstLine="709"/>
        <w:jc w:val="both"/>
        <w:rPr>
          <w:rFonts w:ascii="Times New Roman" w:hAnsi="Times New Roman"/>
        </w:rPr>
      </w:pPr>
      <w:r w:rsidRPr="00395C4B">
        <w:rPr>
          <w:rFonts w:ascii="Times New Roman" w:hAnsi="Times New Roman"/>
        </w:rPr>
        <w:t>Výdavky spojené s prevodom cenných papierov od fyzických osôb na FNM SR a nákladov spojených s ich nadobudnutím vo výške 6 500 tis. eur sú na úrovni schváleného rozpočtu na rok 201</w:t>
      </w:r>
      <w:r>
        <w:rPr>
          <w:rFonts w:ascii="Times New Roman" w:hAnsi="Times New Roman"/>
        </w:rPr>
        <w:t>5</w:t>
      </w:r>
      <w:r w:rsidRPr="00395C4B">
        <w:rPr>
          <w:rFonts w:ascii="Times New Roman" w:hAnsi="Times New Roman"/>
        </w:rPr>
        <w:t>. Rozpočet FNM SR na roky 201</w:t>
      </w:r>
      <w:r>
        <w:rPr>
          <w:rFonts w:ascii="Times New Roman" w:hAnsi="Times New Roman"/>
        </w:rPr>
        <w:t>6</w:t>
      </w:r>
      <w:r w:rsidRPr="00395C4B">
        <w:rPr>
          <w:rFonts w:ascii="Times New Roman" w:hAnsi="Times New Roman"/>
        </w:rPr>
        <w:t xml:space="preserve"> až 201</w:t>
      </w:r>
      <w:r>
        <w:rPr>
          <w:rFonts w:ascii="Times New Roman" w:hAnsi="Times New Roman"/>
        </w:rPr>
        <w:t>8</w:t>
      </w:r>
      <w:r w:rsidRPr="00395C4B">
        <w:rPr>
          <w:rFonts w:ascii="Times New Roman" w:hAnsi="Times New Roman"/>
        </w:rPr>
        <w:t xml:space="preserve"> </w:t>
      </w:r>
      <w:r>
        <w:rPr>
          <w:rFonts w:ascii="Times New Roman" w:hAnsi="Times New Roman"/>
        </w:rPr>
        <w:t>zahŕňa aj výdavky na splátku dlhopisov</w:t>
      </w:r>
      <w:r w:rsidRPr="003F193C">
        <w:rPr>
          <w:rFonts w:ascii="Times New Roman" w:hAnsi="Times New Roman"/>
        </w:rPr>
        <w:t xml:space="preserve"> </w:t>
      </w:r>
      <w:r w:rsidRPr="00395C4B">
        <w:rPr>
          <w:rFonts w:ascii="Times New Roman" w:hAnsi="Times New Roman"/>
        </w:rPr>
        <w:t>v pôsobnosti FNM SR</w:t>
      </w:r>
      <w:r>
        <w:rPr>
          <w:rFonts w:ascii="Times New Roman" w:hAnsi="Times New Roman"/>
        </w:rPr>
        <w:t xml:space="preserve">, čím sa FNM SR podieľa na znižovaní </w:t>
      </w:r>
      <w:r w:rsidRPr="00395C4B">
        <w:rPr>
          <w:rFonts w:ascii="Times New Roman" w:hAnsi="Times New Roman"/>
        </w:rPr>
        <w:t xml:space="preserve">verejného dlhu. </w:t>
      </w:r>
    </w:p>
    <w:p w:rsidR="008225DB" w:rsidRPr="006573DA" w:rsidP="008225DB">
      <w:pPr>
        <w:bidi w:val="0"/>
        <w:jc w:val="both"/>
        <w:rPr>
          <w:rFonts w:ascii="Times New Roman" w:hAnsi="Times New Roman"/>
          <w:sz w:val="16"/>
          <w:szCs w:val="16"/>
        </w:rPr>
      </w:pPr>
    </w:p>
    <w:p w:rsidR="008225DB" w:rsidRPr="00B75CD5" w:rsidP="008225DB">
      <w:pPr>
        <w:bidi w:val="0"/>
        <w:ind w:firstLine="709"/>
        <w:jc w:val="both"/>
        <w:rPr>
          <w:rFonts w:ascii="Times New Roman" w:hAnsi="Times New Roman"/>
        </w:rPr>
      </w:pPr>
      <w:r w:rsidRPr="00395C4B">
        <w:rPr>
          <w:rFonts w:ascii="Times New Roman" w:hAnsi="Times New Roman"/>
        </w:rPr>
        <w:t>Celkový hotovostný prebytok hospodárenia FNM SR sa na rok 201</w:t>
      </w:r>
      <w:r>
        <w:rPr>
          <w:rFonts w:ascii="Times New Roman" w:hAnsi="Times New Roman"/>
        </w:rPr>
        <w:t>6</w:t>
      </w:r>
      <w:r w:rsidRPr="00395C4B">
        <w:rPr>
          <w:rFonts w:ascii="Times New Roman" w:hAnsi="Times New Roman"/>
        </w:rPr>
        <w:t xml:space="preserve"> predpokladá vo výške </w:t>
      </w:r>
      <w:r>
        <w:rPr>
          <w:rFonts w:ascii="Times New Roman" w:hAnsi="Times New Roman"/>
        </w:rPr>
        <w:t>26 627</w:t>
      </w:r>
      <w:r w:rsidRPr="00395C4B">
        <w:rPr>
          <w:rFonts w:ascii="Times New Roman" w:hAnsi="Times New Roman"/>
        </w:rPr>
        <w:t xml:space="preserve"> </w:t>
      </w:r>
      <w:r>
        <w:rPr>
          <w:rFonts w:ascii="Times New Roman" w:hAnsi="Times New Roman"/>
        </w:rPr>
        <w:t>tis</w:t>
      </w:r>
      <w:r w:rsidRPr="00395C4B">
        <w:rPr>
          <w:rFonts w:ascii="Times New Roman" w:hAnsi="Times New Roman"/>
        </w:rPr>
        <w:t>. eur, na rok 201</w:t>
      </w:r>
      <w:r>
        <w:rPr>
          <w:rFonts w:ascii="Times New Roman" w:hAnsi="Times New Roman"/>
        </w:rPr>
        <w:t>7</w:t>
      </w:r>
      <w:r w:rsidRPr="00395C4B">
        <w:rPr>
          <w:rFonts w:ascii="Times New Roman" w:hAnsi="Times New Roman"/>
        </w:rPr>
        <w:t xml:space="preserve"> vo výške </w:t>
      </w:r>
      <w:r>
        <w:rPr>
          <w:rFonts w:ascii="Times New Roman" w:hAnsi="Times New Roman"/>
        </w:rPr>
        <w:t>21 747</w:t>
      </w:r>
      <w:r w:rsidRPr="00395C4B">
        <w:rPr>
          <w:rFonts w:ascii="Times New Roman" w:hAnsi="Times New Roman"/>
        </w:rPr>
        <w:t xml:space="preserve"> </w:t>
      </w:r>
      <w:r>
        <w:rPr>
          <w:rFonts w:ascii="Times New Roman" w:hAnsi="Times New Roman"/>
        </w:rPr>
        <w:t>tis</w:t>
      </w:r>
      <w:r w:rsidRPr="00395C4B">
        <w:rPr>
          <w:rFonts w:ascii="Times New Roman" w:hAnsi="Times New Roman"/>
        </w:rPr>
        <w:t>. eur a na rok 201</w:t>
      </w:r>
      <w:r>
        <w:rPr>
          <w:rFonts w:ascii="Times New Roman" w:hAnsi="Times New Roman"/>
        </w:rPr>
        <w:t>8</w:t>
      </w:r>
      <w:r w:rsidRPr="00395C4B">
        <w:rPr>
          <w:rFonts w:ascii="Times New Roman" w:hAnsi="Times New Roman"/>
        </w:rPr>
        <w:t xml:space="preserve"> vo výške </w:t>
      </w:r>
      <w:r>
        <w:rPr>
          <w:rFonts w:ascii="Times New Roman" w:hAnsi="Times New Roman"/>
        </w:rPr>
        <w:t xml:space="preserve">               17 627</w:t>
      </w:r>
      <w:r w:rsidRPr="00395C4B">
        <w:rPr>
          <w:rFonts w:ascii="Times New Roman" w:hAnsi="Times New Roman"/>
        </w:rPr>
        <w:t xml:space="preserve"> </w:t>
      </w:r>
      <w:r>
        <w:rPr>
          <w:rFonts w:ascii="Times New Roman" w:hAnsi="Times New Roman"/>
        </w:rPr>
        <w:t>tis.</w:t>
      </w:r>
      <w:r w:rsidRPr="00395C4B">
        <w:rPr>
          <w:rFonts w:ascii="Times New Roman" w:hAnsi="Times New Roman"/>
        </w:rPr>
        <w:t xml:space="preserve"> eur, pričom v metodike ESA </w:t>
      </w:r>
      <w:r>
        <w:rPr>
          <w:rFonts w:ascii="Times New Roman" w:hAnsi="Times New Roman"/>
        </w:rPr>
        <w:t>2010 sa predpokladá</w:t>
      </w:r>
      <w:r w:rsidRPr="00395C4B">
        <w:rPr>
          <w:rFonts w:ascii="Times New Roman" w:hAnsi="Times New Roman"/>
        </w:rPr>
        <w:t xml:space="preserve"> schodok v roku 201</w:t>
      </w:r>
      <w:r>
        <w:rPr>
          <w:rFonts w:ascii="Times New Roman" w:hAnsi="Times New Roman"/>
        </w:rPr>
        <w:t>6</w:t>
      </w:r>
      <w:r w:rsidRPr="00395C4B">
        <w:rPr>
          <w:rFonts w:ascii="Times New Roman" w:hAnsi="Times New Roman"/>
        </w:rPr>
        <w:t xml:space="preserve"> na úrovni </w:t>
      </w:r>
      <w:r>
        <w:rPr>
          <w:rFonts w:ascii="Times New Roman" w:hAnsi="Times New Roman"/>
        </w:rPr>
        <w:t>9 892</w:t>
      </w:r>
      <w:r w:rsidRPr="00395C4B">
        <w:rPr>
          <w:rFonts w:ascii="Times New Roman" w:hAnsi="Times New Roman"/>
        </w:rPr>
        <w:t xml:space="preserve"> </w:t>
      </w:r>
      <w:r>
        <w:rPr>
          <w:rFonts w:ascii="Times New Roman" w:hAnsi="Times New Roman"/>
        </w:rPr>
        <w:t>tis</w:t>
      </w:r>
      <w:r w:rsidRPr="00395C4B">
        <w:rPr>
          <w:rFonts w:ascii="Times New Roman" w:hAnsi="Times New Roman"/>
        </w:rPr>
        <w:t>. eur, v roku 201</w:t>
      </w:r>
      <w:r>
        <w:rPr>
          <w:rFonts w:ascii="Times New Roman" w:hAnsi="Times New Roman"/>
        </w:rPr>
        <w:t>7</w:t>
      </w:r>
      <w:r w:rsidRPr="00395C4B">
        <w:rPr>
          <w:rFonts w:ascii="Times New Roman" w:hAnsi="Times New Roman"/>
        </w:rPr>
        <w:t xml:space="preserve"> </w:t>
      </w:r>
      <w:r>
        <w:rPr>
          <w:rFonts w:ascii="Times New Roman" w:hAnsi="Times New Roman"/>
        </w:rPr>
        <w:t>na úrovni</w:t>
      </w:r>
      <w:r w:rsidRPr="00395C4B">
        <w:rPr>
          <w:rFonts w:ascii="Times New Roman" w:hAnsi="Times New Roman"/>
        </w:rPr>
        <w:t xml:space="preserve"> </w:t>
      </w:r>
      <w:r>
        <w:rPr>
          <w:rFonts w:ascii="Times New Roman" w:hAnsi="Times New Roman"/>
        </w:rPr>
        <w:t>4 747</w:t>
      </w:r>
      <w:r w:rsidRPr="00395C4B">
        <w:rPr>
          <w:rFonts w:ascii="Times New Roman" w:hAnsi="Times New Roman"/>
        </w:rPr>
        <w:t xml:space="preserve"> </w:t>
      </w:r>
      <w:r>
        <w:rPr>
          <w:rFonts w:ascii="Times New Roman" w:hAnsi="Times New Roman"/>
        </w:rPr>
        <w:t>tis</w:t>
      </w:r>
      <w:r w:rsidRPr="00395C4B">
        <w:rPr>
          <w:rFonts w:ascii="Times New Roman" w:hAnsi="Times New Roman"/>
        </w:rPr>
        <w:t>. eur a v roku 201</w:t>
      </w:r>
      <w:r>
        <w:rPr>
          <w:rFonts w:ascii="Times New Roman" w:hAnsi="Times New Roman"/>
        </w:rPr>
        <w:t>8</w:t>
      </w:r>
      <w:r w:rsidRPr="00395C4B">
        <w:rPr>
          <w:rFonts w:ascii="Times New Roman" w:hAnsi="Times New Roman"/>
        </w:rPr>
        <w:t xml:space="preserve"> na úrovni </w:t>
      </w:r>
      <w:r>
        <w:rPr>
          <w:rFonts w:ascii="Times New Roman" w:hAnsi="Times New Roman"/>
        </w:rPr>
        <w:t>3 987</w:t>
      </w:r>
      <w:r w:rsidRPr="00395C4B">
        <w:rPr>
          <w:rFonts w:ascii="Times New Roman" w:hAnsi="Times New Roman"/>
        </w:rPr>
        <w:t xml:space="preserve"> </w:t>
      </w:r>
      <w:r>
        <w:rPr>
          <w:rFonts w:ascii="Times New Roman" w:hAnsi="Times New Roman"/>
        </w:rPr>
        <w:t>tis</w:t>
      </w:r>
      <w:r w:rsidRPr="00395C4B">
        <w:rPr>
          <w:rFonts w:ascii="Times New Roman" w:hAnsi="Times New Roman"/>
        </w:rPr>
        <w:t>. eur.</w:t>
      </w:r>
      <w:r w:rsidRPr="00B75CD5">
        <w:rPr>
          <w:rFonts w:ascii="Times New Roman" w:hAnsi="Times New Roman"/>
        </w:rPr>
        <w:t xml:space="preserve"> </w:t>
      </w:r>
    </w:p>
    <w:p w:rsidR="008225DB" w:rsidRPr="004F17A1" w:rsidP="008225DB">
      <w:pPr>
        <w:bidi w:val="0"/>
        <w:jc w:val="both"/>
        <w:rPr>
          <w:rFonts w:ascii="Times New Roman" w:hAnsi="Times New Roman"/>
          <w:b/>
          <w:highlight w:val="yellow"/>
        </w:rPr>
      </w:pPr>
    </w:p>
    <w:p w:rsidR="008225DB" w:rsidP="008225DB">
      <w:pPr>
        <w:keepNext/>
        <w:bidi w:val="0"/>
        <w:outlineLvl w:val="0"/>
        <w:rPr>
          <w:rFonts w:ascii="Times New Roman" w:hAnsi="Times New Roman"/>
          <w:b/>
          <w:bCs/>
          <w:kern w:val="32"/>
          <w:highlight w:val="yellow"/>
        </w:rPr>
      </w:pPr>
    </w:p>
    <w:p w:rsidR="008225DB" w:rsidRPr="004F17A1"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P="008225DB">
      <w:pPr>
        <w:bidi w:val="0"/>
        <w:outlineLvl w:val="0"/>
        <w:rPr>
          <w:rFonts w:ascii="Times New Roman" w:hAnsi="Times New Roman"/>
          <w:b/>
          <w:bCs/>
          <w:color w:val="FF0000"/>
          <w:kern w:val="36"/>
          <w:highlight w:val="yellow"/>
        </w:rPr>
      </w:pPr>
    </w:p>
    <w:p w:rsidR="00B103BF" w:rsidP="008225DB">
      <w:pPr>
        <w:bidi w:val="0"/>
        <w:outlineLvl w:val="0"/>
        <w:rPr>
          <w:rFonts w:ascii="Times New Roman" w:hAnsi="Times New Roman"/>
          <w:b/>
          <w:bCs/>
          <w:color w:val="FF0000"/>
          <w:kern w:val="36"/>
          <w:highlight w:val="yellow"/>
        </w:rPr>
      </w:pPr>
    </w:p>
    <w:p w:rsidR="00B103BF" w:rsidRPr="004F17A1"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RPr="004F17A1" w:rsidP="008225DB">
      <w:pPr>
        <w:bidi w:val="0"/>
        <w:outlineLvl w:val="0"/>
        <w:rPr>
          <w:rFonts w:ascii="Times New Roman" w:hAnsi="Times New Roman"/>
          <w:b/>
          <w:bCs/>
          <w:color w:val="FF0000"/>
          <w:kern w:val="36"/>
          <w:highlight w:val="yellow"/>
        </w:rPr>
      </w:pPr>
    </w:p>
    <w:p w:rsidR="008225DB" w:rsidRPr="00AB3DAF" w:rsidP="008225DB">
      <w:pPr>
        <w:bidi w:val="0"/>
        <w:rPr>
          <w:rFonts w:ascii="Times New Roman" w:hAnsi="Times New Roman"/>
          <w:b/>
          <w:bCs/>
        </w:rPr>
      </w:pPr>
      <w:r w:rsidRPr="008C290B">
        <w:rPr>
          <w:rFonts w:ascii="Times New Roman" w:hAnsi="Times New Roman"/>
          <w:b/>
          <w:bCs/>
        </w:rPr>
        <w:t>7. Slovenská konsolidačná, a. s.</w:t>
      </w:r>
    </w:p>
    <w:p w:rsidR="008225DB" w:rsidP="008225DB">
      <w:pPr>
        <w:bidi w:val="0"/>
        <w:rPr>
          <w:rFonts w:ascii="Arial Narrow" w:hAnsi="Arial Narrow"/>
          <w:b/>
          <w:bCs/>
          <w:sz w:val="22"/>
          <w:szCs w:val="22"/>
        </w:rPr>
      </w:pPr>
      <w:r w:rsidRPr="00C4033A">
        <w:rPr>
          <w:rFonts w:ascii="Arial Narrow" w:hAnsi="Arial Narrow"/>
          <w:b/>
          <w:bCs/>
          <w:sz w:val="22"/>
          <w:szCs w:val="22"/>
        </w:rPr>
        <w:t> </w:t>
      </w:r>
    </w:p>
    <w:tbl>
      <w:tblPr>
        <w:tblStyle w:val="TableNormal"/>
        <w:tblW w:w="9206" w:type="dxa"/>
        <w:tblInd w:w="70" w:type="dxa"/>
        <w:tblCellMar>
          <w:left w:w="70" w:type="dxa"/>
          <w:right w:w="70" w:type="dxa"/>
        </w:tblCellMar>
        <w:tblLook w:val="04A0"/>
      </w:tblPr>
      <w:tblGrid>
        <w:gridCol w:w="3749"/>
        <w:gridCol w:w="779"/>
        <w:gridCol w:w="779"/>
        <w:gridCol w:w="779"/>
        <w:gridCol w:w="779"/>
        <w:gridCol w:w="779"/>
        <w:gridCol w:w="779"/>
        <w:gridCol w:w="783"/>
      </w:tblGrid>
      <w:tr>
        <w:tblPrEx>
          <w:tblW w:w="9206" w:type="dxa"/>
          <w:tblInd w:w="70" w:type="dxa"/>
          <w:tblCellMar>
            <w:left w:w="70" w:type="dxa"/>
            <w:right w:w="70" w:type="dxa"/>
          </w:tblCellMar>
          <w:tblLook w:val="04A0"/>
        </w:tblPrEx>
        <w:trPr>
          <w:trHeight w:val="260"/>
        </w:trPr>
        <w:tc>
          <w:tcPr>
            <w:tcW w:w="3749"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8225DB" w:rsidRPr="00901473" w:rsidP="000008FE">
            <w:pPr>
              <w:bidi w:val="0"/>
              <w:rPr>
                <w:rFonts w:ascii="Times New Roman" w:hAnsi="Times New Roman"/>
                <w:b/>
                <w:bCs/>
                <w:sz w:val="16"/>
                <w:szCs w:val="16"/>
              </w:rPr>
            </w:pPr>
            <w:r w:rsidRPr="00901473">
              <w:rPr>
                <w:rFonts w:ascii="Times New Roman" w:hAnsi="Times New Roman"/>
                <w:b/>
                <w:bCs/>
                <w:sz w:val="16"/>
                <w:szCs w:val="16"/>
              </w:rPr>
              <w:t>v tis. eur</w:t>
            </w:r>
          </w:p>
        </w:tc>
        <w:tc>
          <w:tcPr>
            <w:tcW w:w="779"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225DB" w:rsidRPr="00901473" w:rsidP="000008FE">
            <w:pPr>
              <w:bidi w:val="0"/>
              <w:jc w:val="center"/>
              <w:rPr>
                <w:rFonts w:ascii="Times New Roman" w:hAnsi="Times New Roman"/>
                <w:b/>
                <w:bCs/>
                <w:color w:val="000000"/>
                <w:sz w:val="16"/>
                <w:szCs w:val="16"/>
              </w:rPr>
            </w:pPr>
            <w:r w:rsidRPr="00901473">
              <w:rPr>
                <w:rFonts w:ascii="Times New Roman" w:hAnsi="Times New Roman"/>
                <w:b/>
                <w:bCs/>
                <w:color w:val="000000"/>
                <w:sz w:val="16"/>
                <w:szCs w:val="16"/>
              </w:rPr>
              <w:t>2013 S</w:t>
            </w:r>
          </w:p>
        </w:tc>
        <w:tc>
          <w:tcPr>
            <w:tcW w:w="779"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225DB" w:rsidRPr="00901473" w:rsidP="000008FE">
            <w:pPr>
              <w:bidi w:val="0"/>
              <w:jc w:val="center"/>
              <w:rPr>
                <w:rFonts w:ascii="Times New Roman" w:hAnsi="Times New Roman"/>
                <w:b/>
                <w:bCs/>
                <w:color w:val="000000"/>
                <w:sz w:val="16"/>
                <w:szCs w:val="16"/>
              </w:rPr>
            </w:pPr>
            <w:r w:rsidRPr="00901473">
              <w:rPr>
                <w:rFonts w:ascii="Times New Roman" w:hAnsi="Times New Roman"/>
                <w:b/>
                <w:bCs/>
                <w:color w:val="000000"/>
                <w:sz w:val="16"/>
                <w:szCs w:val="16"/>
              </w:rPr>
              <w:t>2014 S</w:t>
            </w:r>
          </w:p>
        </w:tc>
        <w:tc>
          <w:tcPr>
            <w:tcW w:w="779"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225DB" w:rsidRPr="00901473" w:rsidP="000008FE">
            <w:pPr>
              <w:bidi w:val="0"/>
              <w:jc w:val="center"/>
              <w:rPr>
                <w:rFonts w:ascii="Times New Roman" w:hAnsi="Times New Roman"/>
                <w:b/>
                <w:bCs/>
                <w:color w:val="000000"/>
                <w:sz w:val="16"/>
                <w:szCs w:val="16"/>
              </w:rPr>
            </w:pPr>
            <w:r w:rsidRPr="00901473">
              <w:rPr>
                <w:rFonts w:ascii="Times New Roman" w:hAnsi="Times New Roman"/>
                <w:b/>
                <w:bCs/>
                <w:color w:val="000000"/>
                <w:sz w:val="16"/>
                <w:szCs w:val="16"/>
              </w:rPr>
              <w:t>2015 R</w:t>
            </w:r>
          </w:p>
        </w:tc>
        <w:tc>
          <w:tcPr>
            <w:tcW w:w="779" w:type="dxa"/>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8225DB" w:rsidRPr="00901473" w:rsidP="000008FE">
            <w:pPr>
              <w:bidi w:val="0"/>
              <w:jc w:val="center"/>
              <w:rPr>
                <w:rFonts w:ascii="Times New Roman" w:hAnsi="Times New Roman"/>
                <w:b/>
                <w:bCs/>
                <w:color w:val="000000"/>
                <w:sz w:val="16"/>
                <w:szCs w:val="16"/>
              </w:rPr>
            </w:pPr>
            <w:r w:rsidRPr="00901473">
              <w:rPr>
                <w:rFonts w:ascii="Times New Roman" w:hAnsi="Times New Roman"/>
                <w:b/>
                <w:bCs/>
                <w:color w:val="000000"/>
                <w:sz w:val="16"/>
                <w:szCs w:val="16"/>
              </w:rPr>
              <w:t>2015 OS</w:t>
            </w:r>
          </w:p>
        </w:tc>
        <w:tc>
          <w:tcPr>
            <w:tcW w:w="779"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8225DB" w:rsidRPr="00901473" w:rsidP="000008FE">
            <w:pPr>
              <w:bidi w:val="0"/>
              <w:jc w:val="center"/>
              <w:rPr>
                <w:rFonts w:ascii="Times New Roman" w:hAnsi="Times New Roman"/>
                <w:b/>
                <w:bCs/>
                <w:sz w:val="16"/>
                <w:szCs w:val="16"/>
              </w:rPr>
            </w:pPr>
            <w:r w:rsidRPr="00901473">
              <w:rPr>
                <w:rFonts w:ascii="Times New Roman" w:hAnsi="Times New Roman"/>
                <w:b/>
                <w:bCs/>
                <w:sz w:val="16"/>
                <w:szCs w:val="16"/>
              </w:rPr>
              <w:t>2016 N</w:t>
            </w:r>
          </w:p>
        </w:tc>
        <w:tc>
          <w:tcPr>
            <w:tcW w:w="779"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8225DB" w:rsidRPr="00901473" w:rsidP="000008FE">
            <w:pPr>
              <w:bidi w:val="0"/>
              <w:jc w:val="center"/>
              <w:rPr>
                <w:rFonts w:ascii="Times New Roman" w:hAnsi="Times New Roman"/>
                <w:b/>
                <w:bCs/>
                <w:sz w:val="16"/>
                <w:szCs w:val="16"/>
              </w:rPr>
            </w:pPr>
            <w:r w:rsidRPr="00901473">
              <w:rPr>
                <w:rFonts w:ascii="Times New Roman" w:hAnsi="Times New Roman"/>
                <w:b/>
                <w:bCs/>
                <w:sz w:val="16"/>
                <w:szCs w:val="16"/>
              </w:rPr>
              <w:t>2017 N</w:t>
            </w:r>
          </w:p>
        </w:tc>
        <w:tc>
          <w:tcPr>
            <w:tcW w:w="783"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8225DB" w:rsidRPr="00901473" w:rsidP="000008FE">
            <w:pPr>
              <w:bidi w:val="0"/>
              <w:jc w:val="center"/>
              <w:rPr>
                <w:rFonts w:ascii="Times New Roman" w:hAnsi="Times New Roman"/>
                <w:b/>
                <w:bCs/>
                <w:sz w:val="16"/>
                <w:szCs w:val="16"/>
              </w:rPr>
            </w:pPr>
            <w:r w:rsidRPr="00901473">
              <w:rPr>
                <w:rFonts w:ascii="Times New Roman" w:hAnsi="Times New Roman"/>
                <w:b/>
                <w:bCs/>
                <w:sz w:val="16"/>
                <w:szCs w:val="16"/>
              </w:rPr>
              <w:t>2018 N</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8225DB" w:rsidRPr="00901473" w:rsidP="000008FE">
            <w:pPr>
              <w:bidi w:val="0"/>
              <w:rPr>
                <w:rFonts w:ascii="Times New Roman" w:hAnsi="Times New Roman"/>
                <w:b/>
                <w:bCs/>
                <w:sz w:val="16"/>
                <w:szCs w:val="16"/>
              </w:rPr>
            </w:pPr>
            <w:r w:rsidRPr="00901473">
              <w:rPr>
                <w:rFonts w:ascii="Times New Roman" w:hAnsi="Times New Roman"/>
                <w:b/>
                <w:bCs/>
                <w:sz w:val="16"/>
                <w:szCs w:val="16"/>
              </w:rPr>
              <w:t>Príjmy SK, a. s. spolu</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53 237</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58 229</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55 752</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61 061</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63 916</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69 334</w:t>
            </w:r>
          </w:p>
        </w:tc>
        <w:tc>
          <w:tcPr>
            <w:tcW w:w="783"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72 562</w:t>
            </w:r>
          </w:p>
        </w:tc>
      </w:tr>
      <w:tr>
        <w:tblPrEx>
          <w:tblW w:w="9206" w:type="dxa"/>
          <w:tblInd w:w="70" w:type="dxa"/>
          <w:tblCellMar>
            <w:left w:w="70" w:type="dxa"/>
            <w:right w:w="70" w:type="dxa"/>
          </w:tblCellMar>
          <w:tblLook w:val="04A0"/>
        </w:tblPrEx>
        <w:trPr>
          <w:trHeight w:val="260"/>
        </w:trPr>
        <w:tc>
          <w:tcPr>
            <w:tcW w:w="9206" w:type="dxa"/>
            <w:gridSpan w:val="8"/>
            <w:tcBorders>
              <w:top w:val="single" w:sz="4" w:space="0" w:color="auto"/>
              <w:left w:val="single" w:sz="4" w:space="0" w:color="auto"/>
              <w:bottom w:val="single" w:sz="4" w:space="0" w:color="auto"/>
              <w:right w:val="single" w:sz="4" w:space="0" w:color="auto"/>
            </w:tcBorders>
            <w:noWrap/>
            <w:textDirection w:val="lrTb"/>
            <w:vAlign w:val="center"/>
            <w:hideMark/>
          </w:tcPr>
          <w:p w:rsidR="008225DB" w:rsidRPr="00901473" w:rsidP="000008FE">
            <w:pPr>
              <w:bidi w:val="0"/>
              <w:rPr>
                <w:rFonts w:ascii="Times New Roman" w:hAnsi="Times New Roman"/>
                <w:b/>
                <w:sz w:val="16"/>
                <w:szCs w:val="16"/>
              </w:rPr>
            </w:pPr>
            <w:r w:rsidRPr="00901473">
              <w:rPr>
                <w:rFonts w:ascii="Times New Roman" w:hAnsi="Times New Roman"/>
                <w:b/>
                <w:sz w:val="16"/>
                <w:szCs w:val="16"/>
              </w:rPr>
              <w:t>z toho:</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nedaňové príjmy</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14 058</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13 829</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11 559</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11 823</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15 155</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16 055</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16 055</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xml:space="preserve">          príjmy z podnikania a z vlast. majetku</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46</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41</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45</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40</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40</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xml:space="preserve">          kapitálové príjmy</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xml:space="preserve">          úroky z tuzemských úverov, pôžičiek, NFV                 </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12</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14</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8</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15</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15</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15</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xml:space="preserve">          ostatné príjmy</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14 000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13 748</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11 500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11 775</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15 100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16 000</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16 000</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príjmy z transakcií s fin. akt. a pas., z toho: (FO)</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39 179</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44 400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44 193</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49 238</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48 761</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53 279</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56 507</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xml:space="preserve">          príjmy zo splácania istín pohľadávok (FO)</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1 478</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1 646</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500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1 440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xml:space="preserve">          príjmy z predaja majetkových účastín (FO)</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ind w:firstLine="160" w:firstLineChars="100"/>
              <w:rPr>
                <w:rFonts w:ascii="Times New Roman" w:hAnsi="Times New Roman"/>
                <w:sz w:val="16"/>
                <w:szCs w:val="16"/>
              </w:rPr>
            </w:pPr>
            <w:r w:rsidRPr="00901473">
              <w:rPr>
                <w:rFonts w:ascii="Times New Roman" w:hAnsi="Times New Roman"/>
                <w:sz w:val="16"/>
                <w:szCs w:val="16"/>
              </w:rPr>
              <w:t xml:space="preserve">       zost. prostr. z predch. roka (FO)</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36 922</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42 345</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43 693</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47 443</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48 761</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53 279</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56 507</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ind w:firstLine="160" w:firstLineChars="100"/>
              <w:rPr>
                <w:rFonts w:ascii="Times New Roman" w:hAnsi="Times New Roman"/>
                <w:sz w:val="16"/>
                <w:szCs w:val="16"/>
              </w:rPr>
            </w:pPr>
            <w:r w:rsidRPr="00901473">
              <w:rPr>
                <w:rFonts w:ascii="Times New Roman" w:hAnsi="Times New Roman"/>
                <w:sz w:val="16"/>
                <w:szCs w:val="16"/>
              </w:rPr>
              <w:t xml:space="preserve">       odplata za postúpenú pohľadávku (FO)</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779</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409</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355</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8225DB" w:rsidRPr="00901473" w:rsidP="000008FE">
            <w:pPr>
              <w:bidi w:val="0"/>
              <w:rPr>
                <w:rFonts w:ascii="Times New Roman" w:hAnsi="Times New Roman"/>
                <w:b/>
                <w:bCs/>
                <w:sz w:val="16"/>
                <w:szCs w:val="16"/>
              </w:rPr>
            </w:pPr>
            <w:r w:rsidRPr="00901473">
              <w:rPr>
                <w:rFonts w:ascii="Times New Roman" w:hAnsi="Times New Roman"/>
                <w:b/>
                <w:bCs/>
                <w:sz w:val="16"/>
                <w:szCs w:val="16"/>
              </w:rPr>
              <w:t>Výdavky SK, a. s. spolu</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10 892</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10 770</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9 722</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12 300</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10 637</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12 827</w:t>
            </w:r>
          </w:p>
        </w:tc>
        <w:tc>
          <w:tcPr>
            <w:tcW w:w="783"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12 967</w:t>
            </w:r>
          </w:p>
        </w:tc>
      </w:tr>
      <w:tr>
        <w:tblPrEx>
          <w:tblW w:w="9206" w:type="dxa"/>
          <w:tblInd w:w="70" w:type="dxa"/>
          <w:tblCellMar>
            <w:left w:w="70" w:type="dxa"/>
            <w:right w:w="70" w:type="dxa"/>
          </w:tblCellMar>
          <w:tblLook w:val="04A0"/>
        </w:tblPrEx>
        <w:trPr>
          <w:trHeight w:val="260"/>
        </w:trPr>
        <w:tc>
          <w:tcPr>
            <w:tcW w:w="9206" w:type="dxa"/>
            <w:gridSpan w:val="8"/>
            <w:tcBorders>
              <w:top w:val="single" w:sz="4" w:space="0" w:color="auto"/>
              <w:left w:val="single" w:sz="4" w:space="0" w:color="auto"/>
              <w:bottom w:val="single" w:sz="4" w:space="0" w:color="auto"/>
              <w:right w:val="single" w:sz="4" w:space="0" w:color="auto"/>
            </w:tcBorders>
            <w:noWrap/>
            <w:textDirection w:val="lrTb"/>
            <w:vAlign w:val="center"/>
            <w:hideMark/>
          </w:tcPr>
          <w:p w:rsidR="008225DB" w:rsidRPr="00901473" w:rsidP="000008FE">
            <w:pPr>
              <w:bidi w:val="0"/>
              <w:rPr>
                <w:rFonts w:ascii="Times New Roman" w:hAnsi="Times New Roman"/>
                <w:b/>
                <w:sz w:val="16"/>
                <w:szCs w:val="16"/>
              </w:rPr>
            </w:pPr>
            <w:r w:rsidRPr="00901473">
              <w:rPr>
                <w:rFonts w:ascii="Times New Roman" w:hAnsi="Times New Roman"/>
                <w:b/>
                <w:sz w:val="16"/>
                <w:szCs w:val="16"/>
              </w:rPr>
              <w:t>z toho:</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bežné výdavky na správne činnosti úradu</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10 833</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10 684</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9 632</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11 386</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10 337</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12 737</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12 877</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xml:space="preserve">          mzdy, platy, služ. príjmy a ost. os. vyrovnania</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3 917</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4 186</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4 335</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4 586</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4 762</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5 073</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5 178</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xml:space="preserve">          poistné a prísp. do poisťovní</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1 347</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1 460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1 491</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1 600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1 661</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1 770</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1 807</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xml:space="preserve">          tovary a služby</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5 554</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5 011</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3 569</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4 940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3 702</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5 636</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5 649</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xml:space="preserve">               z toho: dividendy</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1 175</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1 477</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2 485</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2 644</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2 115</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4 370</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4 370</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xml:space="preserve">          bežné transfery</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15</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27</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237</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260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212</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258</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243</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kapitálové výdavky</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59</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86</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90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864</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300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90</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90</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xml:space="preserve">          obstarávanie kapitálových aktív</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59</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86</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90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864</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300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90</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90</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výdavky z trans. s fin. aktívami a pasívami (FO)</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50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xml:space="preserve">          ostatné výdavkové FO - dividendy (FO)</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50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8225DB" w:rsidRPr="00901473" w:rsidP="000008FE">
            <w:pPr>
              <w:bidi w:val="0"/>
              <w:rPr>
                <w:rFonts w:ascii="Times New Roman" w:hAnsi="Times New Roman"/>
                <w:b/>
                <w:bCs/>
                <w:sz w:val="16"/>
                <w:szCs w:val="16"/>
              </w:rPr>
            </w:pPr>
            <w:r w:rsidRPr="00901473">
              <w:rPr>
                <w:rFonts w:ascii="Times New Roman" w:hAnsi="Times New Roman"/>
                <w:b/>
                <w:bCs/>
                <w:sz w:val="16"/>
                <w:szCs w:val="16"/>
              </w:rPr>
              <w:t>Celkový prebytok/schodok SK, a. s.</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42 345</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47 459</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46 030</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48 761</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53 279</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56 507</w:t>
            </w:r>
          </w:p>
        </w:tc>
        <w:tc>
          <w:tcPr>
            <w:tcW w:w="783"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59 595</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noWrap/>
            <w:textDirection w:val="lrTb"/>
            <w:vAlign w:val="center"/>
            <w:hideMark/>
          </w:tcPr>
          <w:p w:rsidR="008225DB" w:rsidRPr="00901473" w:rsidP="000008FE">
            <w:pPr>
              <w:bidi w:val="0"/>
              <w:rPr>
                <w:rFonts w:ascii="Times New Roman" w:hAnsi="Times New Roman"/>
                <w:b/>
                <w:bCs/>
                <w:iCs/>
                <w:sz w:val="16"/>
                <w:szCs w:val="16"/>
              </w:rPr>
            </w:pPr>
            <w:r w:rsidRPr="00901473">
              <w:rPr>
                <w:rFonts w:ascii="Times New Roman" w:hAnsi="Times New Roman"/>
                <w:b/>
                <w:bCs/>
                <w:iCs/>
                <w:sz w:val="16"/>
                <w:szCs w:val="16"/>
              </w:rPr>
              <w:t>vylúčenie finančných operácií</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iCs/>
                <w:sz w:val="16"/>
                <w:szCs w:val="16"/>
              </w:rPr>
            </w:pPr>
            <w:r w:rsidRPr="00901473">
              <w:rPr>
                <w:rFonts w:ascii="Times New Roman" w:hAnsi="Times New Roman"/>
                <w:b/>
                <w:bCs/>
                <w:iCs/>
                <w:sz w:val="16"/>
                <w:szCs w:val="16"/>
              </w:rPr>
              <w:t>-39 179</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iCs/>
                <w:sz w:val="16"/>
                <w:szCs w:val="16"/>
              </w:rPr>
            </w:pPr>
            <w:r w:rsidRPr="00901473">
              <w:rPr>
                <w:rFonts w:ascii="Times New Roman" w:hAnsi="Times New Roman"/>
                <w:b/>
                <w:bCs/>
                <w:iCs/>
                <w:sz w:val="16"/>
                <w:szCs w:val="16"/>
              </w:rPr>
              <w:t>-44 400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iCs/>
                <w:sz w:val="16"/>
                <w:szCs w:val="16"/>
              </w:rPr>
            </w:pPr>
            <w:r w:rsidRPr="00901473">
              <w:rPr>
                <w:rFonts w:ascii="Times New Roman" w:hAnsi="Times New Roman"/>
                <w:b/>
                <w:bCs/>
                <w:iCs/>
                <w:sz w:val="16"/>
                <w:szCs w:val="16"/>
              </w:rPr>
              <w:t>-44 193</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iCs/>
                <w:sz w:val="16"/>
                <w:szCs w:val="16"/>
              </w:rPr>
            </w:pPr>
            <w:r w:rsidRPr="00901473">
              <w:rPr>
                <w:rFonts w:ascii="Times New Roman" w:hAnsi="Times New Roman"/>
                <w:b/>
                <w:bCs/>
                <w:iCs/>
                <w:sz w:val="16"/>
                <w:szCs w:val="16"/>
              </w:rPr>
              <w:t>-49 188</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iCs/>
                <w:sz w:val="16"/>
                <w:szCs w:val="16"/>
              </w:rPr>
            </w:pPr>
            <w:r w:rsidRPr="00901473">
              <w:rPr>
                <w:rFonts w:ascii="Times New Roman" w:hAnsi="Times New Roman"/>
                <w:b/>
                <w:bCs/>
                <w:iCs/>
                <w:sz w:val="16"/>
                <w:szCs w:val="16"/>
              </w:rPr>
              <w:t>-48 761</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iCs/>
                <w:sz w:val="16"/>
                <w:szCs w:val="16"/>
              </w:rPr>
            </w:pPr>
            <w:r w:rsidRPr="00901473">
              <w:rPr>
                <w:rFonts w:ascii="Times New Roman" w:hAnsi="Times New Roman"/>
                <w:b/>
                <w:bCs/>
                <w:iCs/>
                <w:sz w:val="16"/>
                <w:szCs w:val="16"/>
              </w:rPr>
              <w:t>-53 279</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iCs/>
                <w:sz w:val="16"/>
                <w:szCs w:val="16"/>
              </w:rPr>
            </w:pPr>
            <w:r w:rsidRPr="00901473">
              <w:rPr>
                <w:rFonts w:ascii="Times New Roman" w:hAnsi="Times New Roman"/>
                <w:b/>
                <w:bCs/>
                <w:iCs/>
                <w:sz w:val="16"/>
                <w:szCs w:val="16"/>
              </w:rPr>
              <w:t>-56 507</w:t>
            </w:r>
          </w:p>
        </w:tc>
      </w:tr>
      <w:tr>
        <w:tblPrEx>
          <w:tblW w:w="9206" w:type="dxa"/>
          <w:tblInd w:w="70" w:type="dxa"/>
          <w:tblCellMar>
            <w:left w:w="70" w:type="dxa"/>
            <w:right w:w="70" w:type="dxa"/>
          </w:tblCellMar>
          <w:tblLook w:val="04A0"/>
        </w:tblPrEx>
        <w:trPr>
          <w:trHeight w:val="260"/>
        </w:trPr>
        <w:tc>
          <w:tcPr>
            <w:tcW w:w="9206" w:type="dxa"/>
            <w:gridSpan w:val="8"/>
            <w:tcBorders>
              <w:top w:val="nil"/>
              <w:left w:val="single" w:sz="4" w:space="0" w:color="auto"/>
              <w:bottom w:val="single" w:sz="4" w:space="0" w:color="auto"/>
              <w:right w:val="single" w:sz="4" w:space="0" w:color="auto"/>
            </w:tcBorders>
            <w:noWrap/>
            <w:textDirection w:val="lrTb"/>
            <w:vAlign w:val="center"/>
          </w:tcPr>
          <w:p w:rsidR="008225DB" w:rsidRPr="00901473" w:rsidP="000008FE">
            <w:pPr>
              <w:bidi w:val="0"/>
              <w:rPr>
                <w:rFonts w:ascii="Times New Roman" w:hAnsi="Times New Roman"/>
                <w:sz w:val="16"/>
                <w:szCs w:val="16"/>
              </w:rPr>
            </w:pPr>
            <w:r w:rsidRPr="00901473">
              <w:rPr>
                <w:rFonts w:ascii="Times New Roman" w:hAnsi="Times New Roman"/>
                <w:b/>
                <w:sz w:val="16"/>
                <w:szCs w:val="16"/>
              </w:rPr>
              <w:t>z toho:</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noWrap/>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xml:space="preserve">    ▪   vylúčenie príjmových (FO)</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-39 179</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-44 400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-44 193</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-49 238</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-48 761</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-53 279</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-56 507</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noWrap/>
            <w:textDirection w:val="lrTb"/>
            <w:vAlign w:val="center"/>
            <w:hideMark/>
          </w:tcPr>
          <w:p w:rsidR="008225DB" w:rsidRPr="00901473" w:rsidP="000008FE">
            <w:pPr>
              <w:bidi w:val="0"/>
              <w:rPr>
                <w:rFonts w:ascii="Times New Roman" w:hAnsi="Times New Roman"/>
                <w:sz w:val="16"/>
                <w:szCs w:val="16"/>
              </w:rPr>
            </w:pPr>
            <w:r w:rsidRPr="00901473">
              <w:rPr>
                <w:rFonts w:ascii="Times New Roman" w:hAnsi="Times New Roman"/>
                <w:sz w:val="16"/>
                <w:szCs w:val="16"/>
              </w:rPr>
              <w:t xml:space="preserve">    ▪   vylúčenie výdavkových (FO)</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50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sz w:val="16"/>
                <w:szCs w:val="16"/>
              </w:rPr>
            </w:pPr>
            <w:r w:rsidRPr="00901473">
              <w:rPr>
                <w:rFonts w:ascii="Times New Roman" w:hAnsi="Times New Roman"/>
                <w:sz w:val="16"/>
                <w:szCs w:val="16"/>
              </w:rPr>
              <w:t>0</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noWrap/>
            <w:textDirection w:val="lrTb"/>
            <w:vAlign w:val="center"/>
            <w:hideMark/>
          </w:tcPr>
          <w:p w:rsidR="008225DB" w:rsidRPr="00901473" w:rsidP="000008FE">
            <w:pPr>
              <w:bidi w:val="0"/>
              <w:rPr>
                <w:rFonts w:ascii="Times New Roman" w:hAnsi="Times New Roman"/>
                <w:b/>
                <w:bCs/>
                <w:iCs/>
                <w:sz w:val="16"/>
                <w:szCs w:val="16"/>
              </w:rPr>
            </w:pPr>
            <w:r w:rsidRPr="00901473">
              <w:rPr>
                <w:rFonts w:ascii="Times New Roman" w:hAnsi="Times New Roman"/>
                <w:b/>
                <w:bCs/>
                <w:iCs/>
                <w:sz w:val="16"/>
                <w:szCs w:val="16"/>
              </w:rPr>
              <w:t>medziročná zmena stavu pohľadávok a záväzkov</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-7 834</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177</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-635</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0</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0</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noWrap/>
            <w:textDirection w:val="lrTb"/>
            <w:vAlign w:val="center"/>
            <w:hideMark/>
          </w:tcPr>
          <w:p w:rsidR="008225DB" w:rsidRPr="00901473" w:rsidP="000008FE">
            <w:pPr>
              <w:bidi w:val="0"/>
              <w:rPr>
                <w:rFonts w:ascii="Times New Roman" w:hAnsi="Times New Roman"/>
                <w:b/>
                <w:bCs/>
                <w:iCs/>
                <w:sz w:val="16"/>
                <w:szCs w:val="16"/>
              </w:rPr>
            </w:pPr>
            <w:r w:rsidRPr="00901473">
              <w:rPr>
                <w:rFonts w:ascii="Times New Roman" w:hAnsi="Times New Roman"/>
                <w:b/>
                <w:bCs/>
                <w:iCs/>
                <w:sz w:val="16"/>
                <w:szCs w:val="16"/>
              </w:rPr>
              <w:t>ostatné úpravy</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779</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409</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355</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0</w:t>
            </w:r>
          </w:p>
        </w:tc>
        <w:tc>
          <w:tcPr>
            <w:tcW w:w="779"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0</w:t>
            </w:r>
          </w:p>
        </w:tc>
        <w:tc>
          <w:tcPr>
            <w:tcW w:w="783" w:type="dxa"/>
            <w:tcBorders>
              <w:top w:val="nil"/>
              <w:left w:val="nil"/>
              <w:bottom w:val="single" w:sz="4" w:space="0" w:color="auto"/>
              <w:right w:val="single" w:sz="4" w:space="0" w:color="auto"/>
            </w:tcBorders>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0</w:t>
            </w:r>
          </w:p>
        </w:tc>
      </w:tr>
      <w:tr>
        <w:tblPrEx>
          <w:tblW w:w="9206" w:type="dxa"/>
          <w:tblInd w:w="70" w:type="dxa"/>
          <w:tblCellMar>
            <w:left w:w="70" w:type="dxa"/>
            <w:right w:w="70" w:type="dxa"/>
          </w:tblCellMar>
          <w:tblLook w:val="04A0"/>
        </w:tblPrEx>
        <w:trPr>
          <w:trHeight w:val="260"/>
        </w:trPr>
        <w:tc>
          <w:tcPr>
            <w:tcW w:w="3749"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8225DB" w:rsidRPr="00901473" w:rsidP="000008FE">
            <w:pPr>
              <w:bidi w:val="0"/>
              <w:rPr>
                <w:rFonts w:ascii="Times New Roman" w:hAnsi="Times New Roman"/>
                <w:b/>
                <w:bCs/>
                <w:sz w:val="16"/>
                <w:szCs w:val="16"/>
              </w:rPr>
            </w:pPr>
            <w:r w:rsidRPr="00901473">
              <w:rPr>
                <w:rFonts w:ascii="Times New Roman" w:hAnsi="Times New Roman"/>
                <w:b/>
                <w:bCs/>
                <w:sz w:val="16"/>
                <w:szCs w:val="16"/>
              </w:rPr>
              <w:t>Prebytok (+)/schodok (-) SK, a. s.  (ESA 2010)</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-3 889</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3 645</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1 837</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-707</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4 518</w:t>
            </w:r>
          </w:p>
        </w:tc>
        <w:tc>
          <w:tcPr>
            <w:tcW w:w="779"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3 228</w:t>
            </w:r>
          </w:p>
        </w:tc>
        <w:tc>
          <w:tcPr>
            <w:tcW w:w="783" w:type="dxa"/>
            <w:tcBorders>
              <w:top w:val="nil"/>
              <w:left w:val="nil"/>
              <w:bottom w:val="single" w:sz="4" w:space="0" w:color="auto"/>
              <w:right w:val="single" w:sz="4" w:space="0" w:color="auto"/>
            </w:tcBorders>
            <w:shd w:val="clear" w:color="000000" w:fill="BFBFBF"/>
            <w:noWrap/>
            <w:textDirection w:val="lrTb"/>
            <w:vAlign w:val="center"/>
            <w:hideMark/>
          </w:tcPr>
          <w:p w:rsidR="008225DB" w:rsidRPr="00901473" w:rsidP="000008FE">
            <w:pPr>
              <w:bidi w:val="0"/>
              <w:jc w:val="right"/>
              <w:rPr>
                <w:rFonts w:ascii="Times New Roman" w:hAnsi="Times New Roman"/>
                <w:b/>
                <w:bCs/>
                <w:sz w:val="16"/>
                <w:szCs w:val="16"/>
              </w:rPr>
            </w:pPr>
            <w:r w:rsidRPr="00901473">
              <w:rPr>
                <w:rFonts w:ascii="Times New Roman" w:hAnsi="Times New Roman"/>
                <w:b/>
                <w:bCs/>
                <w:sz w:val="16"/>
                <w:szCs w:val="16"/>
              </w:rPr>
              <w:t>3 088</w:t>
            </w:r>
          </w:p>
        </w:tc>
      </w:tr>
    </w:tbl>
    <w:p w:rsidR="008225DB" w:rsidP="008225DB">
      <w:pPr>
        <w:pStyle w:val="NoSpacing"/>
        <w:bidi w:val="0"/>
        <w:rPr>
          <w:rFonts w:ascii="Arial Narrow" w:hAnsi="Arial Narrow"/>
          <w:sz w:val="22"/>
          <w:szCs w:val="22"/>
        </w:rPr>
      </w:pPr>
    </w:p>
    <w:p w:rsidR="008225DB" w:rsidP="008225DB">
      <w:pPr>
        <w:bidi w:val="0"/>
        <w:ind w:firstLine="709"/>
        <w:jc w:val="both"/>
        <w:rPr>
          <w:rFonts w:ascii="Times New Roman" w:hAnsi="Times New Roman"/>
          <w:lang w:eastAsia="en-US"/>
        </w:rPr>
      </w:pPr>
      <w:r w:rsidRPr="009149DE">
        <w:rPr>
          <w:rFonts w:ascii="Times New Roman" w:hAnsi="Times New Roman"/>
          <w:lang w:eastAsia="en-US"/>
        </w:rPr>
        <w:t>Celkové príjmy S</w:t>
      </w:r>
      <w:r>
        <w:rPr>
          <w:rFonts w:ascii="Times New Roman" w:hAnsi="Times New Roman"/>
          <w:lang w:eastAsia="en-US"/>
        </w:rPr>
        <w:t>lovenskej konsolidačnej</w:t>
      </w:r>
      <w:r w:rsidRPr="009149DE">
        <w:rPr>
          <w:rFonts w:ascii="Times New Roman" w:hAnsi="Times New Roman"/>
          <w:lang w:eastAsia="en-US"/>
        </w:rPr>
        <w:t>, a. s. (ďalej len „SK, a. s.“) sú rozpočtované v roku 201</w:t>
      </w:r>
      <w:r>
        <w:rPr>
          <w:rFonts w:ascii="Times New Roman" w:hAnsi="Times New Roman"/>
          <w:lang w:eastAsia="en-US"/>
        </w:rPr>
        <w:t>6</w:t>
      </w:r>
      <w:r w:rsidRPr="009149DE">
        <w:rPr>
          <w:rFonts w:ascii="Times New Roman" w:hAnsi="Times New Roman"/>
          <w:lang w:eastAsia="en-US"/>
        </w:rPr>
        <w:t xml:space="preserve"> v objeme </w:t>
      </w:r>
      <w:r>
        <w:rPr>
          <w:rFonts w:ascii="Times New Roman" w:hAnsi="Times New Roman"/>
          <w:lang w:eastAsia="en-US"/>
        </w:rPr>
        <w:t>63 916</w:t>
      </w:r>
      <w:r w:rsidRPr="009149DE">
        <w:rPr>
          <w:rFonts w:ascii="Times New Roman" w:hAnsi="Times New Roman"/>
          <w:lang w:eastAsia="en-US"/>
        </w:rPr>
        <w:t xml:space="preserve"> tis. eur, z toho nedaňové príjmy vo výške </w:t>
      </w:r>
      <w:r>
        <w:rPr>
          <w:rFonts w:ascii="Times New Roman" w:hAnsi="Times New Roman"/>
          <w:lang w:eastAsia="en-US"/>
        </w:rPr>
        <w:t>15 155</w:t>
      </w:r>
      <w:r w:rsidRPr="009149DE">
        <w:rPr>
          <w:rFonts w:ascii="Times New Roman" w:hAnsi="Times New Roman"/>
          <w:lang w:eastAsia="en-US"/>
        </w:rPr>
        <w:t xml:space="preserve"> tis. eur. Oproti schválenému rozpočtu na rok 201</w:t>
      </w:r>
      <w:r>
        <w:rPr>
          <w:rFonts w:ascii="Times New Roman" w:hAnsi="Times New Roman"/>
          <w:lang w:eastAsia="en-US"/>
        </w:rPr>
        <w:t>5</w:t>
      </w:r>
      <w:r w:rsidRPr="009149DE">
        <w:rPr>
          <w:rFonts w:ascii="Times New Roman" w:hAnsi="Times New Roman"/>
          <w:lang w:eastAsia="en-US"/>
        </w:rPr>
        <w:t xml:space="preserve"> ide o </w:t>
      </w:r>
      <w:r>
        <w:rPr>
          <w:rFonts w:ascii="Times New Roman" w:hAnsi="Times New Roman"/>
          <w:lang w:eastAsia="en-US"/>
        </w:rPr>
        <w:t>nárast</w:t>
      </w:r>
      <w:r w:rsidRPr="009149DE">
        <w:rPr>
          <w:rFonts w:ascii="Times New Roman" w:hAnsi="Times New Roman"/>
          <w:lang w:eastAsia="en-US"/>
        </w:rPr>
        <w:t xml:space="preserve"> celkových príjmov o</w:t>
      </w:r>
      <w:r>
        <w:rPr>
          <w:rFonts w:ascii="Times New Roman" w:hAnsi="Times New Roman"/>
          <w:lang w:eastAsia="en-US"/>
        </w:rPr>
        <w:t> 14,6</w:t>
      </w:r>
      <w:r w:rsidRPr="009149DE">
        <w:rPr>
          <w:rFonts w:ascii="Times New Roman" w:hAnsi="Times New Roman"/>
          <w:lang w:eastAsia="en-US"/>
        </w:rPr>
        <w:t xml:space="preserve"> %, </w:t>
      </w:r>
      <w:r>
        <w:rPr>
          <w:rFonts w:ascii="Times New Roman" w:hAnsi="Times New Roman"/>
          <w:lang w:eastAsia="en-US"/>
        </w:rPr>
        <w:t xml:space="preserve">a to </w:t>
      </w:r>
      <w:r w:rsidRPr="009149DE">
        <w:rPr>
          <w:rFonts w:ascii="Times New Roman" w:hAnsi="Times New Roman"/>
          <w:lang w:eastAsia="en-US"/>
        </w:rPr>
        <w:t>pri náraste nedaňových príjmov o</w:t>
      </w:r>
      <w:r>
        <w:rPr>
          <w:rFonts w:ascii="Times New Roman" w:hAnsi="Times New Roman"/>
          <w:lang w:eastAsia="en-US"/>
        </w:rPr>
        <w:t> 31,1</w:t>
      </w:r>
      <w:r w:rsidRPr="009149DE">
        <w:rPr>
          <w:rFonts w:ascii="Times New Roman" w:hAnsi="Times New Roman"/>
          <w:lang w:eastAsia="en-US"/>
        </w:rPr>
        <w:t xml:space="preserve"> %. Najvýznamnejším zdrojom nedaňových príjmov sú ostatné príjmy </w:t>
      </w:r>
      <w:r>
        <w:rPr>
          <w:rFonts w:ascii="Times New Roman" w:hAnsi="Times New Roman"/>
          <w:lang w:eastAsia="en-US"/>
        </w:rPr>
        <w:t>vo výške 15 1</w:t>
      </w:r>
      <w:r w:rsidRPr="009149DE">
        <w:rPr>
          <w:rFonts w:ascii="Times New Roman" w:hAnsi="Times New Roman"/>
          <w:lang w:eastAsia="en-US"/>
        </w:rPr>
        <w:t xml:space="preserve">00 tis. eur, ktoré rastú v porovnaní so </w:t>
      </w:r>
      <w:r>
        <w:rPr>
          <w:rFonts w:ascii="Times New Roman" w:hAnsi="Times New Roman"/>
          <w:lang w:eastAsia="en-US"/>
        </w:rPr>
        <w:t xml:space="preserve">schváleným rozpočtom na rok 2015 </w:t>
      </w:r>
      <w:r w:rsidRPr="009149DE">
        <w:rPr>
          <w:rFonts w:ascii="Times New Roman" w:hAnsi="Times New Roman"/>
          <w:lang w:eastAsia="en-US"/>
        </w:rPr>
        <w:t>o</w:t>
      </w:r>
      <w:r>
        <w:rPr>
          <w:rFonts w:ascii="Times New Roman" w:hAnsi="Times New Roman"/>
          <w:lang w:eastAsia="en-US"/>
        </w:rPr>
        <w:t> 3 600</w:t>
      </w:r>
      <w:r w:rsidRPr="009149DE">
        <w:rPr>
          <w:rFonts w:ascii="Times New Roman" w:hAnsi="Times New Roman"/>
          <w:lang w:eastAsia="en-US"/>
        </w:rPr>
        <w:t xml:space="preserve"> tis</w:t>
      </w:r>
      <w:r>
        <w:rPr>
          <w:rFonts w:ascii="Times New Roman" w:hAnsi="Times New Roman"/>
          <w:lang w:eastAsia="en-US"/>
        </w:rPr>
        <w:t>.</w:t>
      </w:r>
      <w:r w:rsidRPr="009149DE">
        <w:rPr>
          <w:rFonts w:ascii="Times New Roman" w:hAnsi="Times New Roman"/>
          <w:lang w:eastAsia="en-US"/>
        </w:rPr>
        <w:t xml:space="preserve"> eur. V položke ostatné príjmy sú evidované príjmy z pohľadávok od dlžníkov nad obstarávaciu cenu</w:t>
      </w:r>
      <w:r>
        <w:rPr>
          <w:rFonts w:ascii="Times New Roman" w:hAnsi="Times New Roman"/>
          <w:lang w:eastAsia="en-US"/>
        </w:rPr>
        <w:t>,</w:t>
      </w:r>
      <w:r w:rsidRPr="009149DE">
        <w:rPr>
          <w:rFonts w:ascii="Times New Roman" w:hAnsi="Times New Roman"/>
          <w:lang w:eastAsia="en-US"/>
        </w:rPr>
        <w:t xml:space="preserve"> </w:t>
      </w:r>
      <w:r>
        <w:rPr>
          <w:rFonts w:ascii="Times New Roman" w:hAnsi="Times New Roman"/>
          <w:lang w:eastAsia="en-US"/>
        </w:rPr>
        <w:t>ako aj</w:t>
      </w:r>
      <w:r w:rsidRPr="009149DE">
        <w:rPr>
          <w:rFonts w:ascii="Times New Roman" w:hAnsi="Times New Roman"/>
          <w:lang w:eastAsia="en-US"/>
        </w:rPr>
        <w:t xml:space="preserve"> príjmy z pohľadávok prevzatých zo zdravotných poisťovní. </w:t>
      </w:r>
      <w:r>
        <w:rPr>
          <w:rFonts w:ascii="Times New Roman" w:hAnsi="Times New Roman"/>
          <w:lang w:eastAsia="en-US"/>
        </w:rPr>
        <w:t xml:space="preserve">Vyšší príjem z realizácie pohľadávok sa očakáva z dôvodu novely zákona             č. 374/2014 Z. z. o pohľadávkach štátu, na základe ktorej majú byť do majetku SK, a. s.  postúpené ďalšie pohľadávky štátu. </w:t>
      </w:r>
    </w:p>
    <w:p w:rsidR="008225DB" w:rsidRPr="006573DA" w:rsidP="008225DB">
      <w:pPr>
        <w:bidi w:val="0"/>
        <w:ind w:firstLine="709"/>
        <w:jc w:val="both"/>
        <w:rPr>
          <w:rFonts w:ascii="Times New Roman" w:hAnsi="Times New Roman"/>
          <w:sz w:val="16"/>
          <w:szCs w:val="16"/>
          <w:lang w:eastAsia="en-US"/>
        </w:rPr>
      </w:pPr>
    </w:p>
    <w:p w:rsidR="008225DB" w:rsidRPr="009149DE" w:rsidP="008225DB">
      <w:pPr>
        <w:bidi w:val="0"/>
        <w:ind w:firstLine="709"/>
        <w:jc w:val="both"/>
        <w:rPr>
          <w:rFonts w:ascii="Times New Roman" w:hAnsi="Times New Roman"/>
          <w:lang w:eastAsia="en-US"/>
        </w:rPr>
      </w:pPr>
      <w:r w:rsidRPr="009149DE">
        <w:rPr>
          <w:rFonts w:ascii="Times New Roman" w:hAnsi="Times New Roman"/>
          <w:lang w:eastAsia="en-US"/>
        </w:rPr>
        <w:t>Výdavky SK, a. s. rozpočtované na rok 201</w:t>
      </w:r>
      <w:r>
        <w:rPr>
          <w:rFonts w:ascii="Times New Roman" w:hAnsi="Times New Roman"/>
          <w:lang w:eastAsia="en-US"/>
        </w:rPr>
        <w:t>6</w:t>
      </w:r>
      <w:r w:rsidRPr="009149DE">
        <w:rPr>
          <w:rFonts w:ascii="Times New Roman" w:hAnsi="Times New Roman"/>
          <w:lang w:eastAsia="en-US"/>
        </w:rPr>
        <w:t xml:space="preserve"> na úrovni </w:t>
      </w:r>
      <w:r>
        <w:rPr>
          <w:rFonts w:ascii="Times New Roman" w:hAnsi="Times New Roman"/>
          <w:lang w:eastAsia="en-US"/>
        </w:rPr>
        <w:t>10 637</w:t>
      </w:r>
      <w:r w:rsidRPr="009149DE">
        <w:rPr>
          <w:rFonts w:ascii="Times New Roman" w:hAnsi="Times New Roman"/>
          <w:lang w:eastAsia="en-US"/>
        </w:rPr>
        <w:t xml:space="preserve"> tis. eur tvoria prevažne  bežné výdavky určené na činnosť spoločnosti a na výplatu dividend akcionárovi</w:t>
      </w:r>
      <w:r>
        <w:rPr>
          <w:rFonts w:ascii="Times New Roman" w:hAnsi="Times New Roman"/>
          <w:lang w:eastAsia="en-US"/>
        </w:rPr>
        <w:t xml:space="preserve">. V roku </w:t>
      </w:r>
      <w:r w:rsidRPr="009149DE">
        <w:rPr>
          <w:rFonts w:ascii="Times New Roman" w:hAnsi="Times New Roman"/>
          <w:lang w:eastAsia="en-US"/>
        </w:rPr>
        <w:t>201</w:t>
      </w:r>
      <w:r>
        <w:rPr>
          <w:rFonts w:ascii="Times New Roman" w:hAnsi="Times New Roman"/>
          <w:lang w:eastAsia="en-US"/>
        </w:rPr>
        <w:t>6</w:t>
      </w:r>
      <w:r w:rsidRPr="009149DE">
        <w:rPr>
          <w:rFonts w:ascii="Times New Roman" w:hAnsi="Times New Roman"/>
          <w:lang w:eastAsia="en-US"/>
        </w:rPr>
        <w:t xml:space="preserve"> dochádza </w:t>
      </w:r>
      <w:r>
        <w:rPr>
          <w:rFonts w:ascii="Times New Roman" w:hAnsi="Times New Roman"/>
          <w:lang w:eastAsia="en-US"/>
        </w:rPr>
        <w:t>p</w:t>
      </w:r>
      <w:r w:rsidRPr="009149DE">
        <w:rPr>
          <w:rFonts w:ascii="Times New Roman" w:hAnsi="Times New Roman"/>
          <w:lang w:eastAsia="en-US"/>
        </w:rPr>
        <w:t xml:space="preserve">ri medziročnom porovnaní k </w:t>
      </w:r>
      <w:r>
        <w:rPr>
          <w:rFonts w:ascii="Times New Roman" w:hAnsi="Times New Roman"/>
          <w:lang w:eastAsia="en-US"/>
        </w:rPr>
        <w:t>nárastu</w:t>
      </w:r>
      <w:r w:rsidRPr="009149DE">
        <w:rPr>
          <w:rFonts w:ascii="Times New Roman" w:hAnsi="Times New Roman"/>
          <w:lang w:eastAsia="en-US"/>
        </w:rPr>
        <w:t xml:space="preserve"> celkových výdavkov o</w:t>
      </w:r>
      <w:r>
        <w:rPr>
          <w:rFonts w:ascii="Times New Roman" w:hAnsi="Times New Roman"/>
          <w:lang w:eastAsia="en-US"/>
        </w:rPr>
        <w:t> 9,4</w:t>
      </w:r>
      <w:r w:rsidRPr="009149DE">
        <w:rPr>
          <w:rFonts w:ascii="Times New Roman" w:hAnsi="Times New Roman"/>
          <w:lang w:eastAsia="en-US"/>
        </w:rPr>
        <w:t xml:space="preserve"> % oproti schválenému rozpočtu na rok 201</w:t>
      </w:r>
      <w:r>
        <w:rPr>
          <w:rFonts w:ascii="Times New Roman" w:hAnsi="Times New Roman"/>
          <w:lang w:eastAsia="en-US"/>
        </w:rPr>
        <w:t>5</w:t>
      </w:r>
      <w:r w:rsidRPr="009149DE">
        <w:rPr>
          <w:rFonts w:ascii="Times New Roman" w:hAnsi="Times New Roman"/>
          <w:lang w:eastAsia="en-US"/>
        </w:rPr>
        <w:t xml:space="preserve">. </w:t>
      </w:r>
      <w:r>
        <w:rPr>
          <w:rFonts w:ascii="Times New Roman" w:hAnsi="Times New Roman"/>
          <w:lang w:eastAsia="en-US"/>
        </w:rPr>
        <w:t>Nárast bežných ako aj kapitálových výdavkov súvisí s aplikáciou zákona č. 374/2014 Z. z. o pohľadávkach štátu, ktorý zvyšuje nároky na vymáhanie pohľadávok na strane SK, a. s. V roku 2016 sa predpokladá výplata dividend vo výške 2 115 tis. eur pri medziročnom poklese o 370 tis. eur, t. j. o 14,9 %.</w:t>
      </w:r>
    </w:p>
    <w:p w:rsidR="008225DB" w:rsidRPr="006573DA" w:rsidP="008225DB">
      <w:pPr>
        <w:bidi w:val="0"/>
        <w:ind w:firstLine="709"/>
        <w:jc w:val="both"/>
        <w:rPr>
          <w:rFonts w:ascii="Times New Roman" w:hAnsi="Times New Roman"/>
          <w:sz w:val="16"/>
          <w:szCs w:val="16"/>
          <w:lang w:eastAsia="en-US"/>
        </w:rPr>
      </w:pPr>
    </w:p>
    <w:p w:rsidR="006C0389" w:rsidP="006573DA">
      <w:pPr>
        <w:bidi w:val="0"/>
        <w:ind w:firstLine="708"/>
        <w:jc w:val="both"/>
        <w:rPr>
          <w:rFonts w:ascii="Times New Roman" w:hAnsi="Times New Roman"/>
          <w:lang w:eastAsia="en-US"/>
        </w:rPr>
      </w:pPr>
      <w:r w:rsidRPr="009149DE" w:rsidR="008225DB">
        <w:rPr>
          <w:rFonts w:ascii="Times New Roman" w:hAnsi="Times New Roman"/>
          <w:lang w:eastAsia="en-US"/>
        </w:rPr>
        <w:t>Celkový prebytok SK, a. s.</w:t>
      </w:r>
      <w:r w:rsidR="008225DB">
        <w:rPr>
          <w:rFonts w:ascii="Times New Roman" w:hAnsi="Times New Roman"/>
          <w:lang w:eastAsia="en-US"/>
        </w:rPr>
        <w:t xml:space="preserve"> </w:t>
      </w:r>
      <w:r w:rsidRPr="009149DE" w:rsidR="008225DB">
        <w:rPr>
          <w:rFonts w:ascii="Times New Roman" w:hAnsi="Times New Roman"/>
          <w:lang w:eastAsia="en-US"/>
        </w:rPr>
        <w:t>na hotovostnej báze je rozpočtovaný</w:t>
      </w:r>
      <w:r w:rsidR="008225DB">
        <w:rPr>
          <w:rFonts w:ascii="Times New Roman" w:hAnsi="Times New Roman"/>
          <w:lang w:eastAsia="en-US"/>
        </w:rPr>
        <w:t xml:space="preserve"> v roku 2016</w:t>
      </w:r>
      <w:r w:rsidRPr="009149DE" w:rsidR="008225DB">
        <w:rPr>
          <w:rFonts w:ascii="Times New Roman" w:hAnsi="Times New Roman"/>
          <w:lang w:eastAsia="en-US"/>
        </w:rPr>
        <w:t xml:space="preserve"> na úrovni </w:t>
      </w:r>
      <w:r w:rsidR="008225DB">
        <w:rPr>
          <w:rFonts w:ascii="Times New Roman" w:hAnsi="Times New Roman"/>
          <w:lang w:eastAsia="en-US"/>
        </w:rPr>
        <w:br/>
        <w:t>53 279 tis.</w:t>
      </w:r>
      <w:r w:rsidRPr="009149DE" w:rsidR="008225DB">
        <w:rPr>
          <w:rFonts w:ascii="Times New Roman" w:hAnsi="Times New Roman"/>
          <w:lang w:eastAsia="en-US"/>
        </w:rPr>
        <w:t xml:space="preserve"> eur, </w:t>
      </w:r>
      <w:r w:rsidR="008225DB">
        <w:rPr>
          <w:rFonts w:ascii="Times New Roman" w:hAnsi="Times New Roman"/>
          <w:lang w:eastAsia="en-US"/>
        </w:rPr>
        <w:t>v roku 2017 na úrovni 56 507 tis. eur a v roku 2018 na úrovni 59 595 tis. eur, pričom v</w:t>
      </w:r>
      <w:r w:rsidRPr="009149DE" w:rsidR="008225DB">
        <w:rPr>
          <w:rFonts w:ascii="Times New Roman" w:hAnsi="Times New Roman"/>
          <w:lang w:eastAsia="en-US"/>
        </w:rPr>
        <w:t xml:space="preserve"> metodike ESA </w:t>
      </w:r>
      <w:r w:rsidR="008225DB">
        <w:rPr>
          <w:rFonts w:ascii="Times New Roman" w:hAnsi="Times New Roman"/>
          <w:lang w:eastAsia="en-US"/>
        </w:rPr>
        <w:t>2010</w:t>
      </w:r>
      <w:r w:rsidRPr="009149DE" w:rsidR="008225DB">
        <w:rPr>
          <w:rFonts w:ascii="Times New Roman" w:hAnsi="Times New Roman"/>
          <w:lang w:eastAsia="en-US"/>
        </w:rPr>
        <w:t xml:space="preserve"> </w:t>
      </w:r>
      <w:r w:rsidR="008225DB">
        <w:rPr>
          <w:rFonts w:ascii="Times New Roman" w:hAnsi="Times New Roman"/>
          <w:lang w:eastAsia="en-US"/>
        </w:rPr>
        <w:t>sa predpokladá</w:t>
      </w:r>
      <w:r w:rsidRPr="009149DE" w:rsidR="008225DB">
        <w:rPr>
          <w:rFonts w:ascii="Times New Roman" w:hAnsi="Times New Roman"/>
          <w:lang w:eastAsia="en-US"/>
        </w:rPr>
        <w:t xml:space="preserve"> </w:t>
      </w:r>
      <w:r w:rsidR="008225DB">
        <w:rPr>
          <w:rFonts w:ascii="Times New Roman" w:hAnsi="Times New Roman"/>
          <w:lang w:eastAsia="en-US"/>
        </w:rPr>
        <w:t>celkový prebytok</w:t>
      </w:r>
      <w:r w:rsidRPr="009149DE" w:rsidR="008225DB">
        <w:rPr>
          <w:rFonts w:ascii="Times New Roman" w:hAnsi="Times New Roman"/>
          <w:lang w:eastAsia="en-US"/>
        </w:rPr>
        <w:t xml:space="preserve"> v roku 201</w:t>
      </w:r>
      <w:r w:rsidR="008225DB">
        <w:rPr>
          <w:rFonts w:ascii="Times New Roman" w:hAnsi="Times New Roman"/>
          <w:lang w:eastAsia="en-US"/>
        </w:rPr>
        <w:t>6 vo výške             4 518 tis.</w:t>
      </w:r>
      <w:r w:rsidRPr="009149DE" w:rsidR="008225DB">
        <w:rPr>
          <w:rFonts w:ascii="Times New Roman" w:hAnsi="Times New Roman"/>
          <w:lang w:eastAsia="en-US"/>
        </w:rPr>
        <w:t xml:space="preserve"> eur, v roku 201</w:t>
      </w:r>
      <w:r w:rsidR="008225DB">
        <w:rPr>
          <w:rFonts w:ascii="Times New Roman" w:hAnsi="Times New Roman"/>
          <w:lang w:eastAsia="en-US"/>
        </w:rPr>
        <w:t>7</w:t>
      </w:r>
      <w:r w:rsidRPr="009149DE" w:rsidR="008225DB">
        <w:rPr>
          <w:rFonts w:ascii="Times New Roman" w:hAnsi="Times New Roman"/>
          <w:lang w:eastAsia="en-US"/>
        </w:rPr>
        <w:t xml:space="preserve"> vo výške </w:t>
      </w:r>
      <w:r w:rsidR="008225DB">
        <w:rPr>
          <w:rFonts w:ascii="Times New Roman" w:hAnsi="Times New Roman"/>
          <w:lang w:eastAsia="en-US"/>
        </w:rPr>
        <w:t>3 228 tis.</w:t>
      </w:r>
      <w:r w:rsidRPr="009149DE" w:rsidR="008225DB">
        <w:rPr>
          <w:rFonts w:ascii="Times New Roman" w:hAnsi="Times New Roman"/>
          <w:lang w:eastAsia="en-US"/>
        </w:rPr>
        <w:t xml:space="preserve"> eur a v roku 201</w:t>
      </w:r>
      <w:r w:rsidR="008225DB">
        <w:rPr>
          <w:rFonts w:ascii="Times New Roman" w:hAnsi="Times New Roman"/>
          <w:lang w:eastAsia="en-US"/>
        </w:rPr>
        <w:t>8</w:t>
      </w:r>
      <w:r w:rsidRPr="009149DE" w:rsidR="008225DB">
        <w:rPr>
          <w:rFonts w:ascii="Times New Roman" w:hAnsi="Times New Roman"/>
          <w:lang w:eastAsia="en-US"/>
        </w:rPr>
        <w:t xml:space="preserve"> vo výške </w:t>
      </w:r>
      <w:r w:rsidR="008225DB">
        <w:rPr>
          <w:rFonts w:ascii="Times New Roman" w:hAnsi="Times New Roman"/>
          <w:lang w:eastAsia="en-US"/>
        </w:rPr>
        <w:t>3 088 tis.</w:t>
      </w:r>
      <w:r w:rsidRPr="009149DE" w:rsidR="008225DB">
        <w:rPr>
          <w:rFonts w:ascii="Times New Roman" w:hAnsi="Times New Roman"/>
          <w:lang w:eastAsia="en-US"/>
        </w:rPr>
        <w:t xml:space="preserve"> eur.</w:t>
      </w:r>
    </w:p>
    <w:p w:rsidR="008225DB" w:rsidP="008225DB">
      <w:pPr>
        <w:bidi w:val="0"/>
        <w:jc w:val="both"/>
        <w:rPr>
          <w:rFonts w:ascii="Times New Roman" w:hAnsi="Times New Roman"/>
        </w:rPr>
      </w:pPr>
    </w:p>
    <w:p w:rsidR="006C0389" w:rsidRPr="004C1F5A" w:rsidP="006C0389">
      <w:pPr>
        <w:bidi w:val="0"/>
        <w:jc w:val="both"/>
        <w:rPr>
          <w:rFonts w:ascii="Times New Roman" w:hAnsi="Times New Roman"/>
          <w:b/>
          <w:bCs/>
        </w:rPr>
      </w:pPr>
      <w:r w:rsidRPr="004C1F5A">
        <w:rPr>
          <w:rFonts w:ascii="Times New Roman" w:hAnsi="Times New Roman"/>
          <w:b/>
          <w:bCs/>
        </w:rPr>
        <w:t xml:space="preserve">8. Úrad pre dohľad nad zdravotnou starostlivosťou </w:t>
      </w:r>
    </w:p>
    <w:p w:rsidR="006C0389" w:rsidRPr="004C1F5A" w:rsidP="006C0389">
      <w:pPr>
        <w:bidi w:val="0"/>
        <w:jc w:val="both"/>
        <w:rPr>
          <w:rFonts w:ascii="Times New Roman" w:hAnsi="Times New Roman"/>
          <w:sz w:val="16"/>
          <w:szCs w:val="16"/>
        </w:rPr>
      </w:pPr>
    </w:p>
    <w:p w:rsidR="006C0389" w:rsidRPr="004C1F5A" w:rsidP="006C0389">
      <w:pPr>
        <w:bidi w:val="0"/>
        <w:ind w:firstLine="708"/>
        <w:jc w:val="both"/>
        <w:rPr>
          <w:rFonts w:ascii="Times New Roman" w:hAnsi="Times New Roman"/>
        </w:rPr>
      </w:pPr>
      <w:r w:rsidRPr="004C1F5A">
        <w:rPr>
          <w:rFonts w:ascii="Times New Roman" w:hAnsi="Times New Roman"/>
        </w:rPr>
        <w:t xml:space="preserve">Úrad pre dohľad nad zdravotnou starostlivosťou (ďalej len „úrad“) v oblasti verejnej správy vykonáva dohľad nad poskytovaním zdravotnej starostlivosti a verejným zdravotným poistením. </w:t>
      </w:r>
    </w:p>
    <w:p w:rsidR="006C0389" w:rsidRPr="004C1F5A" w:rsidP="006C0389">
      <w:pPr>
        <w:bidi w:val="0"/>
        <w:jc w:val="both"/>
        <w:rPr>
          <w:rFonts w:ascii="Times New Roman" w:hAnsi="Times New Roman"/>
          <w:sz w:val="16"/>
          <w:szCs w:val="16"/>
        </w:rPr>
      </w:pPr>
    </w:p>
    <w:p w:rsidR="006C0389" w:rsidRPr="004C1F5A" w:rsidP="006C0389">
      <w:pPr>
        <w:bidi w:val="0"/>
        <w:ind w:firstLine="708"/>
        <w:jc w:val="both"/>
        <w:rPr>
          <w:rFonts w:ascii="Times New Roman" w:hAnsi="Times New Roman"/>
        </w:rPr>
      </w:pPr>
      <w:r w:rsidRPr="004C1F5A">
        <w:rPr>
          <w:rFonts w:ascii="Times New Roman" w:hAnsi="Times New Roman"/>
        </w:rPr>
        <w:t>Vývoj príjmovej a výdavkovej časti rozpočtu úradu na roky 2016 až 2018 je v porovnaní s predchádzajúcimi rokmi nasledovný:</w:t>
      </w:r>
    </w:p>
    <w:p w:rsidR="006C0389" w:rsidRPr="006573DA" w:rsidP="006C0389">
      <w:pPr>
        <w:bidi w:val="0"/>
        <w:ind w:firstLine="708"/>
        <w:jc w:val="both"/>
        <w:rPr>
          <w:rFonts w:ascii="Times New Roman" w:hAnsi="Times New Roman"/>
          <w:sz w:val="16"/>
          <w:szCs w:val="16"/>
        </w:rPr>
      </w:pPr>
    </w:p>
    <w:tbl>
      <w:tblPr>
        <w:tblStyle w:val="TableNormal"/>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780"/>
        <w:gridCol w:w="780"/>
        <w:gridCol w:w="780"/>
        <w:gridCol w:w="780"/>
        <w:gridCol w:w="780"/>
        <w:gridCol w:w="780"/>
        <w:gridCol w:w="780"/>
        <w:gridCol w:w="740"/>
      </w:tblGrid>
      <w:tr>
        <w:tblPrEx>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shd w:val="pct35" w:color="A6A6A6" w:fill="A6A6A6"/>
            <w:noWrap/>
            <w:textDirection w:val="lrTb"/>
            <w:vAlign w:val="center"/>
            <w:hideMark/>
          </w:tcPr>
          <w:p w:rsidR="006C0389" w:rsidRPr="0060040C" w:rsidP="000008FE">
            <w:pPr>
              <w:bidi w:val="0"/>
              <w:rPr>
                <w:rFonts w:ascii="Times New Roman" w:hAnsi="Times New Roman"/>
                <w:b/>
                <w:bCs/>
                <w:color w:val="000000"/>
                <w:sz w:val="16"/>
                <w:szCs w:val="16"/>
              </w:rPr>
            </w:pPr>
            <w:r w:rsidRPr="0060040C">
              <w:rPr>
                <w:rFonts w:ascii="Times New Roman" w:hAnsi="Times New Roman"/>
                <w:b/>
                <w:bCs/>
                <w:color w:val="000000"/>
                <w:sz w:val="16"/>
                <w:szCs w:val="16"/>
              </w:rPr>
              <w:t>v tis. eur</w:t>
            </w:r>
          </w:p>
        </w:tc>
        <w:tc>
          <w:tcPr>
            <w:tcW w:w="780" w:type="dxa"/>
            <w:tcBorders>
              <w:top w:val="single" w:sz="4" w:space="0" w:color="auto"/>
              <w:left w:val="single" w:sz="4" w:space="0" w:color="auto"/>
              <w:bottom w:val="single" w:sz="4" w:space="0" w:color="auto"/>
              <w:right w:val="single" w:sz="4" w:space="0" w:color="auto"/>
            </w:tcBorders>
            <w:shd w:val="pct35" w:color="A6A6A6" w:fill="A6A6A6"/>
            <w:noWrap/>
            <w:textDirection w:val="lrTb"/>
            <w:vAlign w:val="center"/>
            <w:hideMark/>
          </w:tcPr>
          <w:p w:rsidR="006C0389" w:rsidRPr="0060040C" w:rsidP="000008FE">
            <w:pPr>
              <w:bidi w:val="0"/>
              <w:jc w:val="center"/>
              <w:rPr>
                <w:rFonts w:ascii="Times New Roman" w:hAnsi="Times New Roman"/>
                <w:b/>
                <w:bCs/>
                <w:color w:val="000000"/>
                <w:sz w:val="16"/>
                <w:szCs w:val="16"/>
              </w:rPr>
            </w:pPr>
            <w:r w:rsidRPr="0060040C">
              <w:rPr>
                <w:rFonts w:ascii="Times New Roman" w:hAnsi="Times New Roman"/>
                <w:b/>
                <w:bCs/>
                <w:color w:val="000000"/>
                <w:sz w:val="16"/>
                <w:szCs w:val="16"/>
              </w:rPr>
              <w:t>2013 S</w:t>
            </w:r>
          </w:p>
        </w:tc>
        <w:tc>
          <w:tcPr>
            <w:tcW w:w="780" w:type="dxa"/>
            <w:tcBorders>
              <w:top w:val="single" w:sz="4" w:space="0" w:color="auto"/>
              <w:left w:val="single" w:sz="4" w:space="0" w:color="auto"/>
              <w:bottom w:val="single" w:sz="4" w:space="0" w:color="auto"/>
              <w:right w:val="single" w:sz="4" w:space="0" w:color="auto"/>
            </w:tcBorders>
            <w:shd w:val="pct35" w:color="A6A6A6" w:fill="A6A6A6"/>
            <w:noWrap/>
            <w:textDirection w:val="lrTb"/>
            <w:vAlign w:val="center"/>
            <w:hideMark/>
          </w:tcPr>
          <w:p w:rsidR="006C0389" w:rsidRPr="0060040C" w:rsidP="000008FE">
            <w:pPr>
              <w:bidi w:val="0"/>
              <w:jc w:val="center"/>
              <w:rPr>
                <w:rFonts w:ascii="Times New Roman" w:hAnsi="Times New Roman"/>
                <w:b/>
                <w:bCs/>
                <w:color w:val="000000"/>
                <w:sz w:val="16"/>
                <w:szCs w:val="16"/>
              </w:rPr>
            </w:pPr>
            <w:r w:rsidRPr="0060040C">
              <w:rPr>
                <w:rFonts w:ascii="Times New Roman" w:hAnsi="Times New Roman"/>
                <w:b/>
                <w:bCs/>
                <w:color w:val="000000"/>
                <w:sz w:val="16"/>
                <w:szCs w:val="16"/>
              </w:rPr>
              <w:t>2014 S</w:t>
            </w:r>
          </w:p>
        </w:tc>
        <w:tc>
          <w:tcPr>
            <w:tcW w:w="780" w:type="dxa"/>
            <w:tcBorders>
              <w:top w:val="single" w:sz="4" w:space="0" w:color="auto"/>
              <w:left w:val="single" w:sz="4" w:space="0" w:color="auto"/>
              <w:bottom w:val="single" w:sz="4" w:space="0" w:color="auto"/>
              <w:right w:val="single" w:sz="4" w:space="0" w:color="auto"/>
            </w:tcBorders>
            <w:shd w:val="pct35" w:color="A6A6A6" w:fill="A6A6A6"/>
            <w:noWrap/>
            <w:textDirection w:val="lrTb"/>
            <w:vAlign w:val="center"/>
            <w:hideMark/>
          </w:tcPr>
          <w:p w:rsidR="006C0389" w:rsidRPr="0060040C" w:rsidP="000008FE">
            <w:pPr>
              <w:bidi w:val="0"/>
              <w:jc w:val="center"/>
              <w:rPr>
                <w:rFonts w:ascii="Times New Roman" w:hAnsi="Times New Roman"/>
                <w:b/>
                <w:bCs/>
                <w:color w:val="000000"/>
                <w:sz w:val="16"/>
                <w:szCs w:val="16"/>
              </w:rPr>
            </w:pPr>
            <w:r w:rsidRPr="0060040C">
              <w:rPr>
                <w:rFonts w:ascii="Times New Roman" w:hAnsi="Times New Roman"/>
                <w:b/>
                <w:bCs/>
                <w:color w:val="000000"/>
                <w:sz w:val="16"/>
                <w:szCs w:val="16"/>
              </w:rPr>
              <w:t>2015 R</w:t>
            </w:r>
          </w:p>
        </w:tc>
        <w:tc>
          <w:tcPr>
            <w:tcW w:w="780" w:type="dxa"/>
            <w:tcBorders>
              <w:top w:val="single" w:sz="4" w:space="0" w:color="auto"/>
              <w:left w:val="single" w:sz="4" w:space="0" w:color="auto"/>
              <w:bottom w:val="single" w:sz="4" w:space="0" w:color="auto"/>
              <w:right w:val="single" w:sz="4" w:space="0" w:color="auto"/>
            </w:tcBorders>
            <w:shd w:val="pct35" w:color="A6A6A6" w:fill="A6A6A6"/>
            <w:textDirection w:val="lrTb"/>
            <w:vAlign w:val="center"/>
            <w:hideMark/>
          </w:tcPr>
          <w:p w:rsidR="006C0389" w:rsidRPr="0060040C" w:rsidP="000008FE">
            <w:pPr>
              <w:bidi w:val="0"/>
              <w:jc w:val="center"/>
              <w:rPr>
                <w:rFonts w:ascii="Times New Roman" w:hAnsi="Times New Roman"/>
                <w:b/>
                <w:bCs/>
                <w:color w:val="000000"/>
                <w:sz w:val="16"/>
                <w:szCs w:val="16"/>
              </w:rPr>
            </w:pPr>
            <w:r w:rsidRPr="0060040C">
              <w:rPr>
                <w:rFonts w:ascii="Times New Roman" w:hAnsi="Times New Roman"/>
                <w:b/>
                <w:bCs/>
                <w:color w:val="000000"/>
                <w:sz w:val="16"/>
                <w:szCs w:val="16"/>
              </w:rPr>
              <w:t>2015 OS</w:t>
            </w:r>
          </w:p>
        </w:tc>
        <w:tc>
          <w:tcPr>
            <w:tcW w:w="780" w:type="dxa"/>
            <w:tcBorders>
              <w:top w:val="single" w:sz="4" w:space="0" w:color="auto"/>
              <w:left w:val="single" w:sz="4" w:space="0" w:color="auto"/>
              <w:bottom w:val="single" w:sz="4" w:space="0" w:color="auto"/>
              <w:right w:val="single" w:sz="4" w:space="0" w:color="auto"/>
            </w:tcBorders>
            <w:shd w:val="pct35" w:color="A6A6A6" w:fill="A6A6A6"/>
            <w:textDirection w:val="lrTb"/>
            <w:vAlign w:val="center"/>
            <w:hideMark/>
          </w:tcPr>
          <w:p w:rsidR="006C0389" w:rsidRPr="0060040C" w:rsidP="000008FE">
            <w:pPr>
              <w:bidi w:val="0"/>
              <w:jc w:val="center"/>
              <w:rPr>
                <w:rFonts w:ascii="Times New Roman" w:hAnsi="Times New Roman"/>
                <w:b/>
                <w:bCs/>
                <w:color w:val="000000"/>
                <w:sz w:val="16"/>
                <w:szCs w:val="16"/>
              </w:rPr>
            </w:pPr>
            <w:r w:rsidRPr="0060040C">
              <w:rPr>
                <w:rFonts w:ascii="Times New Roman" w:hAnsi="Times New Roman"/>
                <w:b/>
                <w:bCs/>
                <w:color w:val="000000"/>
                <w:sz w:val="16"/>
                <w:szCs w:val="16"/>
              </w:rPr>
              <w:t>2016 N</w:t>
            </w:r>
          </w:p>
        </w:tc>
        <w:tc>
          <w:tcPr>
            <w:tcW w:w="780" w:type="dxa"/>
            <w:tcBorders>
              <w:top w:val="single" w:sz="4" w:space="0" w:color="auto"/>
              <w:left w:val="single" w:sz="4" w:space="0" w:color="auto"/>
              <w:bottom w:val="single" w:sz="4" w:space="0" w:color="auto"/>
              <w:right w:val="single" w:sz="4" w:space="0" w:color="auto"/>
            </w:tcBorders>
            <w:shd w:val="pct35" w:color="A6A6A6" w:fill="A6A6A6"/>
            <w:textDirection w:val="lrTb"/>
            <w:vAlign w:val="center"/>
            <w:hideMark/>
          </w:tcPr>
          <w:p w:rsidR="006C0389" w:rsidRPr="0060040C" w:rsidP="000008FE">
            <w:pPr>
              <w:bidi w:val="0"/>
              <w:jc w:val="center"/>
              <w:rPr>
                <w:rFonts w:ascii="Times New Roman" w:hAnsi="Times New Roman"/>
                <w:b/>
                <w:bCs/>
                <w:color w:val="000000"/>
                <w:sz w:val="16"/>
                <w:szCs w:val="16"/>
              </w:rPr>
            </w:pPr>
            <w:r w:rsidRPr="0060040C">
              <w:rPr>
                <w:rFonts w:ascii="Times New Roman" w:hAnsi="Times New Roman"/>
                <w:b/>
                <w:bCs/>
                <w:color w:val="000000"/>
                <w:sz w:val="16"/>
                <w:szCs w:val="16"/>
              </w:rPr>
              <w:t>2017 N</w:t>
            </w:r>
          </w:p>
        </w:tc>
        <w:tc>
          <w:tcPr>
            <w:tcW w:w="740" w:type="dxa"/>
            <w:tcBorders>
              <w:top w:val="single" w:sz="4" w:space="0" w:color="auto"/>
              <w:left w:val="single" w:sz="4" w:space="0" w:color="auto"/>
              <w:bottom w:val="single" w:sz="4" w:space="0" w:color="auto"/>
              <w:right w:val="single" w:sz="4" w:space="0" w:color="auto"/>
            </w:tcBorders>
            <w:shd w:val="pct35" w:color="A6A6A6" w:fill="A6A6A6"/>
            <w:textDirection w:val="lrTb"/>
            <w:vAlign w:val="center"/>
            <w:hideMark/>
          </w:tcPr>
          <w:p w:rsidR="006C0389" w:rsidRPr="0060040C" w:rsidP="000008FE">
            <w:pPr>
              <w:bidi w:val="0"/>
              <w:jc w:val="center"/>
              <w:rPr>
                <w:rFonts w:ascii="Times New Roman" w:hAnsi="Times New Roman"/>
                <w:b/>
                <w:bCs/>
                <w:color w:val="000000"/>
                <w:sz w:val="16"/>
                <w:szCs w:val="16"/>
              </w:rPr>
            </w:pPr>
            <w:r w:rsidRPr="0060040C">
              <w:rPr>
                <w:rFonts w:ascii="Times New Roman" w:hAnsi="Times New Roman"/>
                <w:b/>
                <w:bCs/>
                <w:color w:val="000000"/>
                <w:sz w:val="16"/>
                <w:szCs w:val="16"/>
              </w:rPr>
              <w:t>2018 N</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rPr>
                <w:rFonts w:ascii="Times New Roman" w:hAnsi="Times New Roman"/>
                <w:b/>
                <w:bCs/>
                <w:color w:val="000000"/>
                <w:sz w:val="16"/>
                <w:szCs w:val="16"/>
              </w:rPr>
            </w:pPr>
            <w:r w:rsidRPr="0060040C">
              <w:rPr>
                <w:rFonts w:ascii="Times New Roman" w:hAnsi="Times New Roman"/>
                <w:b/>
                <w:bCs/>
                <w:color w:val="000000"/>
                <w:sz w:val="16"/>
                <w:szCs w:val="16"/>
              </w:rPr>
              <w:t>Príjmy ÚDZS spolu</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38 137</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43 144</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39 719</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41 896</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43 149</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43 399</w:t>
            </w:r>
          </w:p>
        </w:tc>
        <w:tc>
          <w:tcPr>
            <w:tcW w:w="74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44 702</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rPr>
                <w:rFonts w:ascii="Times New Roman" w:hAnsi="Times New Roman"/>
                <w:b/>
                <w:bCs/>
                <w:color w:val="000000"/>
                <w:sz w:val="16"/>
                <w:szCs w:val="16"/>
              </w:rPr>
            </w:pPr>
            <w:r w:rsidRPr="0060040C">
              <w:rPr>
                <w:rFonts w:ascii="Times New Roman" w:hAnsi="Times New Roman"/>
                <w:b/>
                <w:bCs/>
                <w:color w:val="000000"/>
                <w:sz w:val="16"/>
                <w:szCs w:val="16"/>
              </w:rPr>
              <w:t>Nedaňové príjmy</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795</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866</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815</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1 035</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815</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815</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815</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rPr>
                <w:rFonts w:ascii="Times New Roman" w:hAnsi="Times New Roman"/>
                <w:b/>
                <w:bCs/>
                <w:color w:val="000000"/>
                <w:sz w:val="16"/>
                <w:szCs w:val="16"/>
              </w:rPr>
            </w:pPr>
            <w:r w:rsidRPr="0060040C">
              <w:rPr>
                <w:rFonts w:ascii="Times New Roman" w:hAnsi="Times New Roman"/>
                <w:b/>
                <w:bCs/>
                <w:color w:val="000000"/>
                <w:sz w:val="16"/>
                <w:szCs w:val="16"/>
              </w:rPr>
              <w:t>Granty a transfery</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18 173</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20 507</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16 882</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17 024</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8C0A14">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18 09</w:t>
            </w:r>
            <w:r w:rsidRPr="0060040C" w:rsidR="008C0A14">
              <w:rPr>
                <w:rFonts w:ascii="Times New Roman" w:hAnsi="Times New Roman"/>
                <w:b/>
                <w:bCs/>
                <w:color w:val="000000"/>
                <w:sz w:val="16"/>
                <w:szCs w:val="16"/>
              </w:rPr>
              <w:t>6</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18 099</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18 494</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60040C">
            <w:pPr>
              <w:bidi w:val="0"/>
              <w:ind w:firstLine="160" w:firstLineChars="100"/>
              <w:rPr>
                <w:rFonts w:ascii="Times New Roman" w:hAnsi="Times New Roman"/>
                <w:color w:val="000000"/>
                <w:sz w:val="16"/>
                <w:szCs w:val="16"/>
              </w:rPr>
            </w:pPr>
            <w:r w:rsidRPr="0060040C">
              <w:rPr>
                <w:rFonts w:ascii="Times New Roman" w:hAnsi="Times New Roman"/>
                <w:color w:val="000000"/>
                <w:sz w:val="16"/>
                <w:szCs w:val="16"/>
              </w:rPr>
              <w:t xml:space="preserve">Zo ŠR - MZ SR  na DRG </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996</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1 042</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60040C">
            <w:pPr>
              <w:bidi w:val="0"/>
              <w:ind w:firstLine="160" w:firstLineChars="100"/>
              <w:rPr>
                <w:rFonts w:ascii="Times New Roman" w:hAnsi="Times New Roman"/>
                <w:color w:val="000000"/>
                <w:sz w:val="16"/>
                <w:szCs w:val="16"/>
              </w:rPr>
            </w:pPr>
            <w:r w:rsidRPr="0060040C">
              <w:rPr>
                <w:rFonts w:ascii="Times New Roman" w:hAnsi="Times New Roman"/>
                <w:color w:val="000000"/>
                <w:sz w:val="16"/>
                <w:szCs w:val="16"/>
              </w:rPr>
              <w:t>EU   na DRG</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989</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2 366</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60040C">
            <w:pPr>
              <w:bidi w:val="0"/>
              <w:ind w:firstLine="160" w:firstLineChars="100"/>
              <w:rPr>
                <w:rFonts w:ascii="Times New Roman" w:hAnsi="Times New Roman"/>
                <w:color w:val="000000"/>
                <w:sz w:val="16"/>
                <w:szCs w:val="16"/>
              </w:rPr>
            </w:pPr>
            <w:r w:rsidRPr="0060040C">
              <w:rPr>
                <w:rFonts w:ascii="Times New Roman" w:hAnsi="Times New Roman"/>
                <w:color w:val="000000"/>
                <w:sz w:val="16"/>
                <w:szCs w:val="16"/>
              </w:rPr>
              <w:t>Spolufinancovanie   na DRG</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116</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278</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60040C">
            <w:pPr>
              <w:bidi w:val="0"/>
              <w:ind w:firstLine="160" w:firstLineChars="100"/>
              <w:rPr>
                <w:rFonts w:ascii="Times New Roman" w:hAnsi="Times New Roman"/>
                <w:color w:val="000000"/>
                <w:sz w:val="16"/>
                <w:szCs w:val="16"/>
              </w:rPr>
            </w:pPr>
            <w:r w:rsidRPr="0060040C">
              <w:rPr>
                <w:rFonts w:ascii="Times New Roman" w:hAnsi="Times New Roman"/>
                <w:color w:val="000000"/>
                <w:sz w:val="16"/>
                <w:szCs w:val="16"/>
              </w:rPr>
              <w:t>Zo zdravotných poisťovní</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16 072</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16 810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16 882</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17 021</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8C0A14">
            <w:pPr>
              <w:bidi w:val="0"/>
              <w:jc w:val="right"/>
              <w:rPr>
                <w:rFonts w:ascii="Times New Roman" w:hAnsi="Times New Roman"/>
                <w:color w:val="000000"/>
                <w:sz w:val="16"/>
                <w:szCs w:val="16"/>
              </w:rPr>
            </w:pPr>
            <w:r w:rsidRPr="0060040C">
              <w:rPr>
                <w:rFonts w:ascii="Times New Roman" w:hAnsi="Times New Roman"/>
                <w:color w:val="000000"/>
                <w:sz w:val="16"/>
                <w:szCs w:val="16"/>
              </w:rPr>
              <w:t>18 09</w:t>
            </w:r>
            <w:r w:rsidRPr="0060040C" w:rsidR="008C0A14">
              <w:rPr>
                <w:rFonts w:ascii="Times New Roman" w:hAnsi="Times New Roman"/>
                <w:color w:val="000000"/>
                <w:sz w:val="16"/>
                <w:szCs w:val="16"/>
              </w:rPr>
              <w:t>6</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18 099</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18 494</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60040C">
            <w:pPr>
              <w:bidi w:val="0"/>
              <w:ind w:firstLine="160" w:firstLineChars="100"/>
              <w:rPr>
                <w:rFonts w:ascii="Times New Roman" w:hAnsi="Times New Roman"/>
                <w:color w:val="000000"/>
                <w:sz w:val="16"/>
                <w:szCs w:val="16"/>
              </w:rPr>
            </w:pPr>
            <w:r w:rsidRPr="0060040C">
              <w:rPr>
                <w:rFonts w:ascii="Times New Roman" w:hAnsi="Times New Roman"/>
                <w:color w:val="000000"/>
                <w:sz w:val="16"/>
                <w:szCs w:val="16"/>
              </w:rPr>
              <w:t>Zahraničné granty bežné od medzinárodnej organizácie</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11</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3</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0</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rPr>
                <w:rFonts w:ascii="Times New Roman" w:hAnsi="Times New Roman"/>
                <w:b/>
                <w:bCs/>
                <w:color w:val="000000"/>
                <w:sz w:val="16"/>
                <w:szCs w:val="16"/>
              </w:rPr>
            </w:pPr>
            <w:r w:rsidRPr="0060040C">
              <w:rPr>
                <w:rFonts w:ascii="Times New Roman" w:hAnsi="Times New Roman"/>
                <w:b/>
                <w:bCs/>
                <w:color w:val="000000"/>
                <w:sz w:val="16"/>
                <w:szCs w:val="16"/>
              </w:rPr>
              <w:t>Príjmy z transakcií s fin. akt. a pas., v tom: (FO)</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19 169</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21 771</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22 022</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23 837</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8C0A14">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24 23</w:t>
            </w:r>
            <w:r w:rsidRPr="0060040C" w:rsidR="008C0A14">
              <w:rPr>
                <w:rFonts w:ascii="Times New Roman" w:hAnsi="Times New Roman"/>
                <w:b/>
                <w:bCs/>
                <w:color w:val="000000"/>
                <w:sz w:val="16"/>
                <w:szCs w:val="16"/>
              </w:rPr>
              <w:t>8</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24 484</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25 393</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60040C">
            <w:pPr>
              <w:bidi w:val="0"/>
              <w:ind w:firstLine="160" w:firstLineChars="100"/>
              <w:rPr>
                <w:rFonts w:ascii="Times New Roman" w:hAnsi="Times New Roman"/>
                <w:color w:val="000000"/>
                <w:sz w:val="16"/>
                <w:szCs w:val="16"/>
              </w:rPr>
            </w:pPr>
            <w:r w:rsidRPr="0060040C">
              <w:rPr>
                <w:rFonts w:ascii="Times New Roman" w:hAnsi="Times New Roman"/>
                <w:color w:val="000000"/>
                <w:sz w:val="16"/>
                <w:szCs w:val="16"/>
              </w:rPr>
              <w:t>Zostatok finančných prostriedkov z predchádzajúcich rokov</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19 169</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21 771</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22 022</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23 837</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8C0A14">
            <w:pPr>
              <w:bidi w:val="0"/>
              <w:jc w:val="right"/>
              <w:rPr>
                <w:rFonts w:ascii="Times New Roman" w:hAnsi="Times New Roman"/>
                <w:color w:val="000000"/>
                <w:sz w:val="16"/>
                <w:szCs w:val="16"/>
              </w:rPr>
            </w:pPr>
            <w:r w:rsidRPr="0060040C">
              <w:rPr>
                <w:rFonts w:ascii="Times New Roman" w:hAnsi="Times New Roman"/>
                <w:color w:val="000000"/>
                <w:sz w:val="16"/>
                <w:szCs w:val="16"/>
              </w:rPr>
              <w:t>24 23</w:t>
            </w:r>
            <w:r w:rsidRPr="0060040C" w:rsidR="008C0A14">
              <w:rPr>
                <w:rFonts w:ascii="Times New Roman" w:hAnsi="Times New Roman"/>
                <w:color w:val="000000"/>
                <w:sz w:val="16"/>
                <w:szCs w:val="16"/>
              </w:rPr>
              <w:t>8</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24 484</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25 393</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rPr>
                <w:rFonts w:ascii="Times New Roman" w:hAnsi="Times New Roman"/>
                <w:b/>
                <w:bCs/>
                <w:color w:val="000000"/>
                <w:sz w:val="16"/>
                <w:szCs w:val="16"/>
              </w:rPr>
            </w:pPr>
            <w:r w:rsidRPr="0060040C">
              <w:rPr>
                <w:rFonts w:ascii="Times New Roman" w:hAnsi="Times New Roman"/>
                <w:b/>
                <w:bCs/>
                <w:color w:val="000000"/>
                <w:sz w:val="16"/>
                <w:szCs w:val="16"/>
              </w:rPr>
              <w:t>Výdavky ÚDZS spolu</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16 358</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19 306</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17 658</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17 658</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18 665</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18 006</w:t>
            </w:r>
          </w:p>
        </w:tc>
        <w:tc>
          <w:tcPr>
            <w:tcW w:w="74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18 400</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rPr>
                <w:rFonts w:ascii="Times New Roman" w:hAnsi="Times New Roman"/>
                <w:b/>
                <w:bCs/>
                <w:color w:val="000000"/>
                <w:sz w:val="16"/>
                <w:szCs w:val="16"/>
              </w:rPr>
            </w:pPr>
            <w:r w:rsidRPr="0060040C">
              <w:rPr>
                <w:rFonts w:ascii="Times New Roman" w:hAnsi="Times New Roman"/>
                <w:b/>
                <w:bCs/>
                <w:color w:val="000000"/>
                <w:sz w:val="16"/>
                <w:szCs w:val="16"/>
              </w:rPr>
              <w:t>Bežné výdavky</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15 815</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18 303</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16 373</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16 373</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17 352</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16 868</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16 441</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60040C">
            <w:pPr>
              <w:bidi w:val="0"/>
              <w:ind w:firstLine="160" w:firstLineChars="100"/>
              <w:rPr>
                <w:rFonts w:ascii="Times New Roman" w:hAnsi="Times New Roman"/>
                <w:color w:val="000000"/>
                <w:sz w:val="16"/>
                <w:szCs w:val="16"/>
              </w:rPr>
            </w:pPr>
            <w:r w:rsidRPr="0060040C">
              <w:rPr>
                <w:rFonts w:ascii="Times New Roman" w:hAnsi="Times New Roman"/>
                <w:color w:val="000000"/>
                <w:sz w:val="16"/>
                <w:szCs w:val="16"/>
              </w:rPr>
              <w:t>Mzdy, platy, služobné príjmy</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6 745</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6 376</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7 266</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7 266</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7 266</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7 266</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7 266</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60040C">
            <w:pPr>
              <w:bidi w:val="0"/>
              <w:ind w:firstLine="160" w:firstLineChars="100"/>
              <w:rPr>
                <w:rFonts w:ascii="Times New Roman" w:hAnsi="Times New Roman"/>
                <w:color w:val="000000"/>
                <w:sz w:val="16"/>
                <w:szCs w:val="16"/>
              </w:rPr>
            </w:pPr>
            <w:r w:rsidRPr="0060040C">
              <w:rPr>
                <w:rFonts w:ascii="Times New Roman" w:hAnsi="Times New Roman"/>
                <w:color w:val="000000"/>
                <w:sz w:val="16"/>
                <w:szCs w:val="16"/>
              </w:rPr>
              <w:t>Poistné a príspevok do ZP</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2 429</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2 372</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2 540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2 540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2 540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2 540</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2 540</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60040C">
            <w:pPr>
              <w:bidi w:val="0"/>
              <w:ind w:firstLine="160" w:firstLineChars="100"/>
              <w:rPr>
                <w:rFonts w:ascii="Times New Roman" w:hAnsi="Times New Roman"/>
                <w:color w:val="000000"/>
                <w:sz w:val="16"/>
                <w:szCs w:val="16"/>
              </w:rPr>
            </w:pPr>
            <w:r w:rsidRPr="0060040C">
              <w:rPr>
                <w:rFonts w:ascii="Times New Roman" w:hAnsi="Times New Roman"/>
                <w:color w:val="000000"/>
                <w:sz w:val="16"/>
                <w:szCs w:val="16"/>
              </w:rPr>
              <w:t>Tovary a služby</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6 545</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9 463</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6 457</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6 457</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7 436</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6 952</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6 525</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60040C">
            <w:pPr>
              <w:bidi w:val="0"/>
              <w:ind w:firstLine="160" w:firstLineChars="100"/>
              <w:rPr>
                <w:rFonts w:ascii="Times New Roman" w:hAnsi="Times New Roman"/>
                <w:color w:val="000000"/>
                <w:sz w:val="16"/>
                <w:szCs w:val="16"/>
              </w:rPr>
            </w:pPr>
            <w:r w:rsidRPr="0060040C">
              <w:rPr>
                <w:rFonts w:ascii="Times New Roman" w:hAnsi="Times New Roman"/>
                <w:color w:val="000000"/>
                <w:sz w:val="16"/>
                <w:szCs w:val="16"/>
              </w:rPr>
              <w:t>Bežné transfery</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96</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92</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110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110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110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110</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110</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rPr>
                <w:rFonts w:ascii="Times New Roman" w:hAnsi="Times New Roman"/>
                <w:b/>
                <w:bCs/>
                <w:color w:val="000000"/>
                <w:sz w:val="16"/>
                <w:szCs w:val="16"/>
              </w:rPr>
            </w:pPr>
            <w:r w:rsidRPr="0060040C">
              <w:rPr>
                <w:rFonts w:ascii="Times New Roman" w:hAnsi="Times New Roman"/>
                <w:b/>
                <w:bCs/>
                <w:color w:val="000000"/>
                <w:sz w:val="16"/>
                <w:szCs w:val="16"/>
              </w:rPr>
              <w:t>Kapitálové výdavky, v tom:</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543</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1 003</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1 285</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1 285</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1 313</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1 138</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1 959</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60040C">
            <w:pPr>
              <w:bidi w:val="0"/>
              <w:ind w:firstLine="160" w:firstLineChars="100"/>
              <w:rPr>
                <w:rFonts w:ascii="Times New Roman" w:hAnsi="Times New Roman"/>
                <w:color w:val="000000"/>
                <w:sz w:val="16"/>
                <w:szCs w:val="16"/>
              </w:rPr>
            </w:pPr>
            <w:r w:rsidRPr="0060040C">
              <w:rPr>
                <w:rFonts w:ascii="Times New Roman" w:hAnsi="Times New Roman"/>
                <w:color w:val="000000"/>
                <w:sz w:val="16"/>
                <w:szCs w:val="16"/>
              </w:rPr>
              <w:t>Obstarávanie kapitálových aktív</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543</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1 003</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1 285</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1 285</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1 313</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1 138</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1 959</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rPr>
                <w:rFonts w:ascii="Times New Roman" w:hAnsi="Times New Roman"/>
                <w:b/>
                <w:bCs/>
                <w:color w:val="000000"/>
                <w:sz w:val="16"/>
                <w:szCs w:val="16"/>
              </w:rPr>
            </w:pPr>
            <w:r w:rsidRPr="0060040C">
              <w:rPr>
                <w:rFonts w:ascii="Times New Roman" w:hAnsi="Times New Roman"/>
                <w:b/>
                <w:bCs/>
                <w:color w:val="000000"/>
                <w:sz w:val="16"/>
                <w:szCs w:val="16"/>
              </w:rPr>
              <w:t>Výdavky z transakcií s fin. akt. a pas. (FO)</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rPr>
                <w:rFonts w:ascii="Times New Roman" w:hAnsi="Times New Roman"/>
                <w:b/>
                <w:bCs/>
                <w:color w:val="000000"/>
                <w:sz w:val="16"/>
                <w:szCs w:val="16"/>
              </w:rPr>
            </w:pPr>
            <w:r w:rsidRPr="0060040C">
              <w:rPr>
                <w:rFonts w:ascii="Times New Roman" w:hAnsi="Times New Roman"/>
                <w:b/>
                <w:bCs/>
                <w:color w:val="000000"/>
                <w:sz w:val="16"/>
                <w:szCs w:val="16"/>
              </w:rPr>
              <w:t>Celkový prebytok/schodok (+/-) ÚDZS</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21 779</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23 838</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22 061</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24 238</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24 484</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25 393</w:t>
            </w:r>
          </w:p>
        </w:tc>
        <w:tc>
          <w:tcPr>
            <w:tcW w:w="74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26 302</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rPr>
                <w:rFonts w:ascii="Times New Roman" w:hAnsi="Times New Roman"/>
                <w:b/>
                <w:bCs/>
                <w:color w:val="000000"/>
                <w:sz w:val="16"/>
                <w:szCs w:val="16"/>
              </w:rPr>
            </w:pPr>
            <w:r w:rsidRPr="0060040C">
              <w:rPr>
                <w:rFonts w:ascii="Times New Roman" w:hAnsi="Times New Roman"/>
                <w:b/>
                <w:bCs/>
                <w:color w:val="000000"/>
                <w:sz w:val="16"/>
                <w:szCs w:val="16"/>
              </w:rPr>
              <w:t>Vylúčenie finančných operácií</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-19 169</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-21 771</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-22 022</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-23 837</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-24 238</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-24 484</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-25 393</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60040C">
            <w:pPr>
              <w:bidi w:val="0"/>
              <w:ind w:firstLine="160" w:firstLineChars="100"/>
              <w:rPr>
                <w:rFonts w:ascii="Times New Roman" w:hAnsi="Times New Roman"/>
                <w:color w:val="000000"/>
                <w:sz w:val="16"/>
                <w:szCs w:val="16"/>
              </w:rPr>
            </w:pPr>
            <w:r w:rsidRPr="0060040C">
              <w:rPr>
                <w:rFonts w:ascii="Times New Roman" w:hAnsi="Times New Roman"/>
                <w:color w:val="000000"/>
                <w:sz w:val="16"/>
                <w:szCs w:val="16"/>
              </w:rPr>
              <w:t>Vylúčenie príjmových FO</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-19 169</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-21 771</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-22 022</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-23 837</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-24 238</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-24 484</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color w:val="000000"/>
                <w:sz w:val="16"/>
                <w:szCs w:val="16"/>
              </w:rPr>
            </w:pPr>
            <w:r w:rsidRPr="0060040C">
              <w:rPr>
                <w:rFonts w:ascii="Times New Roman" w:hAnsi="Times New Roman"/>
                <w:color w:val="000000"/>
                <w:sz w:val="16"/>
                <w:szCs w:val="16"/>
              </w:rPr>
              <w:t>-25 393</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rPr>
                <w:rFonts w:ascii="Times New Roman" w:hAnsi="Times New Roman"/>
                <w:b/>
                <w:bCs/>
                <w:color w:val="000000"/>
                <w:sz w:val="16"/>
                <w:szCs w:val="16"/>
              </w:rPr>
            </w:pPr>
            <w:r w:rsidRPr="0060040C">
              <w:rPr>
                <w:rFonts w:ascii="Times New Roman" w:hAnsi="Times New Roman"/>
                <w:b/>
                <w:bCs/>
                <w:color w:val="000000"/>
                <w:sz w:val="16"/>
                <w:szCs w:val="16"/>
              </w:rPr>
              <w:t>Medziročná zmena stavu pohľadávok</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394</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380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rPr>
                <w:rFonts w:ascii="Times New Roman" w:hAnsi="Times New Roman"/>
                <w:b/>
                <w:bCs/>
                <w:color w:val="000000"/>
                <w:sz w:val="16"/>
                <w:szCs w:val="16"/>
              </w:rPr>
            </w:pPr>
            <w:r w:rsidRPr="0060040C">
              <w:rPr>
                <w:rFonts w:ascii="Times New Roman" w:hAnsi="Times New Roman"/>
                <w:b/>
                <w:bCs/>
                <w:color w:val="000000"/>
                <w:sz w:val="16"/>
                <w:szCs w:val="16"/>
              </w:rPr>
              <w:t>Medziročná zmena stavu záväzkov</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-171</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-116</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rPr>
                <w:rFonts w:ascii="Times New Roman" w:hAnsi="Times New Roman"/>
                <w:b/>
                <w:bCs/>
                <w:color w:val="000000"/>
                <w:sz w:val="16"/>
                <w:szCs w:val="16"/>
              </w:rPr>
            </w:pPr>
            <w:r w:rsidRPr="0060040C">
              <w:rPr>
                <w:rFonts w:ascii="Times New Roman" w:hAnsi="Times New Roman"/>
                <w:b/>
                <w:bCs/>
                <w:color w:val="000000"/>
                <w:sz w:val="16"/>
                <w:szCs w:val="16"/>
              </w:rPr>
              <w:t>ostatné úpravy</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-105</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8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c>
          <w:tcPr>
            <w:tcW w:w="740" w:type="dxa"/>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0</w:t>
            </w:r>
          </w:p>
        </w:tc>
      </w:tr>
      <w:tr>
        <w:tblPrEx>
          <w:tblW w:w="9200" w:type="dxa"/>
          <w:tblCellMar>
            <w:left w:w="70" w:type="dxa"/>
            <w:right w:w="70" w:type="dxa"/>
          </w:tblCellMar>
          <w:tblLook w:val="04A0"/>
        </w:tblPrEx>
        <w:trPr>
          <w:trHeight w:val="240"/>
        </w:trPr>
        <w:tc>
          <w:tcPr>
            <w:tcW w:w="3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90374E">
            <w:pPr>
              <w:bidi w:val="0"/>
              <w:rPr>
                <w:rFonts w:ascii="Times New Roman" w:hAnsi="Times New Roman"/>
                <w:b/>
                <w:bCs/>
                <w:color w:val="000000"/>
                <w:sz w:val="16"/>
                <w:szCs w:val="16"/>
              </w:rPr>
            </w:pPr>
            <w:r w:rsidRPr="0060040C">
              <w:rPr>
                <w:rFonts w:ascii="Times New Roman" w:hAnsi="Times New Roman"/>
                <w:b/>
                <w:bCs/>
                <w:color w:val="000000"/>
                <w:sz w:val="16"/>
                <w:szCs w:val="16"/>
              </w:rPr>
              <w:t>Prebytok</w:t>
            </w:r>
            <w:r w:rsidRPr="0060040C" w:rsidR="0090374E">
              <w:rPr>
                <w:rFonts w:ascii="Times New Roman" w:hAnsi="Times New Roman"/>
                <w:b/>
                <w:bCs/>
                <w:sz w:val="16"/>
                <w:szCs w:val="16"/>
              </w:rPr>
              <w:t>(+)/schodok</w:t>
            </w:r>
            <w:r w:rsidRPr="0060040C">
              <w:rPr>
                <w:rFonts w:ascii="Times New Roman" w:hAnsi="Times New Roman"/>
                <w:b/>
                <w:bCs/>
                <w:sz w:val="16"/>
                <w:szCs w:val="16"/>
              </w:rPr>
              <w:t xml:space="preserve">(-) ÚDZS (ESA </w:t>
            </w:r>
            <w:r w:rsidRPr="0060040C" w:rsidR="0090374E">
              <w:rPr>
                <w:rFonts w:ascii="Times New Roman" w:hAnsi="Times New Roman"/>
                <w:b/>
                <w:bCs/>
                <w:sz w:val="16"/>
                <w:szCs w:val="16"/>
              </w:rPr>
              <w:t>2010</w:t>
            </w:r>
            <w:r w:rsidRPr="0060040C">
              <w:rPr>
                <w:rFonts w:ascii="Times New Roman" w:hAnsi="Times New Roman"/>
                <w:b/>
                <w:bCs/>
                <w:color w:val="000000"/>
                <w:sz w:val="16"/>
                <w:szCs w:val="16"/>
              </w:rPr>
              <w:t>)</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2 833</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2 226</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39</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401</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8C0A14">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24</w:t>
            </w:r>
            <w:r w:rsidRPr="0060040C" w:rsidR="008C0A14">
              <w:rPr>
                <w:rFonts w:ascii="Times New Roman" w:hAnsi="Times New Roman"/>
                <w:b/>
                <w:bCs/>
                <w:color w:val="000000"/>
                <w:sz w:val="16"/>
                <w:szCs w:val="16"/>
              </w:rPr>
              <w:t>6</w:t>
            </w:r>
          </w:p>
        </w:tc>
        <w:tc>
          <w:tcPr>
            <w:tcW w:w="78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909</w:t>
            </w:r>
          </w:p>
        </w:tc>
        <w:tc>
          <w:tcPr>
            <w:tcW w:w="740" w:type="dxa"/>
            <w:tcBorders>
              <w:top w:val="single" w:sz="4" w:space="0" w:color="auto"/>
              <w:left w:val="single" w:sz="4" w:space="0" w:color="auto"/>
              <w:bottom w:val="single" w:sz="4" w:space="0" w:color="auto"/>
              <w:right w:val="single" w:sz="4" w:space="0" w:color="auto"/>
            </w:tcBorders>
            <w:shd w:val="pct25" w:color="BFBFBF" w:fill="BFBFBF"/>
            <w:noWrap/>
            <w:textDirection w:val="lrTb"/>
            <w:vAlign w:val="center"/>
            <w:hideMark/>
          </w:tcPr>
          <w:p w:rsidR="006C0389" w:rsidRPr="0060040C" w:rsidP="000008FE">
            <w:pPr>
              <w:bidi w:val="0"/>
              <w:jc w:val="right"/>
              <w:rPr>
                <w:rFonts w:ascii="Times New Roman" w:hAnsi="Times New Roman"/>
                <w:b/>
                <w:bCs/>
                <w:color w:val="000000"/>
                <w:sz w:val="16"/>
                <w:szCs w:val="16"/>
              </w:rPr>
            </w:pPr>
            <w:r w:rsidRPr="0060040C">
              <w:rPr>
                <w:rFonts w:ascii="Times New Roman" w:hAnsi="Times New Roman"/>
                <w:b/>
                <w:bCs/>
                <w:color w:val="000000"/>
                <w:sz w:val="16"/>
                <w:szCs w:val="16"/>
              </w:rPr>
              <w:t>909</w:t>
            </w:r>
          </w:p>
        </w:tc>
      </w:tr>
    </w:tbl>
    <w:p w:rsidR="006C0389" w:rsidRPr="006573DA" w:rsidP="006C0389">
      <w:pPr>
        <w:bidi w:val="0"/>
        <w:jc w:val="both"/>
        <w:rPr>
          <w:rFonts w:ascii="Times New Roman" w:hAnsi="Times New Roman"/>
        </w:rPr>
      </w:pPr>
    </w:p>
    <w:p w:rsidR="006C0389" w:rsidRPr="004C1F5A" w:rsidP="006C0389">
      <w:pPr>
        <w:bidi w:val="0"/>
        <w:ind w:firstLine="708"/>
        <w:jc w:val="both"/>
        <w:rPr>
          <w:rFonts w:ascii="Times New Roman" w:hAnsi="Times New Roman"/>
        </w:rPr>
      </w:pPr>
      <w:r w:rsidRPr="004C1F5A">
        <w:rPr>
          <w:rFonts w:ascii="Times New Roman" w:hAnsi="Times New Roman"/>
        </w:rPr>
        <w:t>Celkové príjmy úradu sú v roku 2016 rozpočtované vo výške 43,1 mil. eur s medziročným rastom o 8,63 % oproti schválenému rozpočtu na rok 2015. Na rok 2017 sa celkové príjmy predpokladajú v objeme 43,4 mil. eur s medziročným rastom o 0,58 % a na rok 2018 v objeme 44,7 mil. eur, čo predstavuje 3,00 % rast oproti predchádzajúcemu roku.</w:t>
      </w:r>
    </w:p>
    <w:p w:rsidR="006C0389" w:rsidRPr="004C1F5A" w:rsidP="006C0389">
      <w:pPr>
        <w:bidi w:val="0"/>
        <w:ind w:firstLine="708"/>
        <w:jc w:val="both"/>
        <w:rPr>
          <w:rFonts w:ascii="Times New Roman" w:hAnsi="Times New Roman"/>
          <w:sz w:val="16"/>
          <w:szCs w:val="16"/>
        </w:rPr>
      </w:pPr>
    </w:p>
    <w:p w:rsidR="006C0389" w:rsidRPr="004C1F5A" w:rsidP="006C0389">
      <w:pPr>
        <w:bidi w:val="0"/>
        <w:ind w:firstLine="708"/>
        <w:jc w:val="both"/>
        <w:rPr>
          <w:rFonts w:ascii="Times New Roman" w:hAnsi="Times New Roman"/>
        </w:rPr>
      </w:pPr>
      <w:r w:rsidRPr="004C1F5A">
        <w:rPr>
          <w:rFonts w:ascii="Times New Roman" w:hAnsi="Times New Roman"/>
        </w:rPr>
        <w:t>Rozhodujúcim príjmom úradu je každoročný príspevok na činnosť úradu od zdravotných poisťovní podľa § 30 zákona č. 581/2004 Z. z., ktorého výška je 0,45 % z vymeriavacieho základu. V súlade so zákonom č. 581/2004 Z. z. o zdravotných poisťovniach, dohľade nad zdravotnou starostlivosťou a o zmene a doplnení niektorých zákonov s účinnosťou od 1. januára 2011 sa za vymeriavací základ považuje suma nachádzajúca sa v rozhodnutí úradu o ročnom prerozdelení poistného za príslušný kalendárny rok ako celková suma z ročného prerozdelenia, pričom základom ročného prerozdelenia je iba 95 % povinného poistného. Príspevok v roku 2016 sa predpokladá vo výške 18,1 mil. eur s medziročným rastom 7,19 %, v roku 2017 vo výške 18,1 mil. eur  a v roku 2018 v sume 18,5 mil. eur s medziročným rastom o 2,18 %.</w:t>
      </w:r>
    </w:p>
    <w:p w:rsidR="006C0389" w:rsidRPr="004C1F5A" w:rsidP="006C0389">
      <w:pPr>
        <w:bidi w:val="0"/>
        <w:ind w:firstLine="708"/>
        <w:jc w:val="both"/>
        <w:rPr>
          <w:rFonts w:ascii="Times New Roman" w:hAnsi="Times New Roman"/>
          <w:sz w:val="16"/>
          <w:szCs w:val="16"/>
        </w:rPr>
      </w:pPr>
    </w:p>
    <w:p w:rsidR="006C0389" w:rsidRPr="004C1F5A" w:rsidP="006C0389">
      <w:pPr>
        <w:bidi w:val="0"/>
        <w:ind w:firstLine="708"/>
        <w:jc w:val="both"/>
        <w:rPr>
          <w:rFonts w:ascii="Times New Roman" w:hAnsi="Times New Roman"/>
        </w:rPr>
      </w:pPr>
      <w:r w:rsidRPr="004C1F5A">
        <w:rPr>
          <w:rFonts w:ascii="Times New Roman" w:hAnsi="Times New Roman"/>
        </w:rPr>
        <w:t>Medzi príjmové finančné operácie patrí zostatok prostriedkov z predchádzajúcich rokov. Na rok 2016 je rozpočtovaný vo výške 24,2 mil. eur, a okrem predpokladaného prevodu príspevku zo zdravotných poisťovní vo výške 17,0 mil. eur, pozostáva aj z objemu nevyčerpaných prostriedkov z predchádzajúcich rokov vo výške 7,2 mil. eur. Zostatok prostriedkov z predchádzajúcich rokov zohľadňuje očakávanú skutočnosť hospodárenia úradu na rok 2015.</w:t>
      </w:r>
    </w:p>
    <w:p w:rsidR="006C0389" w:rsidRPr="004C1F5A" w:rsidP="006C0389">
      <w:pPr>
        <w:bidi w:val="0"/>
        <w:ind w:firstLine="708"/>
        <w:jc w:val="both"/>
        <w:rPr>
          <w:rFonts w:ascii="Times New Roman" w:hAnsi="Times New Roman"/>
          <w:sz w:val="16"/>
          <w:szCs w:val="16"/>
          <w:highlight w:val="yellow"/>
        </w:rPr>
      </w:pPr>
    </w:p>
    <w:p w:rsidR="006C0389" w:rsidRPr="004C1F5A" w:rsidP="006C0389">
      <w:pPr>
        <w:bidi w:val="0"/>
        <w:ind w:firstLine="708"/>
        <w:jc w:val="both"/>
        <w:rPr>
          <w:rFonts w:ascii="Times New Roman" w:hAnsi="Times New Roman"/>
        </w:rPr>
      </w:pPr>
      <w:r w:rsidRPr="004C1F5A">
        <w:rPr>
          <w:rFonts w:ascii="Times New Roman" w:hAnsi="Times New Roman"/>
        </w:rPr>
        <w:t xml:space="preserve">Nedaňové príjmy súvisiace s činnosťou úradu sú rozpočtované na rok 2016 vo výške 815 tis. eur. V uvedenej sume sa predpokladajú príjmy z činnosti súdnolekárskych a patologickoanatomických pracovísk, z úhrad za vydané rozhodnutia v správnom konaní, ako aj príjmy z úrokov na účtoch. Zostávajú na rovnakej úrovni oproti roku 2015.  </w:t>
      </w:r>
    </w:p>
    <w:p w:rsidR="006C0389" w:rsidRPr="004C1F5A" w:rsidP="006C0389">
      <w:pPr>
        <w:bidi w:val="0"/>
        <w:ind w:firstLine="708"/>
        <w:jc w:val="both"/>
        <w:rPr>
          <w:rFonts w:ascii="Times New Roman" w:hAnsi="Times New Roman"/>
          <w:sz w:val="16"/>
          <w:szCs w:val="16"/>
          <w:highlight w:val="yellow"/>
        </w:rPr>
      </w:pPr>
    </w:p>
    <w:p w:rsidR="006C0389" w:rsidRPr="004C1F5A" w:rsidP="006C0389">
      <w:pPr>
        <w:bidi w:val="0"/>
        <w:ind w:firstLine="708"/>
        <w:jc w:val="both"/>
        <w:rPr>
          <w:rFonts w:ascii="Times New Roman" w:hAnsi="Times New Roman"/>
        </w:rPr>
      </w:pPr>
      <w:r w:rsidRPr="004C1F5A">
        <w:rPr>
          <w:rFonts w:ascii="Times New Roman" w:hAnsi="Times New Roman"/>
        </w:rPr>
        <w:t xml:space="preserve">Celkové výdavky úradu na rok 2016 sa predpokladajú vo výške 18,7 mil. eur s medziročným nárastom o 1,0 mil. eur, t. j. nárast o 5,70 % oproti schválenému rozpočtu na rok 2015, pričom sa predpokladá aj použitie nevyčerpaných prostriedkov z predchádzajúcich rokov. </w:t>
      </w:r>
    </w:p>
    <w:p w:rsidR="006C0389" w:rsidRPr="004C1F5A" w:rsidP="006C0389">
      <w:pPr>
        <w:bidi w:val="0"/>
        <w:ind w:firstLine="708"/>
        <w:jc w:val="both"/>
        <w:rPr>
          <w:rFonts w:ascii="Times New Roman" w:hAnsi="Times New Roman"/>
          <w:sz w:val="16"/>
          <w:szCs w:val="16"/>
        </w:rPr>
      </w:pPr>
    </w:p>
    <w:p w:rsidR="006C0389" w:rsidRPr="004C1F5A" w:rsidP="006C0389">
      <w:pPr>
        <w:bidi w:val="0"/>
        <w:ind w:firstLine="708"/>
        <w:jc w:val="both"/>
        <w:rPr>
          <w:rFonts w:ascii="Times New Roman" w:hAnsi="Times New Roman"/>
        </w:rPr>
      </w:pPr>
      <w:r w:rsidRPr="004C1F5A">
        <w:rPr>
          <w:rFonts w:ascii="Times New Roman" w:hAnsi="Times New Roman"/>
        </w:rPr>
        <w:t xml:space="preserve">V rámci bežných výdavkov je vyčlenená na rok 2016 suma 9,8 mil. eur na osobné výdavky, ktoré zostávajú na úrovni schváleného rozpočtu na rok 2015. Tovary a služby na rok 2016 sa rozpočtujú v sume 7,4 mil. eur, čo predstavuje nárast o 979 tis. eur, t. j. o 15,17 % oproti schválenému rozpočtu na rok 2015. Kapitálové výdavky na rok 2016 v sume </w:t>
        <w:br/>
        <w:t>1,31 mil. eur medziročne rastú o 28,0 tis. eur, t. j. o 2,16 %. Zdroje sú vyčlenené prioritne na dobudovanie a rozširovanie informačného systému a vybavenie pracovísk a ich laboratórií potrebnou prístrojovou technikou.</w:t>
      </w:r>
    </w:p>
    <w:p w:rsidR="006C0389" w:rsidRPr="004C1F5A" w:rsidP="006C0389">
      <w:pPr>
        <w:bidi w:val="0"/>
        <w:ind w:firstLine="708"/>
        <w:jc w:val="both"/>
        <w:rPr>
          <w:rFonts w:ascii="Times New Roman" w:hAnsi="Times New Roman"/>
          <w:sz w:val="16"/>
          <w:szCs w:val="16"/>
          <w:highlight w:val="yellow"/>
        </w:rPr>
      </w:pPr>
    </w:p>
    <w:p w:rsidR="006C0389" w:rsidRPr="004C1F5A" w:rsidP="006C0389">
      <w:pPr>
        <w:bidi w:val="0"/>
        <w:ind w:firstLine="708"/>
        <w:jc w:val="both"/>
        <w:rPr>
          <w:rFonts w:ascii="Times New Roman" w:hAnsi="Times New Roman"/>
        </w:rPr>
      </w:pPr>
      <w:r w:rsidRPr="004C1F5A">
        <w:rPr>
          <w:rFonts w:ascii="Times New Roman" w:hAnsi="Times New Roman"/>
        </w:rPr>
        <w:t xml:space="preserve">Na rok 2017 sa celkové výdavky predpokladajú v objeme 18,0 mil. eur s medziročným poklesom o 659 tis. eur, t. j. o 3,53 %. V roku 2018 sa celkové výdavky predpokladajú v objeme 18,4 mil. eur s medziročným rastom o 395 tis. eur, t. j. o 2,19 %. </w:t>
      </w:r>
    </w:p>
    <w:p w:rsidR="006C0389" w:rsidRPr="004C1F5A" w:rsidP="006C0389">
      <w:pPr>
        <w:bidi w:val="0"/>
        <w:ind w:firstLine="708"/>
        <w:jc w:val="both"/>
        <w:rPr>
          <w:rFonts w:ascii="Times New Roman" w:hAnsi="Times New Roman"/>
          <w:strike/>
          <w:sz w:val="16"/>
          <w:szCs w:val="16"/>
          <w:highlight w:val="yellow"/>
        </w:rPr>
      </w:pPr>
    </w:p>
    <w:p w:rsidR="006C0389" w:rsidRPr="004C1F5A" w:rsidP="006C0389">
      <w:pPr>
        <w:bidi w:val="0"/>
        <w:ind w:firstLine="708"/>
        <w:jc w:val="both"/>
        <w:rPr>
          <w:rFonts w:ascii="Times New Roman" w:hAnsi="Times New Roman"/>
        </w:rPr>
      </w:pPr>
      <w:r w:rsidRPr="004C1F5A">
        <w:rPr>
          <w:rFonts w:ascii="Times New Roman" w:hAnsi="Times New Roman"/>
        </w:rPr>
        <w:t>Celkový hotovostný prebytok úradu sa v roku 2016  predpokladá v sume 24,5 mil. eur, v roku 2017 v sume 25,4 mil. eur a v roku 2018 v sume 26,3 mil. eur. V metodike ESA 2010 je rozpočtovaný prebytok hospodárenia úradu v roku 2016 vo výške 24</w:t>
      </w:r>
      <w:r w:rsidR="004E7670">
        <w:rPr>
          <w:rFonts w:ascii="Times New Roman" w:hAnsi="Times New Roman"/>
        </w:rPr>
        <w:t>6</w:t>
      </w:r>
      <w:r w:rsidRPr="004C1F5A">
        <w:rPr>
          <w:rFonts w:ascii="Times New Roman" w:hAnsi="Times New Roman"/>
        </w:rPr>
        <w:t> tis. eur, v roku 2017 sa predpokladá prebytok vo výške 909 tis. eur a v roku 2018 vo výške 909 tis. eur.</w:t>
      </w:r>
    </w:p>
    <w:p w:rsidR="006C0389" w:rsidP="006C0389">
      <w:pPr>
        <w:bidi w:val="0"/>
        <w:jc w:val="both"/>
        <w:rPr>
          <w:rFonts w:ascii="Times New Roman" w:hAnsi="Times New Roman"/>
        </w:rPr>
      </w:pPr>
    </w:p>
    <w:p w:rsidR="006C0389" w:rsidP="006C0389">
      <w:pPr>
        <w:bidi w:val="0"/>
        <w:jc w:val="both"/>
        <w:rPr>
          <w:rFonts w:ascii="Times New Roman" w:hAnsi="Times New Roman"/>
          <w:b/>
        </w:rPr>
      </w:pPr>
      <w:r w:rsidRPr="000E4AF3">
        <w:rPr>
          <w:rFonts w:ascii="Times New Roman" w:hAnsi="Times New Roman"/>
          <w:b/>
        </w:rPr>
        <w:t>9. Verejné vysoké školy</w:t>
      </w:r>
      <w:r>
        <w:rPr>
          <w:rFonts w:ascii="Times New Roman" w:hAnsi="Times New Roman"/>
          <w:b/>
        </w:rPr>
        <w:t xml:space="preserve"> </w:t>
      </w:r>
    </w:p>
    <w:p w:rsidR="006C0389" w:rsidRPr="004160BF" w:rsidP="006C0389">
      <w:pPr>
        <w:bidi w:val="0"/>
        <w:jc w:val="both"/>
        <w:rPr>
          <w:rFonts w:ascii="Times New Roman" w:hAnsi="Times New Roman"/>
          <w:b/>
          <w:sz w:val="16"/>
          <w:szCs w:val="16"/>
        </w:rPr>
      </w:pPr>
    </w:p>
    <w:p w:rsidR="006C0389" w:rsidRPr="000E4AF3" w:rsidP="006C0389">
      <w:pPr>
        <w:bidi w:val="0"/>
        <w:ind w:firstLine="708"/>
        <w:jc w:val="both"/>
        <w:rPr>
          <w:rFonts w:ascii="Times New Roman" w:hAnsi="Times New Roman"/>
        </w:rPr>
      </w:pPr>
      <w:r w:rsidRPr="000E4AF3">
        <w:rPr>
          <w:rFonts w:ascii="Times New Roman" w:hAnsi="Times New Roman"/>
        </w:rPr>
        <w:t xml:space="preserve">Z prostriedkov štátneho rozpočtu budú financované </w:t>
      </w:r>
      <w:r>
        <w:rPr>
          <w:rFonts w:ascii="Times New Roman" w:hAnsi="Times New Roman"/>
        </w:rPr>
        <w:t xml:space="preserve">akreditované </w:t>
      </w:r>
      <w:r w:rsidRPr="000E4AF3">
        <w:rPr>
          <w:rFonts w:ascii="Times New Roman" w:hAnsi="Times New Roman"/>
        </w:rPr>
        <w:t>študijné programy a prevádzka verejných vysokých škôl (ďalej len „VVŠ“), vysokoškolská veda a </w:t>
      </w:r>
      <w:r>
        <w:rPr>
          <w:rFonts w:ascii="Times New Roman" w:hAnsi="Times New Roman"/>
        </w:rPr>
        <w:t xml:space="preserve">technika, rozvoj vysokých škôl, </w:t>
      </w:r>
      <w:r w:rsidRPr="000E4AF3">
        <w:rPr>
          <w:rFonts w:ascii="Times New Roman" w:hAnsi="Times New Roman"/>
        </w:rPr>
        <w:t>sociálne a motivačné štipendiá, podpora stravovania, ubytovania, športových a kultúrnych aktivít študentov a pastoračných centier. V celkovom objeme finančných prostriedkov na roky 201</w:t>
      </w:r>
      <w:r>
        <w:rPr>
          <w:rFonts w:ascii="Times New Roman" w:hAnsi="Times New Roman"/>
        </w:rPr>
        <w:t>6</w:t>
      </w:r>
      <w:r w:rsidRPr="000E4AF3">
        <w:rPr>
          <w:rFonts w:ascii="Times New Roman" w:hAnsi="Times New Roman"/>
        </w:rPr>
        <w:t xml:space="preserve"> až 201</w:t>
      </w:r>
      <w:r>
        <w:rPr>
          <w:rFonts w:ascii="Times New Roman" w:hAnsi="Times New Roman"/>
        </w:rPr>
        <w:t>8</w:t>
      </w:r>
      <w:r w:rsidRPr="000E4AF3">
        <w:rPr>
          <w:rFonts w:ascii="Times New Roman" w:hAnsi="Times New Roman"/>
        </w:rPr>
        <w:t xml:space="preserve"> sú zohľadnené výdavky, ktoré pozostávajú z vlastných zdrojov VVŠ a výdavkov štátneho rozpočtu.  </w:t>
      </w:r>
    </w:p>
    <w:p w:rsidR="006C0389" w:rsidRPr="004160BF" w:rsidP="006C0389">
      <w:pPr>
        <w:bidi w:val="0"/>
        <w:ind w:firstLine="708"/>
        <w:jc w:val="both"/>
        <w:rPr>
          <w:rFonts w:ascii="Times New Roman" w:hAnsi="Times New Roman"/>
          <w:sz w:val="16"/>
          <w:szCs w:val="16"/>
        </w:rPr>
      </w:pPr>
    </w:p>
    <w:p w:rsidR="006C0389" w:rsidP="006C0389">
      <w:pPr>
        <w:bidi w:val="0"/>
        <w:ind w:firstLine="708"/>
        <w:jc w:val="both"/>
        <w:rPr>
          <w:rFonts w:ascii="Times New Roman" w:hAnsi="Times New Roman"/>
        </w:rPr>
      </w:pPr>
      <w:r w:rsidRPr="000E4AF3">
        <w:rPr>
          <w:rFonts w:ascii="Times New Roman" w:hAnsi="Times New Roman"/>
        </w:rPr>
        <w:t>Vývoj príjmovej a výdavkovej časti rozpočtu verejn</w:t>
      </w:r>
      <w:r>
        <w:rPr>
          <w:rFonts w:ascii="Times New Roman" w:hAnsi="Times New Roman"/>
        </w:rPr>
        <w:t>ých</w:t>
      </w:r>
      <w:r w:rsidRPr="000E4AF3">
        <w:rPr>
          <w:rFonts w:ascii="Times New Roman" w:hAnsi="Times New Roman"/>
        </w:rPr>
        <w:t xml:space="preserve"> vysok</w:t>
      </w:r>
      <w:r>
        <w:rPr>
          <w:rFonts w:ascii="Times New Roman" w:hAnsi="Times New Roman"/>
        </w:rPr>
        <w:t>ých</w:t>
      </w:r>
      <w:r w:rsidRPr="000E4AF3">
        <w:rPr>
          <w:rFonts w:ascii="Times New Roman" w:hAnsi="Times New Roman"/>
        </w:rPr>
        <w:t xml:space="preserve"> šk</w:t>
      </w:r>
      <w:r>
        <w:rPr>
          <w:rFonts w:ascii="Times New Roman" w:hAnsi="Times New Roman"/>
        </w:rPr>
        <w:t>ô</w:t>
      </w:r>
      <w:r w:rsidRPr="000E4AF3">
        <w:rPr>
          <w:rFonts w:ascii="Times New Roman" w:hAnsi="Times New Roman"/>
        </w:rPr>
        <w:t>l na roky 201</w:t>
      </w:r>
      <w:r>
        <w:rPr>
          <w:rFonts w:ascii="Times New Roman" w:hAnsi="Times New Roman"/>
        </w:rPr>
        <w:t>6</w:t>
      </w:r>
      <w:r w:rsidRPr="000E4AF3">
        <w:rPr>
          <w:rFonts w:ascii="Times New Roman" w:hAnsi="Times New Roman"/>
        </w:rPr>
        <w:t xml:space="preserve"> až 201</w:t>
      </w:r>
      <w:r>
        <w:rPr>
          <w:rFonts w:ascii="Times New Roman" w:hAnsi="Times New Roman"/>
        </w:rPr>
        <w:t>8</w:t>
      </w:r>
      <w:r w:rsidRPr="000E4AF3">
        <w:rPr>
          <w:rFonts w:ascii="Times New Roman" w:hAnsi="Times New Roman"/>
        </w:rPr>
        <w:t xml:space="preserve"> je nasledovný:</w:t>
      </w:r>
    </w:p>
    <w:p w:rsidR="006C0389" w:rsidRPr="006573DA" w:rsidP="006C0389">
      <w:pPr>
        <w:bidi w:val="0"/>
        <w:ind w:firstLine="708"/>
        <w:jc w:val="both"/>
        <w:rPr>
          <w:rFonts w:ascii="Times New Roman" w:hAnsi="Times New Roman"/>
          <w:sz w:val="16"/>
          <w:szCs w:val="16"/>
        </w:rPr>
      </w:pPr>
    </w:p>
    <w:tbl>
      <w:tblPr>
        <w:tblStyle w:val="TableNormal"/>
        <w:tblW w:w="5000" w:type="pct"/>
        <w:tblCellMar>
          <w:left w:w="70" w:type="dxa"/>
          <w:right w:w="70" w:type="dxa"/>
        </w:tblCellMar>
        <w:tblLook w:val="04A0"/>
      </w:tblPr>
      <w:tblGrid>
        <w:gridCol w:w="3750"/>
        <w:gridCol w:w="820"/>
        <w:gridCol w:w="820"/>
        <w:gridCol w:w="750"/>
        <w:gridCol w:w="820"/>
        <w:gridCol w:w="750"/>
        <w:gridCol w:w="750"/>
        <w:gridCol w:w="750"/>
      </w:tblGrid>
      <w:tr>
        <w:tblPrEx>
          <w:tblW w:w="5000" w:type="pct"/>
          <w:tblCellMar>
            <w:left w:w="70" w:type="dxa"/>
            <w:right w:w="70" w:type="dxa"/>
          </w:tblCellMar>
          <w:tblLook w:val="04A0"/>
        </w:tblPrEx>
        <w:trPr>
          <w:trHeight w:hRule="exact" w:val="255"/>
        </w:trPr>
        <w:tc>
          <w:tcPr>
            <w:tcW w:w="2035"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6C0389" w:rsidRPr="006F14D0" w:rsidP="000008FE">
            <w:pPr>
              <w:bidi w:val="0"/>
              <w:rPr>
                <w:rFonts w:ascii="Times New Roman" w:hAnsi="Times New Roman"/>
                <w:b/>
                <w:bCs/>
                <w:color w:val="000000"/>
                <w:sz w:val="16"/>
                <w:szCs w:val="16"/>
              </w:rPr>
            </w:pPr>
            <w:r w:rsidRPr="006F14D0">
              <w:rPr>
                <w:rFonts w:ascii="Times New Roman" w:hAnsi="Times New Roman"/>
                <w:b/>
                <w:bCs/>
                <w:color w:val="000000"/>
                <w:sz w:val="16"/>
                <w:szCs w:val="16"/>
              </w:rPr>
              <w:t>v tis. eur</w:t>
            </w:r>
          </w:p>
        </w:tc>
        <w:tc>
          <w:tcPr>
            <w:tcW w:w="445"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6C0389" w:rsidRPr="006F14D0" w:rsidP="000008FE">
            <w:pPr>
              <w:bidi w:val="0"/>
              <w:jc w:val="center"/>
              <w:rPr>
                <w:rFonts w:ascii="Times New Roman" w:hAnsi="Times New Roman"/>
                <w:b/>
                <w:bCs/>
                <w:color w:val="000000"/>
                <w:sz w:val="16"/>
                <w:szCs w:val="16"/>
              </w:rPr>
            </w:pPr>
            <w:r w:rsidRPr="006F14D0">
              <w:rPr>
                <w:rFonts w:ascii="Times New Roman" w:hAnsi="Times New Roman"/>
                <w:b/>
                <w:bCs/>
                <w:color w:val="000000"/>
                <w:sz w:val="16"/>
                <w:szCs w:val="16"/>
              </w:rPr>
              <w:t>2013 S</w:t>
            </w:r>
          </w:p>
        </w:tc>
        <w:tc>
          <w:tcPr>
            <w:tcW w:w="445"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6C0389" w:rsidRPr="006F14D0" w:rsidP="000008FE">
            <w:pPr>
              <w:bidi w:val="0"/>
              <w:jc w:val="center"/>
              <w:rPr>
                <w:rFonts w:ascii="Times New Roman" w:hAnsi="Times New Roman"/>
                <w:b/>
                <w:bCs/>
                <w:color w:val="000000"/>
                <w:sz w:val="16"/>
                <w:szCs w:val="16"/>
              </w:rPr>
            </w:pPr>
            <w:r w:rsidRPr="006F14D0">
              <w:rPr>
                <w:rFonts w:ascii="Times New Roman" w:hAnsi="Times New Roman"/>
                <w:b/>
                <w:bCs/>
                <w:color w:val="000000"/>
                <w:sz w:val="16"/>
                <w:szCs w:val="16"/>
              </w:rPr>
              <w:t>2014 S</w:t>
            </w:r>
          </w:p>
        </w:tc>
        <w:tc>
          <w:tcPr>
            <w:tcW w:w="407"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6C0389" w:rsidRPr="006F14D0" w:rsidP="000008FE">
            <w:pPr>
              <w:bidi w:val="0"/>
              <w:jc w:val="center"/>
              <w:rPr>
                <w:rFonts w:ascii="Times New Roman" w:hAnsi="Times New Roman"/>
                <w:b/>
                <w:bCs/>
                <w:color w:val="000000"/>
                <w:sz w:val="16"/>
                <w:szCs w:val="16"/>
              </w:rPr>
            </w:pPr>
            <w:r w:rsidRPr="006F14D0">
              <w:rPr>
                <w:rFonts w:ascii="Times New Roman" w:hAnsi="Times New Roman"/>
                <w:b/>
                <w:bCs/>
                <w:color w:val="000000"/>
                <w:sz w:val="16"/>
                <w:szCs w:val="16"/>
              </w:rPr>
              <w:t>2015 R</w:t>
            </w:r>
          </w:p>
        </w:tc>
        <w:tc>
          <w:tcPr>
            <w:tcW w:w="445"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6C0389" w:rsidRPr="006F14D0" w:rsidP="000008FE">
            <w:pPr>
              <w:bidi w:val="0"/>
              <w:jc w:val="center"/>
              <w:rPr>
                <w:rFonts w:ascii="Times New Roman" w:hAnsi="Times New Roman"/>
                <w:b/>
                <w:bCs/>
                <w:color w:val="000000"/>
                <w:sz w:val="16"/>
                <w:szCs w:val="16"/>
              </w:rPr>
            </w:pPr>
            <w:r w:rsidRPr="006F14D0">
              <w:rPr>
                <w:rFonts w:ascii="Times New Roman" w:hAnsi="Times New Roman"/>
                <w:b/>
                <w:bCs/>
                <w:color w:val="000000"/>
                <w:sz w:val="16"/>
                <w:szCs w:val="16"/>
              </w:rPr>
              <w:t>2015 OS</w:t>
            </w:r>
          </w:p>
        </w:tc>
        <w:tc>
          <w:tcPr>
            <w:tcW w:w="407"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6C0389" w:rsidRPr="006F14D0" w:rsidP="000008FE">
            <w:pPr>
              <w:bidi w:val="0"/>
              <w:jc w:val="center"/>
              <w:rPr>
                <w:rFonts w:ascii="Times New Roman" w:hAnsi="Times New Roman"/>
                <w:b/>
                <w:bCs/>
                <w:color w:val="000000"/>
                <w:sz w:val="16"/>
                <w:szCs w:val="16"/>
              </w:rPr>
            </w:pPr>
            <w:r w:rsidRPr="006F14D0">
              <w:rPr>
                <w:rFonts w:ascii="Times New Roman" w:hAnsi="Times New Roman"/>
                <w:b/>
                <w:bCs/>
                <w:color w:val="000000"/>
                <w:sz w:val="16"/>
                <w:szCs w:val="16"/>
              </w:rPr>
              <w:t>2016 N</w:t>
            </w:r>
          </w:p>
        </w:tc>
        <w:tc>
          <w:tcPr>
            <w:tcW w:w="407"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6C0389" w:rsidRPr="006F14D0" w:rsidP="000008FE">
            <w:pPr>
              <w:bidi w:val="0"/>
              <w:jc w:val="center"/>
              <w:rPr>
                <w:rFonts w:ascii="Times New Roman" w:hAnsi="Times New Roman"/>
                <w:b/>
                <w:bCs/>
                <w:color w:val="000000"/>
                <w:sz w:val="16"/>
                <w:szCs w:val="16"/>
              </w:rPr>
            </w:pPr>
            <w:r w:rsidRPr="006F14D0">
              <w:rPr>
                <w:rFonts w:ascii="Times New Roman" w:hAnsi="Times New Roman"/>
                <w:b/>
                <w:bCs/>
                <w:color w:val="000000"/>
                <w:sz w:val="16"/>
                <w:szCs w:val="16"/>
              </w:rPr>
              <w:t>2017 N</w:t>
            </w:r>
          </w:p>
        </w:tc>
        <w:tc>
          <w:tcPr>
            <w:tcW w:w="407" w:type="pct"/>
            <w:tcBorders>
              <w:top w:val="single" w:sz="4" w:space="0" w:color="auto"/>
              <w:left w:val="nil"/>
              <w:bottom w:val="single" w:sz="4" w:space="0" w:color="auto"/>
              <w:right w:val="single" w:sz="4" w:space="0" w:color="auto"/>
            </w:tcBorders>
            <w:shd w:val="pct35" w:color="000000" w:fill="auto"/>
            <w:noWrap/>
            <w:textDirection w:val="lrTb"/>
            <w:vAlign w:val="center"/>
            <w:hideMark/>
          </w:tcPr>
          <w:p w:rsidR="006C0389" w:rsidRPr="006F14D0" w:rsidP="000008FE">
            <w:pPr>
              <w:bidi w:val="0"/>
              <w:jc w:val="center"/>
              <w:rPr>
                <w:rFonts w:ascii="Times New Roman" w:hAnsi="Times New Roman"/>
                <w:b/>
                <w:bCs/>
                <w:color w:val="000000"/>
                <w:sz w:val="16"/>
                <w:szCs w:val="16"/>
              </w:rPr>
            </w:pPr>
            <w:r w:rsidRPr="006F14D0">
              <w:rPr>
                <w:rFonts w:ascii="Times New Roman" w:hAnsi="Times New Roman"/>
                <w:b/>
                <w:bCs/>
                <w:color w:val="000000"/>
                <w:sz w:val="16"/>
                <w:szCs w:val="16"/>
              </w:rPr>
              <w:t>2018 N</w:t>
            </w:r>
          </w:p>
        </w:tc>
      </w:tr>
      <w:tr>
        <w:tblPrEx>
          <w:tblW w:w="5000" w:type="pct"/>
          <w:tblCellMar>
            <w:left w:w="70" w:type="dxa"/>
            <w:right w:w="70" w:type="dxa"/>
          </w:tblCellMar>
          <w:tblLook w:val="04A0"/>
        </w:tblPrEx>
        <w:trPr>
          <w:trHeight w:hRule="exact" w:val="255"/>
        </w:trPr>
        <w:tc>
          <w:tcPr>
            <w:tcW w:w="2035"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6C0389" w:rsidRPr="006F14D0" w:rsidP="000008FE">
            <w:pPr>
              <w:bidi w:val="0"/>
              <w:rPr>
                <w:rFonts w:ascii="Times New Roman" w:hAnsi="Times New Roman"/>
                <w:b/>
                <w:bCs/>
                <w:color w:val="000000"/>
                <w:sz w:val="16"/>
                <w:szCs w:val="16"/>
              </w:rPr>
            </w:pPr>
            <w:r w:rsidRPr="006F14D0">
              <w:rPr>
                <w:rFonts w:ascii="Times New Roman" w:hAnsi="Times New Roman"/>
                <w:b/>
                <w:bCs/>
                <w:color w:val="000000"/>
                <w:sz w:val="16"/>
                <w:szCs w:val="16"/>
              </w:rPr>
              <w:t>Príjmy VVŠ spolu</w:t>
            </w:r>
          </w:p>
        </w:tc>
        <w:tc>
          <w:tcPr>
            <w:tcW w:w="445"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1 007 948 </w:t>
            </w:r>
          </w:p>
        </w:tc>
        <w:tc>
          <w:tcPr>
            <w:tcW w:w="445"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1 031 143 </w:t>
            </w:r>
          </w:p>
        </w:tc>
        <w:tc>
          <w:tcPr>
            <w:tcW w:w="407"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943 140 </w:t>
            </w:r>
          </w:p>
        </w:tc>
        <w:tc>
          <w:tcPr>
            <w:tcW w:w="445"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1 062 062 </w:t>
            </w:r>
          </w:p>
        </w:tc>
        <w:tc>
          <w:tcPr>
            <w:tcW w:w="407"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898 430 </w:t>
            </w:r>
          </w:p>
        </w:tc>
        <w:tc>
          <w:tcPr>
            <w:tcW w:w="407"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910 254 </w:t>
            </w:r>
          </w:p>
        </w:tc>
        <w:tc>
          <w:tcPr>
            <w:tcW w:w="407"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906 430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b/>
                <w:bCs/>
                <w:color w:val="000000"/>
                <w:sz w:val="16"/>
                <w:szCs w:val="16"/>
              </w:rPr>
            </w:pPr>
            <w:r w:rsidRPr="006F14D0">
              <w:rPr>
                <w:rFonts w:ascii="Times New Roman" w:hAnsi="Times New Roman"/>
                <w:b/>
                <w:bCs/>
                <w:color w:val="000000"/>
                <w:sz w:val="16"/>
                <w:szCs w:val="16"/>
              </w:rPr>
              <w:t>z toho:</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nedaňové príjmy</w:t>
            </w:r>
            <w:r>
              <w:rPr>
                <w:rFonts w:ascii="Times New Roman" w:hAnsi="Times New Roman"/>
                <w:color w:val="000000"/>
                <w:sz w:val="16"/>
                <w:szCs w:val="16"/>
              </w:rPr>
              <w:t>, z toho:</w:t>
            </w:r>
            <w:r w:rsidRPr="006F14D0">
              <w:rPr>
                <w:rFonts w:ascii="Times New Roman" w:hAnsi="Times New Roman"/>
                <w:color w:val="000000"/>
                <w:sz w:val="16"/>
                <w:szCs w:val="16"/>
              </w:rPr>
              <w:t xml:space="preserve"> </w:t>
            </w:r>
            <w:r>
              <w:rPr>
                <w:rFonts w:ascii="Times New Roman" w:hAnsi="Times New Roman"/>
                <w:color w:val="000000"/>
                <w:sz w:val="16"/>
                <w:szCs w:val="16"/>
              </w:rPr>
              <w:t xml:space="preserve">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187 103 </w:t>
            </w:r>
          </w:p>
        </w:tc>
        <w:tc>
          <w:tcPr>
            <w:tcW w:w="445" w:type="pct"/>
            <w:tcBorders>
              <w:top w:val="single" w:sz="4" w:space="0" w:color="auto"/>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189 426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143 732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190 773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158 926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158 926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158 926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xml:space="preserve">   príjmy z podnikania a vlastníctva majetku</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7 509 </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8 741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1 193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8 272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920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920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920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xml:space="preserve">   admin. poplatky a iné poplatky a platby</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133 408 </w:t>
            </w:r>
          </w:p>
        </w:tc>
        <w:tc>
          <w:tcPr>
            <w:tcW w:w="44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131 359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110 552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133 052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110 699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110 699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110 699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xml:space="preserve">   kapitálové príjmy</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2 076 </w:t>
            </w:r>
          </w:p>
        </w:tc>
        <w:tc>
          <w:tcPr>
            <w:tcW w:w="44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2 780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3 259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2 001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3 300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3 300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3 300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xml:space="preserve">   úroky z tuzemských úverov, pôžičiek, NFV</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65 </w:t>
            </w:r>
          </w:p>
        </w:tc>
        <w:tc>
          <w:tcPr>
            <w:tcW w:w="44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19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62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18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7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7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7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xml:space="preserve">   iné nedaňové príjmy</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44 045 </w:t>
            </w:r>
          </w:p>
        </w:tc>
        <w:tc>
          <w:tcPr>
            <w:tcW w:w="44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46 527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28 666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47 430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44 000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44 000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44 000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granty a transfery</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603 713 </w:t>
            </w:r>
          </w:p>
        </w:tc>
        <w:tc>
          <w:tcPr>
            <w:tcW w:w="44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602 228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536 818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632 800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475 375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487 315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483 607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príjmy z transakcií s fin. akt. a pas., v tom: (FO)</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217 015 </w:t>
            </w:r>
          </w:p>
        </w:tc>
        <w:tc>
          <w:tcPr>
            <w:tcW w:w="44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239 472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262 590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236 969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264 129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264 013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263 897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xml:space="preserve">        zostatok  prostriedkov z predchádzajúcich rokov</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217 015 </w:t>
            </w:r>
          </w:p>
        </w:tc>
        <w:tc>
          <w:tcPr>
            <w:tcW w:w="44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239 472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262 590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236 969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264 129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264 013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263 897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prijaté úvery, pôžičky a NFV</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117 </w:t>
            </w:r>
          </w:p>
        </w:tc>
        <w:tc>
          <w:tcPr>
            <w:tcW w:w="44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17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0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1 520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0 </w:t>
            </w:r>
          </w:p>
        </w:tc>
      </w:tr>
      <w:tr>
        <w:tblPrEx>
          <w:tblW w:w="5000" w:type="pct"/>
          <w:tblCellMar>
            <w:left w:w="70" w:type="dxa"/>
            <w:right w:w="70" w:type="dxa"/>
          </w:tblCellMar>
          <w:tblLook w:val="04A0"/>
        </w:tblPrEx>
        <w:trPr>
          <w:trHeight w:hRule="exact" w:val="255"/>
        </w:trPr>
        <w:tc>
          <w:tcPr>
            <w:tcW w:w="2035"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6C0389" w:rsidRPr="006F14D0" w:rsidP="000008FE">
            <w:pPr>
              <w:bidi w:val="0"/>
              <w:rPr>
                <w:rFonts w:ascii="Times New Roman" w:hAnsi="Times New Roman"/>
                <w:b/>
                <w:bCs/>
                <w:color w:val="000000"/>
                <w:sz w:val="16"/>
                <w:szCs w:val="16"/>
              </w:rPr>
            </w:pPr>
            <w:r w:rsidRPr="006F14D0">
              <w:rPr>
                <w:rFonts w:ascii="Times New Roman" w:hAnsi="Times New Roman"/>
                <w:b/>
                <w:bCs/>
                <w:color w:val="000000"/>
                <w:sz w:val="16"/>
                <w:szCs w:val="16"/>
              </w:rPr>
              <w:t>Výdavky VVŠ spolu</w:t>
            </w:r>
          </w:p>
        </w:tc>
        <w:tc>
          <w:tcPr>
            <w:tcW w:w="445"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769 426 </w:t>
            </w:r>
          </w:p>
        </w:tc>
        <w:tc>
          <w:tcPr>
            <w:tcW w:w="445"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795 686 </w:t>
            </w:r>
          </w:p>
        </w:tc>
        <w:tc>
          <w:tcPr>
            <w:tcW w:w="407"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680 477 </w:t>
            </w:r>
          </w:p>
        </w:tc>
        <w:tc>
          <w:tcPr>
            <w:tcW w:w="445"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797 933 </w:t>
            </w:r>
          </w:p>
        </w:tc>
        <w:tc>
          <w:tcPr>
            <w:tcW w:w="407"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634 417 </w:t>
            </w:r>
          </w:p>
        </w:tc>
        <w:tc>
          <w:tcPr>
            <w:tcW w:w="407"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646 357 </w:t>
            </w:r>
          </w:p>
        </w:tc>
        <w:tc>
          <w:tcPr>
            <w:tcW w:w="407"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642 649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b/>
                <w:bCs/>
                <w:color w:val="000000"/>
                <w:sz w:val="16"/>
                <w:szCs w:val="16"/>
              </w:rPr>
            </w:pPr>
            <w:r w:rsidRPr="006F14D0">
              <w:rPr>
                <w:rFonts w:ascii="Times New Roman" w:hAnsi="Times New Roman"/>
                <w:b/>
                <w:bCs/>
                <w:color w:val="000000"/>
                <w:sz w:val="16"/>
                <w:szCs w:val="16"/>
              </w:rPr>
              <w:t>z toho:</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bežné výdavky</w:t>
            </w:r>
            <w:r>
              <w:rPr>
                <w:rFonts w:ascii="Times New Roman" w:hAnsi="Times New Roman"/>
                <w:color w:val="000000"/>
                <w:sz w:val="16"/>
                <w:szCs w:val="16"/>
              </w:rPr>
              <w:t>, z toho:</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654 801 </w:t>
            </w:r>
          </w:p>
        </w:tc>
        <w:tc>
          <w:tcPr>
            <w:tcW w:w="44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680 075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630 589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679 334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610 480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624 912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621 202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xml:space="preserve">      mzdy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256 921 </w:t>
            </w:r>
          </w:p>
        </w:tc>
        <w:tc>
          <w:tcPr>
            <w:tcW w:w="44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273 410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260 907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274 656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260 011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266 369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263 719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xml:space="preserve">      poistné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92 330 </w:t>
            </w:r>
          </w:p>
        </w:tc>
        <w:tc>
          <w:tcPr>
            <w:tcW w:w="44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98 409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90 045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97 675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90 211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92 552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91 572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xml:space="preserve">      tovary a služby</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229 294 </w:t>
            </w:r>
          </w:p>
        </w:tc>
        <w:tc>
          <w:tcPr>
            <w:tcW w:w="44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231 663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202 733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232 631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188 932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193 860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194 662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xml:space="preserve">      bežné transfery</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76 252 </w:t>
            </w:r>
          </w:p>
        </w:tc>
        <w:tc>
          <w:tcPr>
            <w:tcW w:w="44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76 593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76 904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74 370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71 309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72 117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71 237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xml:space="preserve">      splácanie úrokov a ostatné platby</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3 </w:t>
            </w:r>
          </w:p>
        </w:tc>
        <w:tc>
          <w:tcPr>
            <w:tcW w:w="44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0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0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3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17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15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12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kapitálové výdavky</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114 344 </w:t>
            </w:r>
          </w:p>
        </w:tc>
        <w:tc>
          <w:tcPr>
            <w:tcW w:w="44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115 584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49 861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118 564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23 720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21 228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21 230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výdavky z transakcií s fin. akt. a  pas. (FO)</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282 </w:t>
            </w:r>
          </w:p>
        </w:tc>
        <w:tc>
          <w:tcPr>
            <w:tcW w:w="44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27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27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35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217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217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217 </w:t>
            </w:r>
          </w:p>
        </w:tc>
      </w:tr>
      <w:tr>
        <w:tblPrEx>
          <w:tblW w:w="5000" w:type="pct"/>
          <w:tblCellMar>
            <w:left w:w="70" w:type="dxa"/>
            <w:right w:w="70" w:type="dxa"/>
          </w:tblCellMar>
          <w:tblLook w:val="04A0"/>
        </w:tblPrEx>
        <w:trPr>
          <w:trHeight w:hRule="exact" w:val="255"/>
        </w:trPr>
        <w:tc>
          <w:tcPr>
            <w:tcW w:w="2035"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6C0389" w:rsidRPr="006F14D0" w:rsidP="000008FE">
            <w:pPr>
              <w:bidi w:val="0"/>
              <w:rPr>
                <w:rFonts w:ascii="Times New Roman" w:hAnsi="Times New Roman"/>
                <w:b/>
                <w:bCs/>
                <w:color w:val="000000"/>
                <w:sz w:val="16"/>
                <w:szCs w:val="16"/>
              </w:rPr>
            </w:pPr>
            <w:r w:rsidRPr="006F14D0">
              <w:rPr>
                <w:rFonts w:ascii="Times New Roman" w:hAnsi="Times New Roman"/>
                <w:b/>
                <w:bCs/>
                <w:color w:val="000000"/>
                <w:sz w:val="16"/>
                <w:szCs w:val="16"/>
              </w:rPr>
              <w:t>Celková bilancia VVŠ</w:t>
            </w:r>
          </w:p>
        </w:tc>
        <w:tc>
          <w:tcPr>
            <w:tcW w:w="445"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238 522 </w:t>
            </w:r>
          </w:p>
        </w:tc>
        <w:tc>
          <w:tcPr>
            <w:tcW w:w="445"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235 457 </w:t>
            </w:r>
          </w:p>
        </w:tc>
        <w:tc>
          <w:tcPr>
            <w:tcW w:w="407"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262 662 </w:t>
            </w:r>
          </w:p>
        </w:tc>
        <w:tc>
          <w:tcPr>
            <w:tcW w:w="445"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264 129 </w:t>
            </w:r>
          </w:p>
        </w:tc>
        <w:tc>
          <w:tcPr>
            <w:tcW w:w="407"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264 013 </w:t>
            </w:r>
          </w:p>
        </w:tc>
        <w:tc>
          <w:tcPr>
            <w:tcW w:w="407"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263 897 </w:t>
            </w:r>
          </w:p>
        </w:tc>
        <w:tc>
          <w:tcPr>
            <w:tcW w:w="407"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263 781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b/>
                <w:bCs/>
                <w:color w:val="000000"/>
                <w:sz w:val="16"/>
                <w:szCs w:val="16"/>
              </w:rPr>
            </w:pPr>
            <w:r w:rsidRPr="006F14D0">
              <w:rPr>
                <w:rFonts w:ascii="Times New Roman" w:hAnsi="Times New Roman"/>
                <w:b/>
                <w:bCs/>
                <w:color w:val="000000"/>
                <w:sz w:val="16"/>
                <w:szCs w:val="16"/>
              </w:rPr>
              <w:t>vylúčenie finančných operácií</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-216 850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-239 462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-262 563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-238 454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-263 912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-263 796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-263 680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b/>
                <w:bCs/>
                <w:color w:val="000000"/>
                <w:sz w:val="16"/>
                <w:szCs w:val="16"/>
              </w:rPr>
            </w:pPr>
            <w:r w:rsidRPr="006F14D0">
              <w:rPr>
                <w:rFonts w:ascii="Times New Roman" w:hAnsi="Times New Roman"/>
                <w:b/>
                <w:bCs/>
                <w:color w:val="000000"/>
                <w:sz w:val="16"/>
                <w:szCs w:val="16"/>
              </w:rPr>
              <w:t>z toho:</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vylúčenie príjmových FO</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-217 015 </w:t>
            </w:r>
          </w:p>
        </w:tc>
        <w:tc>
          <w:tcPr>
            <w:tcW w:w="445" w:type="pct"/>
            <w:tcBorders>
              <w:top w:val="single" w:sz="4" w:space="0" w:color="auto"/>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-239 472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-262 590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-236 969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-264 129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-264 013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-263 897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vylúčenie príjmových FO</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-117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-17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0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-1 520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0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color w:val="000000"/>
                <w:sz w:val="16"/>
                <w:szCs w:val="16"/>
              </w:rPr>
            </w:pPr>
            <w:r w:rsidRPr="006F14D0">
              <w:rPr>
                <w:rFonts w:ascii="Times New Roman" w:hAnsi="Times New Roman"/>
                <w:color w:val="000000"/>
                <w:sz w:val="16"/>
                <w:szCs w:val="16"/>
              </w:rPr>
              <w:t>▪ vylúčenie výdavkových FO</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282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27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27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35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217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217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color w:val="000000"/>
                <w:sz w:val="16"/>
                <w:szCs w:val="16"/>
              </w:rPr>
            </w:pPr>
            <w:r w:rsidRPr="006F14D0">
              <w:rPr>
                <w:rFonts w:ascii="Times New Roman" w:hAnsi="Times New Roman"/>
                <w:color w:val="000000"/>
                <w:sz w:val="16"/>
                <w:szCs w:val="16"/>
              </w:rPr>
              <w:t xml:space="preserve">217 </w:t>
            </w:r>
          </w:p>
        </w:tc>
      </w:tr>
      <w:tr>
        <w:tblPrEx>
          <w:tblW w:w="5000" w:type="pct"/>
          <w:tblCellMar>
            <w:left w:w="70" w:type="dxa"/>
            <w:right w:w="70" w:type="dxa"/>
          </w:tblCellMar>
          <w:tblLook w:val="04A0"/>
        </w:tblPrEx>
        <w:trPr>
          <w:trHeight w:hRule="exact" w:val="255"/>
        </w:trPr>
        <w:tc>
          <w:tcPr>
            <w:tcW w:w="2035"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rPr>
                <w:rFonts w:ascii="Times New Roman" w:hAnsi="Times New Roman"/>
                <w:b/>
                <w:bCs/>
                <w:color w:val="000000"/>
                <w:sz w:val="16"/>
                <w:szCs w:val="16"/>
              </w:rPr>
            </w:pPr>
            <w:r w:rsidRPr="006F14D0">
              <w:rPr>
                <w:rFonts w:ascii="Times New Roman" w:hAnsi="Times New Roman"/>
                <w:b/>
                <w:bCs/>
                <w:color w:val="000000"/>
                <w:sz w:val="16"/>
                <w:szCs w:val="16"/>
              </w:rPr>
              <w:t>ostatné úpravy</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26 266 </w:t>
            </w:r>
          </w:p>
        </w:tc>
        <w:tc>
          <w:tcPr>
            <w:tcW w:w="445"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-10 907 </w:t>
            </w:r>
          </w:p>
        </w:tc>
        <w:tc>
          <w:tcPr>
            <w:tcW w:w="407" w:type="pct"/>
            <w:tcBorders>
              <w:top w:val="nil"/>
              <w:left w:val="single" w:sz="4" w:space="0" w:color="auto"/>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0 </w:t>
            </w:r>
          </w:p>
        </w:tc>
        <w:tc>
          <w:tcPr>
            <w:tcW w:w="445"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2 700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0 </w:t>
            </w:r>
          </w:p>
        </w:tc>
        <w:tc>
          <w:tcPr>
            <w:tcW w:w="407" w:type="pct"/>
            <w:tcBorders>
              <w:top w:val="nil"/>
              <w:left w:val="nil"/>
              <w:bottom w:val="single" w:sz="4" w:space="0" w:color="auto"/>
              <w:right w:val="single" w:sz="4" w:space="0" w:color="auto"/>
            </w:tcBorders>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0 </w:t>
            </w:r>
          </w:p>
        </w:tc>
      </w:tr>
      <w:tr>
        <w:tblPrEx>
          <w:tblW w:w="5000" w:type="pct"/>
          <w:tblCellMar>
            <w:left w:w="70" w:type="dxa"/>
            <w:right w:w="70" w:type="dxa"/>
          </w:tblCellMar>
          <w:tblLook w:val="04A0"/>
        </w:tblPrEx>
        <w:trPr>
          <w:trHeight w:hRule="exact" w:val="255"/>
        </w:trPr>
        <w:tc>
          <w:tcPr>
            <w:tcW w:w="2035"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6C0389" w:rsidRPr="006F14D0" w:rsidP="000008FE">
            <w:pPr>
              <w:bidi w:val="0"/>
              <w:rPr>
                <w:rFonts w:ascii="Times New Roman" w:hAnsi="Times New Roman"/>
                <w:b/>
                <w:bCs/>
                <w:color w:val="000000"/>
                <w:sz w:val="16"/>
                <w:szCs w:val="16"/>
              </w:rPr>
            </w:pPr>
            <w:r>
              <w:rPr>
                <w:rFonts w:ascii="Times New Roman" w:hAnsi="Times New Roman"/>
                <w:b/>
                <w:bCs/>
                <w:color w:val="000000"/>
                <w:sz w:val="16"/>
                <w:szCs w:val="16"/>
              </w:rPr>
              <w:t>Prebytok</w:t>
            </w:r>
            <w:r w:rsidRPr="003679CA" w:rsidR="0090374E">
              <w:rPr>
                <w:rFonts w:ascii="Times New Roman" w:hAnsi="Times New Roman"/>
                <w:b/>
                <w:bCs/>
                <w:sz w:val="16"/>
                <w:szCs w:val="16"/>
              </w:rPr>
              <w:t xml:space="preserve">(+)/schodok(-) </w:t>
            </w:r>
            <w:r w:rsidRPr="003679CA">
              <w:rPr>
                <w:rFonts w:ascii="Times New Roman" w:hAnsi="Times New Roman"/>
                <w:b/>
                <w:bCs/>
                <w:sz w:val="16"/>
                <w:szCs w:val="16"/>
              </w:rPr>
              <w:t xml:space="preserve"> VVŠ</w:t>
            </w:r>
            <w:r>
              <w:rPr>
                <w:rFonts w:ascii="Times New Roman" w:hAnsi="Times New Roman"/>
                <w:b/>
                <w:bCs/>
                <w:color w:val="000000"/>
                <w:sz w:val="16"/>
                <w:szCs w:val="16"/>
              </w:rPr>
              <w:t xml:space="preserve"> (ESA 2010</w:t>
            </w:r>
            <w:r w:rsidRPr="006F14D0">
              <w:rPr>
                <w:rFonts w:ascii="Times New Roman" w:hAnsi="Times New Roman"/>
                <w:b/>
                <w:bCs/>
                <w:color w:val="000000"/>
                <w:sz w:val="16"/>
                <w:szCs w:val="16"/>
              </w:rPr>
              <w:t>)</w:t>
            </w:r>
          </w:p>
        </w:tc>
        <w:tc>
          <w:tcPr>
            <w:tcW w:w="445"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47 938 </w:t>
            </w:r>
          </w:p>
        </w:tc>
        <w:tc>
          <w:tcPr>
            <w:tcW w:w="445"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-14 913 </w:t>
            </w:r>
          </w:p>
        </w:tc>
        <w:tc>
          <w:tcPr>
            <w:tcW w:w="407"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100 </w:t>
            </w:r>
          </w:p>
        </w:tc>
        <w:tc>
          <w:tcPr>
            <w:tcW w:w="445"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28 375 </w:t>
            </w:r>
          </w:p>
        </w:tc>
        <w:tc>
          <w:tcPr>
            <w:tcW w:w="407"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101 </w:t>
            </w:r>
          </w:p>
        </w:tc>
        <w:tc>
          <w:tcPr>
            <w:tcW w:w="407"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101 </w:t>
            </w:r>
          </w:p>
        </w:tc>
        <w:tc>
          <w:tcPr>
            <w:tcW w:w="407" w:type="pct"/>
            <w:tcBorders>
              <w:top w:val="single" w:sz="4" w:space="0" w:color="auto"/>
              <w:left w:val="nil"/>
              <w:bottom w:val="single" w:sz="4" w:space="0" w:color="auto"/>
              <w:right w:val="single" w:sz="4" w:space="0" w:color="auto"/>
            </w:tcBorders>
            <w:shd w:val="pct25" w:color="000000" w:fill="auto"/>
            <w:noWrap/>
            <w:textDirection w:val="lrTb"/>
            <w:vAlign w:val="bottom"/>
            <w:hideMark/>
          </w:tcPr>
          <w:p w:rsidR="006C0389" w:rsidRPr="006F14D0" w:rsidP="000008FE">
            <w:pPr>
              <w:bidi w:val="0"/>
              <w:jc w:val="right"/>
              <w:rPr>
                <w:rFonts w:ascii="Times New Roman" w:hAnsi="Times New Roman"/>
                <w:b/>
                <w:bCs/>
                <w:color w:val="000000"/>
                <w:sz w:val="16"/>
                <w:szCs w:val="16"/>
              </w:rPr>
            </w:pPr>
            <w:r w:rsidRPr="006F14D0">
              <w:rPr>
                <w:rFonts w:ascii="Times New Roman" w:hAnsi="Times New Roman"/>
                <w:b/>
                <w:bCs/>
                <w:color w:val="000000"/>
                <w:sz w:val="16"/>
                <w:szCs w:val="16"/>
              </w:rPr>
              <w:t xml:space="preserve">101 </w:t>
            </w:r>
          </w:p>
        </w:tc>
      </w:tr>
    </w:tbl>
    <w:p w:rsidR="006C0389" w:rsidRPr="003679CA" w:rsidP="006C0389">
      <w:pPr>
        <w:bidi w:val="0"/>
        <w:jc w:val="both"/>
        <w:rPr>
          <w:rFonts w:ascii="Times New Roman" w:hAnsi="Times New Roman"/>
          <w:sz w:val="16"/>
          <w:szCs w:val="16"/>
        </w:rPr>
      </w:pPr>
      <w:r w:rsidRPr="003679CA" w:rsidR="0090374E">
        <w:rPr>
          <w:rFonts w:ascii="Times New Roman" w:hAnsi="Times New Roman"/>
          <w:sz w:val="16"/>
          <w:szCs w:val="16"/>
        </w:rPr>
        <w:t>V</w:t>
      </w:r>
      <w:r w:rsidRPr="003679CA">
        <w:rPr>
          <w:rFonts w:ascii="Times New Roman" w:hAnsi="Times New Roman"/>
          <w:sz w:val="16"/>
          <w:szCs w:val="16"/>
        </w:rPr>
        <w:t xml:space="preserve"> skutočnostiach rokov 2013</w:t>
      </w:r>
      <w:r w:rsidRPr="003679CA" w:rsidR="0090374E">
        <w:rPr>
          <w:rFonts w:ascii="Times New Roman" w:hAnsi="Times New Roman"/>
          <w:sz w:val="16"/>
          <w:szCs w:val="16"/>
        </w:rPr>
        <w:t>,</w:t>
      </w:r>
      <w:r w:rsidRPr="003679CA">
        <w:rPr>
          <w:rFonts w:ascii="Times New Roman" w:hAnsi="Times New Roman"/>
          <w:sz w:val="16"/>
          <w:szCs w:val="16"/>
        </w:rPr>
        <w:t xml:space="preserve"> 2014 a očakávanej skutočnosti roku 2015 sú zahrnuté </w:t>
      </w:r>
      <w:r w:rsidRPr="003679CA" w:rsidR="00984159">
        <w:rPr>
          <w:rFonts w:ascii="Times New Roman" w:hAnsi="Times New Roman"/>
          <w:sz w:val="16"/>
          <w:szCs w:val="16"/>
        </w:rPr>
        <w:t xml:space="preserve">aj príjmy a </w:t>
      </w:r>
      <w:r w:rsidRPr="003679CA">
        <w:rPr>
          <w:rFonts w:ascii="Times New Roman" w:hAnsi="Times New Roman"/>
          <w:sz w:val="16"/>
          <w:szCs w:val="16"/>
        </w:rPr>
        <w:t>výdavky  z podnikateľskej činnosti, ktoré sa nerozpočtujú</w:t>
      </w:r>
      <w:r w:rsidRPr="003679CA" w:rsidR="008642CF">
        <w:rPr>
          <w:rFonts w:ascii="Times New Roman" w:hAnsi="Times New Roman"/>
          <w:sz w:val="16"/>
          <w:szCs w:val="16"/>
        </w:rPr>
        <w:t>.</w:t>
      </w:r>
    </w:p>
    <w:p w:rsidR="006C0389" w:rsidRPr="006573DA" w:rsidP="006C0389">
      <w:pPr>
        <w:bidi w:val="0"/>
        <w:jc w:val="both"/>
        <w:rPr>
          <w:rFonts w:ascii="Times New Roman" w:hAnsi="Times New Roman"/>
          <w:b/>
          <w:highlight w:val="yellow"/>
          <w:u w:val="single"/>
        </w:rPr>
      </w:pPr>
    </w:p>
    <w:p w:rsidR="006C0389" w:rsidRPr="000E4AF3" w:rsidP="006C0389">
      <w:pPr>
        <w:bidi w:val="0"/>
        <w:ind w:firstLine="708"/>
        <w:jc w:val="both"/>
        <w:rPr>
          <w:rFonts w:ascii="Times New Roman" w:hAnsi="Times New Roman"/>
        </w:rPr>
      </w:pPr>
      <w:r w:rsidRPr="000E4AF3">
        <w:rPr>
          <w:rFonts w:ascii="Times New Roman" w:hAnsi="Times New Roman"/>
        </w:rPr>
        <w:t>Celkové príjmy VVŠ rozpočtované na rok 201</w:t>
      </w:r>
      <w:r>
        <w:rPr>
          <w:rFonts w:ascii="Times New Roman" w:hAnsi="Times New Roman"/>
        </w:rPr>
        <w:t>6</w:t>
      </w:r>
      <w:r w:rsidRPr="000E4AF3">
        <w:rPr>
          <w:rFonts w:ascii="Times New Roman" w:hAnsi="Times New Roman"/>
        </w:rPr>
        <w:t xml:space="preserve"> </w:t>
      </w:r>
      <w:r>
        <w:rPr>
          <w:rFonts w:ascii="Times New Roman" w:hAnsi="Times New Roman"/>
        </w:rPr>
        <w:t>klesajú</w:t>
      </w:r>
      <w:r w:rsidRPr="000E4AF3">
        <w:rPr>
          <w:rFonts w:ascii="Times New Roman" w:hAnsi="Times New Roman"/>
        </w:rPr>
        <w:t xml:space="preserve"> oproti schválenému rozpočtu roku 201</w:t>
      </w:r>
      <w:r>
        <w:rPr>
          <w:rFonts w:ascii="Times New Roman" w:hAnsi="Times New Roman"/>
        </w:rPr>
        <w:t>5</w:t>
      </w:r>
      <w:r w:rsidRPr="000E4AF3">
        <w:rPr>
          <w:rFonts w:ascii="Times New Roman" w:hAnsi="Times New Roman"/>
        </w:rPr>
        <w:t xml:space="preserve"> o</w:t>
      </w:r>
      <w:r>
        <w:rPr>
          <w:rFonts w:ascii="Times New Roman" w:hAnsi="Times New Roman"/>
        </w:rPr>
        <w:t> 44,7</w:t>
      </w:r>
      <w:r w:rsidRPr="000E4AF3">
        <w:rPr>
          <w:rFonts w:ascii="Times New Roman" w:hAnsi="Times New Roman"/>
        </w:rPr>
        <w:t xml:space="preserve"> mil. eur, čo predstavuje </w:t>
      </w:r>
      <w:r>
        <w:rPr>
          <w:rFonts w:ascii="Times New Roman" w:hAnsi="Times New Roman"/>
        </w:rPr>
        <w:t>4,74</w:t>
      </w:r>
      <w:r w:rsidRPr="000E4AF3">
        <w:rPr>
          <w:rFonts w:ascii="Times New Roman" w:hAnsi="Times New Roman"/>
        </w:rPr>
        <w:t xml:space="preserve"> %. Celkové transfery oproti schválenému rozpočtu roku 201</w:t>
      </w:r>
      <w:r>
        <w:rPr>
          <w:rFonts w:ascii="Times New Roman" w:hAnsi="Times New Roman"/>
        </w:rPr>
        <w:t>5</w:t>
      </w:r>
      <w:r w:rsidRPr="000E4AF3">
        <w:rPr>
          <w:rFonts w:ascii="Times New Roman" w:hAnsi="Times New Roman"/>
        </w:rPr>
        <w:t xml:space="preserve"> </w:t>
      </w:r>
      <w:r>
        <w:rPr>
          <w:rFonts w:ascii="Times New Roman" w:hAnsi="Times New Roman"/>
        </w:rPr>
        <w:t>klesajú</w:t>
      </w:r>
      <w:r w:rsidRPr="000E4AF3">
        <w:rPr>
          <w:rFonts w:ascii="Times New Roman" w:hAnsi="Times New Roman"/>
        </w:rPr>
        <w:t xml:space="preserve"> o</w:t>
      </w:r>
      <w:r>
        <w:rPr>
          <w:rFonts w:ascii="Times New Roman" w:hAnsi="Times New Roman"/>
        </w:rPr>
        <w:t> 61,4</w:t>
      </w:r>
      <w:r w:rsidRPr="000E4AF3">
        <w:rPr>
          <w:rFonts w:ascii="Times New Roman" w:hAnsi="Times New Roman"/>
        </w:rPr>
        <w:t xml:space="preserve"> mil. eur</w:t>
      </w:r>
      <w:r>
        <w:rPr>
          <w:rFonts w:ascii="Times New Roman" w:hAnsi="Times New Roman"/>
        </w:rPr>
        <w:t>.</w:t>
      </w:r>
      <w:r w:rsidRPr="000E4AF3">
        <w:rPr>
          <w:rFonts w:ascii="Times New Roman" w:hAnsi="Times New Roman"/>
        </w:rPr>
        <w:t xml:space="preserve"> </w:t>
      </w:r>
      <w:r>
        <w:rPr>
          <w:rFonts w:ascii="Times New Roman" w:hAnsi="Times New Roman"/>
        </w:rPr>
        <w:t xml:space="preserve">Na poklese </w:t>
      </w:r>
      <w:r w:rsidRPr="000E4AF3">
        <w:rPr>
          <w:rFonts w:ascii="Times New Roman" w:hAnsi="Times New Roman"/>
        </w:rPr>
        <w:t xml:space="preserve">zdrojov </w:t>
      </w:r>
      <w:r>
        <w:rPr>
          <w:rFonts w:ascii="Times New Roman" w:hAnsi="Times New Roman"/>
        </w:rPr>
        <w:t xml:space="preserve">sa podieľajú prostriedky </w:t>
      </w:r>
      <w:r w:rsidRPr="000E4AF3">
        <w:rPr>
          <w:rFonts w:ascii="Times New Roman" w:hAnsi="Times New Roman"/>
        </w:rPr>
        <w:t>zo štrukturálnych fondov a</w:t>
      </w:r>
      <w:r>
        <w:rPr>
          <w:rFonts w:ascii="Times New Roman" w:hAnsi="Times New Roman"/>
        </w:rPr>
        <w:t> </w:t>
      </w:r>
      <w:r w:rsidRPr="000E4AF3">
        <w:rPr>
          <w:rFonts w:ascii="Times New Roman" w:hAnsi="Times New Roman"/>
        </w:rPr>
        <w:t>spolufinancovania</w:t>
      </w:r>
      <w:r>
        <w:rPr>
          <w:rFonts w:ascii="Times New Roman" w:hAnsi="Times New Roman"/>
        </w:rPr>
        <w:t xml:space="preserve"> z končiaceho 2. programového obdobia, pričom transfery zo štátneho rozpočtu rastú. </w:t>
      </w:r>
    </w:p>
    <w:p w:rsidR="006C0389" w:rsidRPr="004160BF" w:rsidP="006C0389">
      <w:pPr>
        <w:bidi w:val="0"/>
        <w:ind w:firstLine="708"/>
        <w:jc w:val="both"/>
        <w:rPr>
          <w:rFonts w:ascii="Times New Roman" w:hAnsi="Times New Roman"/>
          <w:sz w:val="16"/>
          <w:szCs w:val="16"/>
        </w:rPr>
      </w:pPr>
    </w:p>
    <w:p w:rsidR="006C0389" w:rsidRPr="000E4AF3" w:rsidP="006C0389">
      <w:pPr>
        <w:bidi w:val="0"/>
        <w:ind w:firstLine="708"/>
        <w:jc w:val="both"/>
        <w:rPr>
          <w:rFonts w:ascii="Times New Roman" w:hAnsi="Times New Roman"/>
        </w:rPr>
      </w:pPr>
      <w:r w:rsidRPr="000E4AF3">
        <w:rPr>
          <w:rFonts w:ascii="Times New Roman" w:hAnsi="Times New Roman"/>
        </w:rPr>
        <w:t xml:space="preserve">Vlastné zdroje VVŠ pozostávajú najmä z výnosov zo školného </w:t>
      </w:r>
      <w:r>
        <w:rPr>
          <w:rFonts w:ascii="Times New Roman" w:hAnsi="Times New Roman"/>
        </w:rPr>
        <w:t xml:space="preserve">(najmä z výnosov </w:t>
      </w:r>
      <w:r w:rsidRPr="000E4AF3">
        <w:rPr>
          <w:rFonts w:ascii="Times New Roman" w:hAnsi="Times New Roman"/>
        </w:rPr>
        <w:t>od zahraničných študentov,</w:t>
      </w:r>
      <w:r>
        <w:rPr>
          <w:rFonts w:ascii="Times New Roman" w:hAnsi="Times New Roman"/>
        </w:rPr>
        <w:t xml:space="preserve"> za výučbu v cudzom jazyku a výnosov za externé štúdium),</w:t>
      </w:r>
      <w:r w:rsidRPr="000E4AF3">
        <w:rPr>
          <w:rFonts w:ascii="Times New Roman" w:hAnsi="Times New Roman"/>
        </w:rPr>
        <w:t xml:space="preserve"> z poplatkov spojených so štúdiom</w:t>
      </w:r>
      <w:r>
        <w:rPr>
          <w:rFonts w:ascii="Times New Roman" w:hAnsi="Times New Roman"/>
        </w:rPr>
        <w:t>,</w:t>
      </w:r>
      <w:r w:rsidRPr="000E4AF3">
        <w:rPr>
          <w:rFonts w:ascii="Times New Roman" w:hAnsi="Times New Roman"/>
        </w:rPr>
        <w:t xml:space="preserve"> z kontraktačného výskumu, z ďalšieho vzdelávania a zo zabezpečenia ubytovania a stravovania. V rok</w:t>
      </w:r>
      <w:r>
        <w:rPr>
          <w:rFonts w:ascii="Times New Roman" w:hAnsi="Times New Roman"/>
        </w:rPr>
        <w:t>och</w:t>
      </w:r>
      <w:r w:rsidRPr="000E4AF3">
        <w:rPr>
          <w:rFonts w:ascii="Times New Roman" w:hAnsi="Times New Roman"/>
        </w:rPr>
        <w:t xml:space="preserve"> 201</w:t>
      </w:r>
      <w:r>
        <w:rPr>
          <w:rFonts w:ascii="Times New Roman" w:hAnsi="Times New Roman"/>
        </w:rPr>
        <w:t>6</w:t>
      </w:r>
      <w:r w:rsidRPr="000E4AF3">
        <w:rPr>
          <w:rFonts w:ascii="Times New Roman" w:hAnsi="Times New Roman"/>
        </w:rPr>
        <w:t xml:space="preserve"> </w:t>
      </w:r>
      <w:r>
        <w:rPr>
          <w:rFonts w:ascii="Times New Roman" w:hAnsi="Times New Roman"/>
        </w:rPr>
        <w:t xml:space="preserve">až 2018 </w:t>
      </w:r>
      <w:r w:rsidRPr="000E4AF3">
        <w:rPr>
          <w:rFonts w:ascii="Times New Roman" w:hAnsi="Times New Roman"/>
        </w:rPr>
        <w:t xml:space="preserve">sa predpokladá, že </w:t>
      </w:r>
      <w:r>
        <w:rPr>
          <w:rFonts w:ascii="Times New Roman" w:hAnsi="Times New Roman"/>
        </w:rPr>
        <w:t>každoročne</w:t>
      </w:r>
      <w:r w:rsidRPr="000E4AF3">
        <w:rPr>
          <w:rFonts w:ascii="Times New Roman" w:hAnsi="Times New Roman"/>
        </w:rPr>
        <w:t xml:space="preserve"> dosiahn</w:t>
      </w:r>
      <w:r>
        <w:rPr>
          <w:rFonts w:ascii="Times New Roman" w:hAnsi="Times New Roman"/>
        </w:rPr>
        <w:t>u</w:t>
      </w:r>
      <w:r w:rsidRPr="000E4AF3">
        <w:rPr>
          <w:rFonts w:ascii="Times New Roman" w:hAnsi="Times New Roman"/>
        </w:rPr>
        <w:t xml:space="preserve"> objem 1</w:t>
      </w:r>
      <w:r>
        <w:rPr>
          <w:rFonts w:ascii="Times New Roman" w:hAnsi="Times New Roman"/>
        </w:rPr>
        <w:t>59</w:t>
      </w:r>
      <w:r w:rsidRPr="000E4AF3">
        <w:rPr>
          <w:rFonts w:ascii="Times New Roman" w:hAnsi="Times New Roman"/>
        </w:rPr>
        <w:t xml:space="preserve"> mil. eur.</w:t>
      </w:r>
    </w:p>
    <w:p w:rsidR="006C0389" w:rsidRPr="009F1097" w:rsidP="006C0389">
      <w:pPr>
        <w:bidi w:val="0"/>
        <w:ind w:firstLine="708"/>
        <w:jc w:val="both"/>
        <w:rPr>
          <w:rFonts w:ascii="Times New Roman" w:hAnsi="Times New Roman"/>
          <w:sz w:val="16"/>
          <w:szCs w:val="16"/>
        </w:rPr>
      </w:pPr>
    </w:p>
    <w:p w:rsidR="006C0389" w:rsidRPr="000E4AF3" w:rsidP="006C0389">
      <w:pPr>
        <w:bidi w:val="0"/>
        <w:ind w:firstLine="708"/>
        <w:jc w:val="both"/>
        <w:rPr>
          <w:rFonts w:ascii="Times New Roman" w:hAnsi="Times New Roman"/>
        </w:rPr>
      </w:pPr>
      <w:r w:rsidRPr="000E4AF3">
        <w:rPr>
          <w:rFonts w:ascii="Times New Roman" w:hAnsi="Times New Roman"/>
        </w:rPr>
        <w:t>V nedaňových príjmoch je zaznamenaný nárast v </w:t>
      </w:r>
      <w:r>
        <w:rPr>
          <w:rFonts w:ascii="Times New Roman" w:hAnsi="Times New Roman"/>
        </w:rPr>
        <w:t xml:space="preserve"> </w:t>
      </w:r>
      <w:r w:rsidRPr="000E4AF3">
        <w:rPr>
          <w:rFonts w:ascii="Times New Roman" w:hAnsi="Times New Roman"/>
        </w:rPr>
        <w:t>iných nedaňových príjmo</w:t>
      </w:r>
      <w:r>
        <w:rPr>
          <w:rFonts w:ascii="Times New Roman" w:hAnsi="Times New Roman"/>
        </w:rPr>
        <w:t>ch</w:t>
      </w:r>
      <w:r w:rsidRPr="000E4AF3">
        <w:rPr>
          <w:rFonts w:ascii="Times New Roman" w:hAnsi="Times New Roman"/>
        </w:rPr>
        <w:t xml:space="preserve"> </w:t>
      </w:r>
      <w:r w:rsidR="006573DA">
        <w:rPr>
          <w:rFonts w:ascii="Times New Roman" w:hAnsi="Times New Roman"/>
        </w:rPr>
        <w:t xml:space="preserve">     </w:t>
      </w:r>
      <w:r w:rsidRPr="000E4AF3">
        <w:rPr>
          <w:rFonts w:ascii="Times New Roman" w:hAnsi="Times New Roman"/>
        </w:rPr>
        <w:t>o</w:t>
      </w:r>
      <w:r>
        <w:rPr>
          <w:rFonts w:ascii="Times New Roman" w:hAnsi="Times New Roman"/>
        </w:rPr>
        <w:t> 15,3 mil</w:t>
      </w:r>
      <w:r w:rsidRPr="000E4AF3">
        <w:rPr>
          <w:rFonts w:ascii="Times New Roman" w:hAnsi="Times New Roman"/>
        </w:rPr>
        <w:t>. eur</w:t>
      </w:r>
      <w:r>
        <w:rPr>
          <w:rFonts w:ascii="Times New Roman" w:hAnsi="Times New Roman"/>
        </w:rPr>
        <w:t xml:space="preserve">, </w:t>
      </w:r>
      <w:r w:rsidRPr="000E4AF3">
        <w:rPr>
          <w:rFonts w:ascii="Times New Roman" w:hAnsi="Times New Roman"/>
        </w:rPr>
        <w:t>administratívnych poplatkoch a iných poplatkoch a platbách o</w:t>
      </w:r>
      <w:r>
        <w:rPr>
          <w:rFonts w:ascii="Times New Roman" w:hAnsi="Times New Roman"/>
        </w:rPr>
        <w:t> 147 tis</w:t>
      </w:r>
      <w:r w:rsidRPr="000E4AF3">
        <w:rPr>
          <w:rFonts w:ascii="Times New Roman" w:hAnsi="Times New Roman"/>
        </w:rPr>
        <w:t>. eur (školné</w:t>
      </w:r>
      <w:r>
        <w:rPr>
          <w:rFonts w:ascii="Times New Roman" w:hAnsi="Times New Roman"/>
        </w:rPr>
        <w:t xml:space="preserve"> za </w:t>
      </w:r>
      <w:r w:rsidRPr="000E4AF3">
        <w:rPr>
          <w:rFonts w:ascii="Times New Roman" w:hAnsi="Times New Roman"/>
        </w:rPr>
        <w:t xml:space="preserve"> extern</w:t>
      </w:r>
      <w:r>
        <w:rPr>
          <w:rFonts w:ascii="Times New Roman" w:hAnsi="Times New Roman"/>
        </w:rPr>
        <w:t>ú formu štúdia</w:t>
      </w:r>
      <w:r w:rsidRPr="000E4AF3">
        <w:rPr>
          <w:rFonts w:ascii="Times New Roman" w:hAnsi="Times New Roman"/>
        </w:rPr>
        <w:t>, poplatky za štúdium v cudzom jazyku, atď.)</w:t>
      </w:r>
      <w:r>
        <w:rPr>
          <w:rFonts w:ascii="Times New Roman" w:hAnsi="Times New Roman"/>
        </w:rPr>
        <w:t xml:space="preserve"> a</w:t>
      </w:r>
      <w:r w:rsidRPr="00A6561E">
        <w:rPr>
          <w:rFonts w:ascii="Times New Roman" w:hAnsi="Times New Roman"/>
        </w:rPr>
        <w:t xml:space="preserve"> </w:t>
      </w:r>
      <w:r w:rsidR="006573DA">
        <w:rPr>
          <w:rFonts w:ascii="Times New Roman" w:hAnsi="Times New Roman"/>
        </w:rPr>
        <w:t xml:space="preserve">kapitálových príjmoch </w:t>
      </w:r>
      <w:r>
        <w:rPr>
          <w:rFonts w:ascii="Times New Roman" w:hAnsi="Times New Roman"/>
        </w:rPr>
        <w:t xml:space="preserve">o 41,0 tis. eur </w:t>
      </w:r>
      <w:r w:rsidRPr="000E4AF3">
        <w:rPr>
          <w:rFonts w:ascii="Times New Roman" w:hAnsi="Times New Roman"/>
        </w:rPr>
        <w:t>oproti schválenému rozpočtu roku 201</w:t>
      </w:r>
      <w:r>
        <w:rPr>
          <w:rFonts w:ascii="Times New Roman" w:hAnsi="Times New Roman"/>
        </w:rPr>
        <w:t>5</w:t>
      </w:r>
      <w:r w:rsidRPr="000E4AF3">
        <w:rPr>
          <w:rFonts w:ascii="Times New Roman" w:hAnsi="Times New Roman"/>
        </w:rPr>
        <w:t xml:space="preserve">. Pokles nedaňových príjmov je </w:t>
      </w:r>
      <w:r>
        <w:rPr>
          <w:rFonts w:ascii="Times New Roman" w:hAnsi="Times New Roman"/>
        </w:rPr>
        <w:t xml:space="preserve">v príjmoch z podnikania a vlastníctva majetku o 273 tis. eur a </w:t>
      </w:r>
      <w:r w:rsidRPr="000E4AF3">
        <w:rPr>
          <w:rFonts w:ascii="Times New Roman" w:hAnsi="Times New Roman"/>
        </w:rPr>
        <w:t xml:space="preserve">v úrokoch z tuzemských úverov a pôžičiek </w:t>
      </w:r>
      <w:r>
        <w:rPr>
          <w:rFonts w:ascii="Times New Roman" w:hAnsi="Times New Roman"/>
        </w:rPr>
        <w:t>o 55,3 tis. eur oproti schválenému rozpočtu roku 2015</w:t>
      </w:r>
      <w:r w:rsidRPr="000E4AF3">
        <w:rPr>
          <w:rFonts w:ascii="Times New Roman" w:hAnsi="Times New Roman"/>
        </w:rPr>
        <w:t>.</w:t>
      </w:r>
    </w:p>
    <w:p w:rsidR="006C0389" w:rsidRPr="004160BF" w:rsidP="006C0389">
      <w:pPr>
        <w:bidi w:val="0"/>
        <w:ind w:firstLine="708"/>
        <w:jc w:val="both"/>
        <w:rPr>
          <w:rFonts w:ascii="Times New Roman" w:hAnsi="Times New Roman"/>
          <w:sz w:val="16"/>
          <w:szCs w:val="16"/>
        </w:rPr>
      </w:pPr>
    </w:p>
    <w:p w:rsidR="006C0389" w:rsidP="006C0389">
      <w:pPr>
        <w:bidi w:val="0"/>
        <w:ind w:firstLine="709"/>
        <w:jc w:val="both"/>
        <w:rPr>
          <w:rFonts w:ascii="Times New Roman" w:hAnsi="Times New Roman"/>
        </w:rPr>
      </w:pPr>
      <w:r>
        <w:rPr>
          <w:rFonts w:ascii="Times New Roman" w:hAnsi="Times New Roman"/>
        </w:rPr>
        <w:t>B</w:t>
      </w:r>
      <w:r w:rsidRPr="000E4AF3">
        <w:rPr>
          <w:rFonts w:ascii="Times New Roman" w:hAnsi="Times New Roman"/>
        </w:rPr>
        <w:t>ežný transfer pre VVŠ na rok 201</w:t>
      </w:r>
      <w:r>
        <w:rPr>
          <w:rFonts w:ascii="Times New Roman" w:hAnsi="Times New Roman"/>
        </w:rPr>
        <w:t>6</w:t>
      </w:r>
      <w:r w:rsidRPr="000E4AF3">
        <w:rPr>
          <w:rFonts w:ascii="Times New Roman" w:hAnsi="Times New Roman"/>
        </w:rPr>
        <w:t xml:space="preserve"> </w:t>
      </w:r>
      <w:r>
        <w:rPr>
          <w:rFonts w:ascii="Times New Roman" w:hAnsi="Times New Roman"/>
        </w:rPr>
        <w:t xml:space="preserve">klesá </w:t>
      </w:r>
      <w:r w:rsidRPr="000E4AF3">
        <w:rPr>
          <w:rFonts w:ascii="Times New Roman" w:hAnsi="Times New Roman"/>
        </w:rPr>
        <w:t>oproti schválenému rozpočtu roku 201</w:t>
      </w:r>
      <w:r>
        <w:rPr>
          <w:rFonts w:ascii="Times New Roman" w:hAnsi="Times New Roman"/>
        </w:rPr>
        <w:t xml:space="preserve">5 </w:t>
      </w:r>
      <w:r w:rsidRPr="000E4AF3">
        <w:rPr>
          <w:rFonts w:ascii="Times New Roman" w:hAnsi="Times New Roman"/>
        </w:rPr>
        <w:t>o</w:t>
      </w:r>
      <w:r>
        <w:rPr>
          <w:rFonts w:ascii="Times New Roman" w:hAnsi="Times New Roman"/>
        </w:rPr>
        <w:t> 34,9</w:t>
      </w:r>
      <w:r w:rsidRPr="000E4AF3">
        <w:rPr>
          <w:rFonts w:ascii="Times New Roman" w:hAnsi="Times New Roman"/>
        </w:rPr>
        <w:t xml:space="preserve"> mil. eur vrátane zdrojov EÚ a prostriedkov štátneho rozpočtu na spolufinancovanie z OP Výskum a</w:t>
      </w:r>
      <w:r>
        <w:rPr>
          <w:rFonts w:ascii="Times New Roman" w:hAnsi="Times New Roman"/>
        </w:rPr>
        <w:t> </w:t>
      </w:r>
      <w:r w:rsidRPr="000E4AF3">
        <w:rPr>
          <w:rFonts w:ascii="Times New Roman" w:hAnsi="Times New Roman"/>
        </w:rPr>
        <w:t>vývoj</w:t>
      </w:r>
      <w:r>
        <w:rPr>
          <w:rFonts w:ascii="Times New Roman" w:hAnsi="Times New Roman"/>
        </w:rPr>
        <w:t>,</w:t>
      </w:r>
      <w:r w:rsidRPr="000E4AF3">
        <w:rPr>
          <w:rFonts w:ascii="Times New Roman" w:hAnsi="Times New Roman"/>
        </w:rPr>
        <w:t xml:space="preserve"> OP Vzdelávanie</w:t>
      </w:r>
      <w:r>
        <w:rPr>
          <w:rFonts w:ascii="Times New Roman" w:hAnsi="Times New Roman"/>
        </w:rPr>
        <w:t>, OP Ľudské zdroje – Vzdelávanie a OP Výskum a inovácie, pričom bežný transfer zo štátneho rozpočtu medziročne rastie o 8,67 mil. eur, t. j. o 1,92 %. K</w:t>
      </w:r>
      <w:r w:rsidRPr="000E4AF3">
        <w:rPr>
          <w:rFonts w:ascii="Times New Roman" w:hAnsi="Times New Roman"/>
        </w:rPr>
        <w:t>apitálový transfer</w:t>
      </w:r>
      <w:r>
        <w:rPr>
          <w:rFonts w:ascii="Times New Roman" w:hAnsi="Times New Roman"/>
        </w:rPr>
        <w:t xml:space="preserve"> klesá </w:t>
      </w:r>
      <w:r w:rsidRPr="000E4AF3">
        <w:rPr>
          <w:rFonts w:ascii="Times New Roman" w:hAnsi="Times New Roman"/>
        </w:rPr>
        <w:t>o</w:t>
      </w:r>
      <w:r>
        <w:rPr>
          <w:rFonts w:ascii="Times New Roman" w:hAnsi="Times New Roman"/>
        </w:rPr>
        <w:t xml:space="preserve"> 26,5 </w:t>
      </w:r>
      <w:r w:rsidRPr="000E4AF3">
        <w:rPr>
          <w:rFonts w:ascii="Times New Roman" w:hAnsi="Times New Roman"/>
        </w:rPr>
        <w:t>mil. eur oproti schválenému rozpočtu roku 201</w:t>
      </w:r>
      <w:r>
        <w:rPr>
          <w:rFonts w:ascii="Times New Roman" w:hAnsi="Times New Roman"/>
        </w:rPr>
        <w:t xml:space="preserve">5 </w:t>
      </w:r>
      <w:r w:rsidRPr="000E4AF3">
        <w:rPr>
          <w:rFonts w:ascii="Times New Roman" w:hAnsi="Times New Roman"/>
        </w:rPr>
        <w:t>zo zdrojov EÚ a</w:t>
      </w:r>
      <w:r>
        <w:rPr>
          <w:rFonts w:ascii="Times New Roman" w:hAnsi="Times New Roman"/>
        </w:rPr>
        <w:t> </w:t>
      </w:r>
      <w:r w:rsidRPr="000E4AF3">
        <w:rPr>
          <w:rFonts w:ascii="Times New Roman" w:hAnsi="Times New Roman"/>
        </w:rPr>
        <w:t>spolufinancovania</w:t>
      </w:r>
      <w:r>
        <w:rPr>
          <w:rFonts w:ascii="Times New Roman" w:hAnsi="Times New Roman"/>
        </w:rPr>
        <w:t xml:space="preserve">, kapitálový transfer </w:t>
      </w:r>
      <w:r w:rsidRPr="000E4AF3">
        <w:rPr>
          <w:rFonts w:ascii="Times New Roman" w:hAnsi="Times New Roman"/>
        </w:rPr>
        <w:t>zo štátneho rozpočtu</w:t>
      </w:r>
      <w:r>
        <w:rPr>
          <w:rFonts w:ascii="Times New Roman" w:hAnsi="Times New Roman"/>
        </w:rPr>
        <w:t xml:space="preserve"> je na úrovni schváleného rozpočtu roku 2015.</w:t>
      </w:r>
    </w:p>
    <w:p w:rsidR="006C0389" w:rsidRPr="004160BF" w:rsidP="006C0389">
      <w:pPr>
        <w:bidi w:val="0"/>
        <w:ind w:firstLine="709"/>
        <w:jc w:val="both"/>
        <w:rPr>
          <w:rFonts w:ascii="Times New Roman" w:hAnsi="Times New Roman"/>
          <w:sz w:val="16"/>
          <w:szCs w:val="16"/>
        </w:rPr>
      </w:pPr>
    </w:p>
    <w:p w:rsidR="006C0389" w:rsidRPr="000E4AF3" w:rsidP="006C0389">
      <w:pPr>
        <w:bidi w:val="0"/>
        <w:ind w:firstLine="709"/>
        <w:jc w:val="both"/>
        <w:rPr>
          <w:rFonts w:ascii="Times New Roman" w:hAnsi="Times New Roman"/>
        </w:rPr>
      </w:pPr>
      <w:r w:rsidRPr="000E4AF3">
        <w:rPr>
          <w:rFonts w:ascii="Times New Roman" w:hAnsi="Times New Roman"/>
        </w:rPr>
        <w:t>VVŠ bud</w:t>
      </w:r>
      <w:r>
        <w:rPr>
          <w:rFonts w:ascii="Times New Roman" w:hAnsi="Times New Roman"/>
        </w:rPr>
        <w:t>e</w:t>
      </w:r>
      <w:r w:rsidRPr="000E4AF3">
        <w:rPr>
          <w:rFonts w:ascii="Times New Roman" w:hAnsi="Times New Roman"/>
        </w:rPr>
        <w:t xml:space="preserve"> </w:t>
      </w:r>
      <w:r>
        <w:rPr>
          <w:rFonts w:ascii="Times New Roman" w:hAnsi="Times New Roman"/>
        </w:rPr>
        <w:t xml:space="preserve">poskytnutý </w:t>
      </w:r>
      <w:r w:rsidRPr="000E4AF3">
        <w:rPr>
          <w:rFonts w:ascii="Times New Roman" w:hAnsi="Times New Roman"/>
        </w:rPr>
        <w:t xml:space="preserve">transfer od Audiovizuálneho fondu </w:t>
      </w:r>
      <w:r>
        <w:rPr>
          <w:rFonts w:ascii="Times New Roman" w:hAnsi="Times New Roman"/>
        </w:rPr>
        <w:t>v rokoch 2016 až 2018 každoročne 100 tis. eur.</w:t>
      </w:r>
      <w:r w:rsidRPr="000E4AF3">
        <w:rPr>
          <w:rFonts w:ascii="Times New Roman" w:hAnsi="Times New Roman"/>
        </w:rPr>
        <w:t xml:space="preserve"> Finančné prostriedky fondu sa poskytujú na produkciu školských filmov, ktoré sú integrálnou súčasťou vysokoškolského</w:t>
      </w:r>
      <w:r>
        <w:rPr>
          <w:rFonts w:ascii="Times New Roman" w:hAnsi="Times New Roman"/>
        </w:rPr>
        <w:t xml:space="preserve"> </w:t>
      </w:r>
      <w:r w:rsidRPr="000E4AF3">
        <w:rPr>
          <w:rFonts w:ascii="Times New Roman" w:hAnsi="Times New Roman"/>
        </w:rPr>
        <w:t xml:space="preserve">vzdelávania v študijnom odbore filmové umenie. </w:t>
      </w:r>
      <w:r>
        <w:rPr>
          <w:rFonts w:ascii="Times New Roman" w:hAnsi="Times New Roman"/>
        </w:rPr>
        <w:t>Ďalším zdrojom VVŠ budú aj prostriedky z Fondu na podporu umenia na roky 2016 až 2018 každoročne v sume 336 tis. eur.</w:t>
      </w:r>
    </w:p>
    <w:p w:rsidR="006C0389" w:rsidRPr="004160BF" w:rsidP="006C0389">
      <w:pPr>
        <w:bidi w:val="0"/>
        <w:ind w:firstLine="709"/>
        <w:jc w:val="both"/>
        <w:rPr>
          <w:rFonts w:ascii="Times New Roman" w:hAnsi="Times New Roman"/>
          <w:sz w:val="16"/>
          <w:szCs w:val="16"/>
        </w:rPr>
      </w:pPr>
    </w:p>
    <w:p w:rsidR="006C0389" w:rsidRPr="000E4AF3" w:rsidP="006C0389">
      <w:pPr>
        <w:bidi w:val="0"/>
        <w:ind w:firstLine="709"/>
        <w:jc w:val="both"/>
        <w:rPr>
          <w:rFonts w:ascii="Times New Roman" w:hAnsi="Times New Roman"/>
        </w:rPr>
      </w:pPr>
      <w:r w:rsidRPr="000E4AF3">
        <w:rPr>
          <w:rFonts w:ascii="Times New Roman" w:hAnsi="Times New Roman"/>
        </w:rPr>
        <w:t xml:space="preserve">Zdroje získané na základe úspešnosti v súťažiach na projekty financované prostredníctvom Agentúry na podporu výskumu </w:t>
      </w:r>
      <w:r>
        <w:rPr>
          <w:rFonts w:ascii="Times New Roman" w:hAnsi="Times New Roman"/>
        </w:rPr>
        <w:t>a</w:t>
      </w:r>
      <w:r w:rsidR="00121D77">
        <w:rPr>
          <w:rFonts w:ascii="Times New Roman" w:hAnsi="Times New Roman"/>
        </w:rPr>
        <w:t xml:space="preserve"> vývoja </w:t>
      </w:r>
      <w:r>
        <w:rPr>
          <w:rFonts w:ascii="Times New Roman" w:hAnsi="Times New Roman"/>
        </w:rPr>
        <w:t xml:space="preserve">zo sekcie vysokých škôl, vedy a výskumu MŠVVŠ SR </w:t>
      </w:r>
      <w:r w:rsidRPr="000E4AF3">
        <w:rPr>
          <w:rFonts w:ascii="Times New Roman" w:hAnsi="Times New Roman"/>
        </w:rPr>
        <w:t>sú navrhované v rámci bežných</w:t>
      </w:r>
      <w:r>
        <w:rPr>
          <w:rFonts w:ascii="Times New Roman" w:hAnsi="Times New Roman"/>
        </w:rPr>
        <w:t xml:space="preserve"> a kapitálových</w:t>
      </w:r>
      <w:r w:rsidRPr="000E4AF3">
        <w:rPr>
          <w:rFonts w:ascii="Times New Roman" w:hAnsi="Times New Roman"/>
        </w:rPr>
        <w:t xml:space="preserve"> transferov zo štátneho rozpočtu vo </w:t>
      </w:r>
      <w:r w:rsidRPr="006F14D0">
        <w:rPr>
          <w:rFonts w:ascii="Times New Roman" w:hAnsi="Times New Roman"/>
        </w:rPr>
        <w:t>výške 4,</w:t>
      </w:r>
      <w:r>
        <w:rPr>
          <w:rFonts w:ascii="Times New Roman" w:hAnsi="Times New Roman"/>
        </w:rPr>
        <w:t>78</w:t>
      </w:r>
      <w:r w:rsidRPr="000E4AF3">
        <w:rPr>
          <w:rFonts w:ascii="Times New Roman" w:hAnsi="Times New Roman"/>
        </w:rPr>
        <w:t xml:space="preserve"> mil. eur na rok 201</w:t>
      </w:r>
      <w:r>
        <w:rPr>
          <w:rFonts w:ascii="Times New Roman" w:hAnsi="Times New Roman"/>
        </w:rPr>
        <w:t xml:space="preserve">6, na rok </w:t>
      </w:r>
      <w:r w:rsidRPr="00B33939">
        <w:rPr>
          <w:rFonts w:ascii="Times New Roman" w:hAnsi="Times New Roman"/>
        </w:rPr>
        <w:t xml:space="preserve"> 201</w:t>
      </w:r>
      <w:r>
        <w:rPr>
          <w:rFonts w:ascii="Times New Roman" w:hAnsi="Times New Roman"/>
        </w:rPr>
        <w:t>7</w:t>
      </w:r>
      <w:r w:rsidRPr="00B33939">
        <w:rPr>
          <w:rFonts w:ascii="Times New Roman" w:hAnsi="Times New Roman"/>
        </w:rPr>
        <w:t xml:space="preserve"> </w:t>
      </w:r>
      <w:r>
        <w:rPr>
          <w:rFonts w:ascii="Times New Roman" w:hAnsi="Times New Roman"/>
        </w:rPr>
        <w:t xml:space="preserve">v sume 5,22 mil. eur </w:t>
      </w:r>
      <w:r w:rsidRPr="00B33939">
        <w:rPr>
          <w:rFonts w:ascii="Times New Roman" w:hAnsi="Times New Roman"/>
        </w:rPr>
        <w:t>a</w:t>
      </w:r>
      <w:r>
        <w:rPr>
          <w:rFonts w:ascii="Times New Roman" w:hAnsi="Times New Roman"/>
        </w:rPr>
        <w:t> na rok 2018 v sume 4,39 mil. eur</w:t>
      </w:r>
      <w:r w:rsidRPr="000E4AF3">
        <w:rPr>
          <w:rFonts w:ascii="Times New Roman" w:hAnsi="Times New Roman"/>
        </w:rPr>
        <w:t xml:space="preserve">. </w:t>
      </w:r>
    </w:p>
    <w:p w:rsidR="006C0389" w:rsidRPr="004160BF" w:rsidP="006C0389">
      <w:pPr>
        <w:bidi w:val="0"/>
        <w:ind w:firstLine="709"/>
        <w:jc w:val="both"/>
        <w:rPr>
          <w:rFonts w:ascii="Times New Roman" w:hAnsi="Times New Roman"/>
          <w:sz w:val="16"/>
          <w:szCs w:val="16"/>
        </w:rPr>
      </w:pPr>
    </w:p>
    <w:p w:rsidR="006C0389" w:rsidRPr="000E4AF3" w:rsidP="006C0389">
      <w:pPr>
        <w:bidi w:val="0"/>
        <w:ind w:firstLine="708"/>
        <w:jc w:val="both"/>
        <w:rPr>
          <w:rFonts w:ascii="Times New Roman" w:hAnsi="Times New Roman"/>
        </w:rPr>
      </w:pPr>
      <w:r w:rsidRPr="000E4AF3">
        <w:rPr>
          <w:rFonts w:ascii="Times New Roman" w:hAnsi="Times New Roman"/>
        </w:rPr>
        <w:t xml:space="preserve">Návrh rozdelenia výdavkov do jednotlivých kategórií je len orientačný, keďže v zmysle § 89 zákona č. 131/2002 Z. z. o vysokých školách v znení neskorších predpisov je použitie dotácie zo štátneho rozpočtu priamo v kompetencii verejnej vysokej školy. </w:t>
      </w:r>
    </w:p>
    <w:p w:rsidR="006C0389" w:rsidRPr="004160BF" w:rsidP="006C0389">
      <w:pPr>
        <w:bidi w:val="0"/>
        <w:ind w:firstLine="708"/>
        <w:jc w:val="both"/>
        <w:rPr>
          <w:rFonts w:ascii="Times New Roman" w:hAnsi="Times New Roman"/>
          <w:sz w:val="16"/>
          <w:szCs w:val="16"/>
        </w:rPr>
      </w:pPr>
    </w:p>
    <w:p w:rsidR="006C0389" w:rsidRPr="00710094" w:rsidP="006C0389">
      <w:pPr>
        <w:bidi w:val="0"/>
        <w:ind w:firstLine="708"/>
        <w:jc w:val="both"/>
        <w:rPr>
          <w:rFonts w:ascii="Times New Roman" w:hAnsi="Times New Roman"/>
        </w:rPr>
      </w:pPr>
      <w:r w:rsidRPr="00710094">
        <w:rPr>
          <w:rFonts w:ascii="Times New Roman" w:hAnsi="Times New Roman"/>
        </w:rPr>
        <w:t>Výdavky na rok 201</w:t>
      </w:r>
      <w:r>
        <w:rPr>
          <w:rFonts w:ascii="Times New Roman" w:hAnsi="Times New Roman"/>
        </w:rPr>
        <w:t>6</w:t>
      </w:r>
      <w:r w:rsidRPr="00710094">
        <w:rPr>
          <w:rFonts w:ascii="Times New Roman" w:hAnsi="Times New Roman"/>
        </w:rPr>
        <w:t xml:space="preserve"> celkovo klesajú oproti schválenému rozpočtu roku 201</w:t>
      </w:r>
      <w:r>
        <w:rPr>
          <w:rFonts w:ascii="Times New Roman" w:hAnsi="Times New Roman"/>
        </w:rPr>
        <w:t>5</w:t>
      </w:r>
      <w:r w:rsidRPr="00710094">
        <w:rPr>
          <w:rFonts w:ascii="Times New Roman" w:hAnsi="Times New Roman"/>
        </w:rPr>
        <w:t xml:space="preserve"> </w:t>
        <w:br/>
        <w:t>o </w:t>
      </w:r>
      <w:r>
        <w:rPr>
          <w:rFonts w:ascii="Times New Roman" w:hAnsi="Times New Roman"/>
        </w:rPr>
        <w:t>46,0</w:t>
      </w:r>
      <w:r w:rsidRPr="00710094">
        <w:rPr>
          <w:rFonts w:ascii="Times New Roman" w:hAnsi="Times New Roman"/>
        </w:rPr>
        <w:t xml:space="preserve"> mil. eur, čo predstavuje </w:t>
      </w:r>
      <w:r>
        <w:rPr>
          <w:rFonts w:ascii="Times New Roman" w:hAnsi="Times New Roman"/>
        </w:rPr>
        <w:t>6,77</w:t>
      </w:r>
      <w:r w:rsidRPr="00710094">
        <w:rPr>
          <w:rFonts w:ascii="Times New Roman" w:hAnsi="Times New Roman"/>
        </w:rPr>
        <w:t xml:space="preserve"> %. </w:t>
      </w:r>
      <w:r>
        <w:rPr>
          <w:rFonts w:ascii="Times New Roman" w:hAnsi="Times New Roman"/>
        </w:rPr>
        <w:t>P</w:t>
      </w:r>
      <w:r w:rsidRPr="00710094">
        <w:rPr>
          <w:rFonts w:ascii="Times New Roman" w:hAnsi="Times New Roman"/>
        </w:rPr>
        <w:t xml:space="preserve">okles výdavkov v jednotlivých kategóriách </w:t>
      </w:r>
      <w:r>
        <w:rPr>
          <w:rFonts w:ascii="Times New Roman" w:hAnsi="Times New Roman"/>
        </w:rPr>
        <w:t xml:space="preserve">je spôsobený </w:t>
      </w:r>
      <w:r w:rsidRPr="00710094">
        <w:rPr>
          <w:rFonts w:ascii="Times New Roman" w:hAnsi="Times New Roman"/>
        </w:rPr>
        <w:t xml:space="preserve">najmä </w:t>
      </w:r>
      <w:r>
        <w:rPr>
          <w:rFonts w:ascii="Times New Roman" w:hAnsi="Times New Roman"/>
        </w:rPr>
        <w:t>nižš</w:t>
      </w:r>
      <w:r w:rsidR="00987A71">
        <w:rPr>
          <w:rFonts w:ascii="Times New Roman" w:hAnsi="Times New Roman"/>
        </w:rPr>
        <w:t>ou</w:t>
      </w:r>
      <w:r>
        <w:rPr>
          <w:rFonts w:ascii="Times New Roman" w:hAnsi="Times New Roman"/>
        </w:rPr>
        <w:t xml:space="preserve"> alokáciou</w:t>
      </w:r>
      <w:r w:rsidRPr="00710094">
        <w:rPr>
          <w:rFonts w:ascii="Times New Roman" w:hAnsi="Times New Roman"/>
        </w:rPr>
        <w:t xml:space="preserve"> zdrojov zo štrukturálnych fondov a spolufinancovania.</w:t>
      </w:r>
    </w:p>
    <w:p w:rsidR="006C0389" w:rsidRPr="004160BF" w:rsidP="006C0389">
      <w:pPr>
        <w:bidi w:val="0"/>
        <w:jc w:val="both"/>
        <w:rPr>
          <w:rFonts w:ascii="Times New Roman" w:hAnsi="Times New Roman"/>
          <w:sz w:val="16"/>
          <w:szCs w:val="16"/>
        </w:rPr>
      </w:pPr>
    </w:p>
    <w:p w:rsidR="006C0389" w:rsidP="006C0389">
      <w:pPr>
        <w:bidi w:val="0"/>
        <w:ind w:firstLine="708"/>
        <w:jc w:val="both"/>
        <w:rPr>
          <w:rFonts w:ascii="Times New Roman" w:hAnsi="Times New Roman"/>
        </w:rPr>
      </w:pPr>
      <w:r w:rsidRPr="00CA2DB7">
        <w:rPr>
          <w:rFonts w:ascii="Times New Roman" w:hAnsi="Times New Roman"/>
        </w:rPr>
        <w:t>Bežné výdavky na rok 201</w:t>
      </w:r>
      <w:r>
        <w:rPr>
          <w:rFonts w:ascii="Times New Roman" w:hAnsi="Times New Roman"/>
        </w:rPr>
        <w:t>6</w:t>
      </w:r>
      <w:r w:rsidRPr="00CA2DB7">
        <w:rPr>
          <w:rFonts w:ascii="Times New Roman" w:hAnsi="Times New Roman"/>
        </w:rPr>
        <w:t xml:space="preserve"> </w:t>
      </w:r>
      <w:r>
        <w:rPr>
          <w:rFonts w:ascii="Times New Roman" w:hAnsi="Times New Roman"/>
        </w:rPr>
        <w:t>klesajú</w:t>
      </w:r>
      <w:r w:rsidRPr="00CA2DB7">
        <w:rPr>
          <w:rFonts w:ascii="Times New Roman" w:hAnsi="Times New Roman"/>
        </w:rPr>
        <w:t xml:space="preserve"> oproti schválenému rozpočtu rok</w:t>
      </w:r>
      <w:r>
        <w:rPr>
          <w:rFonts w:ascii="Times New Roman" w:hAnsi="Times New Roman"/>
        </w:rPr>
        <w:t>u 2015</w:t>
      </w:r>
      <w:r w:rsidRPr="00CA2DB7">
        <w:rPr>
          <w:rFonts w:ascii="Times New Roman" w:hAnsi="Times New Roman"/>
        </w:rPr>
        <w:t xml:space="preserve"> </w:t>
      </w:r>
      <w:r>
        <w:rPr>
          <w:rFonts w:ascii="Times New Roman" w:hAnsi="Times New Roman"/>
        </w:rPr>
        <w:br/>
      </w:r>
      <w:r w:rsidRPr="00CA2DB7">
        <w:rPr>
          <w:rFonts w:ascii="Times New Roman" w:hAnsi="Times New Roman"/>
        </w:rPr>
        <w:t xml:space="preserve">o </w:t>
      </w:r>
      <w:r>
        <w:rPr>
          <w:rFonts w:ascii="Times New Roman" w:hAnsi="Times New Roman"/>
        </w:rPr>
        <w:t xml:space="preserve">20,1 </w:t>
      </w:r>
      <w:r w:rsidRPr="00CA2DB7">
        <w:rPr>
          <w:rFonts w:ascii="Times New Roman" w:hAnsi="Times New Roman"/>
        </w:rPr>
        <w:t xml:space="preserve">mil. eur. </w:t>
      </w:r>
      <w:r>
        <w:rPr>
          <w:rFonts w:ascii="Times New Roman" w:hAnsi="Times New Roman"/>
        </w:rPr>
        <w:t>Pokles</w:t>
      </w:r>
      <w:r w:rsidRPr="00CA2DB7">
        <w:rPr>
          <w:rFonts w:ascii="Times New Roman" w:hAnsi="Times New Roman"/>
        </w:rPr>
        <w:t xml:space="preserve"> je spôsobený predpokladaným čerpaním finančných prostriedkov zo štrukturálnych fondov vrátane spolufinancovania zo štátneho rozpočtu</w:t>
      </w:r>
      <w:r>
        <w:rPr>
          <w:rFonts w:ascii="Times New Roman" w:hAnsi="Times New Roman"/>
        </w:rPr>
        <w:t xml:space="preserve"> vo väzbe na výšku rozpočtovanú v príjmoch</w:t>
      </w:r>
      <w:r w:rsidRPr="00CA2DB7">
        <w:rPr>
          <w:rFonts w:ascii="Times New Roman" w:hAnsi="Times New Roman"/>
        </w:rPr>
        <w:t>.</w:t>
      </w:r>
    </w:p>
    <w:p w:rsidR="006C0389" w:rsidRPr="004160BF" w:rsidP="006C0389">
      <w:pPr>
        <w:bidi w:val="0"/>
        <w:ind w:firstLine="708"/>
        <w:jc w:val="both"/>
        <w:rPr>
          <w:rFonts w:ascii="Times New Roman" w:hAnsi="Times New Roman"/>
          <w:sz w:val="16"/>
          <w:szCs w:val="16"/>
        </w:rPr>
      </w:pPr>
    </w:p>
    <w:p w:rsidR="006C0389" w:rsidRPr="00710094" w:rsidP="006C0389">
      <w:pPr>
        <w:bidi w:val="0"/>
        <w:ind w:firstLine="708"/>
        <w:jc w:val="both"/>
        <w:rPr>
          <w:rFonts w:ascii="Times New Roman" w:hAnsi="Times New Roman"/>
        </w:rPr>
      </w:pPr>
      <w:r w:rsidRPr="00710094">
        <w:rPr>
          <w:rFonts w:ascii="Times New Roman" w:hAnsi="Times New Roman"/>
        </w:rPr>
        <w:t xml:space="preserve">Osobné výdavky sú rozpočtované pre vysokoškolských pedagógov, výskumných </w:t>
      </w:r>
      <w:r>
        <w:rPr>
          <w:rFonts w:ascii="Times New Roman" w:hAnsi="Times New Roman"/>
        </w:rPr>
        <w:br/>
      </w:r>
      <w:r w:rsidRPr="00710094">
        <w:rPr>
          <w:rFonts w:ascii="Times New Roman" w:hAnsi="Times New Roman"/>
        </w:rPr>
        <w:t>a umeleckých pracovníkov, ako aj ostatných pracovníkov VVŠ v</w:t>
      </w:r>
      <w:r>
        <w:rPr>
          <w:rFonts w:ascii="Times New Roman" w:hAnsi="Times New Roman"/>
        </w:rPr>
        <w:t> </w:t>
      </w:r>
      <w:r w:rsidRPr="00710094">
        <w:rPr>
          <w:rFonts w:ascii="Times New Roman" w:hAnsi="Times New Roman"/>
        </w:rPr>
        <w:t>počte</w:t>
      </w:r>
      <w:r>
        <w:rPr>
          <w:rFonts w:ascii="Times New Roman" w:hAnsi="Times New Roman"/>
        </w:rPr>
        <w:t xml:space="preserve"> </w:t>
      </w:r>
      <w:r w:rsidRPr="00710094">
        <w:rPr>
          <w:rFonts w:ascii="Times New Roman" w:hAnsi="Times New Roman"/>
        </w:rPr>
        <w:t xml:space="preserve">21 529 osôb. Celkové osobné výdavky zaznamenávajú </w:t>
      </w:r>
      <w:r>
        <w:rPr>
          <w:rFonts w:ascii="Times New Roman" w:hAnsi="Times New Roman"/>
        </w:rPr>
        <w:t>pokles</w:t>
      </w:r>
      <w:r w:rsidRPr="00710094">
        <w:rPr>
          <w:rFonts w:ascii="Times New Roman" w:hAnsi="Times New Roman"/>
        </w:rPr>
        <w:t xml:space="preserve"> v roku 201</w:t>
      </w:r>
      <w:r>
        <w:rPr>
          <w:rFonts w:ascii="Times New Roman" w:hAnsi="Times New Roman"/>
        </w:rPr>
        <w:t>6</w:t>
      </w:r>
      <w:r w:rsidRPr="00710094">
        <w:rPr>
          <w:rFonts w:ascii="Times New Roman" w:hAnsi="Times New Roman"/>
        </w:rPr>
        <w:t xml:space="preserve"> oproti </w:t>
      </w:r>
      <w:r>
        <w:rPr>
          <w:rFonts w:ascii="Times New Roman" w:hAnsi="Times New Roman"/>
        </w:rPr>
        <w:t xml:space="preserve">schválenému rozpočtu </w:t>
      </w:r>
      <w:r w:rsidRPr="00710094">
        <w:rPr>
          <w:rFonts w:ascii="Times New Roman" w:hAnsi="Times New Roman"/>
        </w:rPr>
        <w:t>roku 201</w:t>
      </w:r>
      <w:r>
        <w:rPr>
          <w:rFonts w:ascii="Times New Roman" w:hAnsi="Times New Roman"/>
        </w:rPr>
        <w:t>5</w:t>
      </w:r>
      <w:r w:rsidRPr="00710094">
        <w:rPr>
          <w:rFonts w:ascii="Times New Roman" w:hAnsi="Times New Roman"/>
        </w:rPr>
        <w:t xml:space="preserve"> </w:t>
      </w:r>
      <w:r w:rsidRPr="00FD04F8">
        <w:rPr>
          <w:rFonts w:ascii="Times New Roman" w:hAnsi="Times New Roman"/>
        </w:rPr>
        <w:t>o 729 tis. eur, t. j. o 0,21 %.</w:t>
      </w:r>
      <w:r>
        <w:rPr>
          <w:rFonts w:ascii="Times New Roman" w:hAnsi="Times New Roman"/>
        </w:rPr>
        <w:t xml:space="preserve"> Dôvodom zníženia celkových osobných výdavkov pre VVŠ je nižšia alokácia prostriedkov zo štrukturálnych fondov vrátane spolufinancovania, pričom osobné výdavky rozpísané VVŠ zo štátneho rozpočtu medziročne rastú o 5,24 mil. eur, t. j. o 2,44 %</w:t>
      </w:r>
      <w:r w:rsidRPr="00710094">
        <w:rPr>
          <w:rFonts w:ascii="Times New Roman" w:hAnsi="Times New Roman"/>
        </w:rPr>
        <w:t>.</w:t>
      </w:r>
      <w:r>
        <w:rPr>
          <w:rFonts w:ascii="Times New Roman" w:hAnsi="Times New Roman"/>
        </w:rPr>
        <w:t xml:space="preserve"> V tomto náraste je premietnutý dopočet valorizácie platov z roku 2015.</w:t>
      </w:r>
      <w:r w:rsidRPr="00710094">
        <w:rPr>
          <w:rFonts w:ascii="Times New Roman" w:hAnsi="Times New Roman"/>
        </w:rPr>
        <w:t xml:space="preserve"> </w:t>
      </w:r>
    </w:p>
    <w:p w:rsidR="006C0389" w:rsidRPr="004160BF" w:rsidP="006C0389">
      <w:pPr>
        <w:bidi w:val="0"/>
        <w:ind w:firstLine="708"/>
        <w:jc w:val="both"/>
        <w:rPr>
          <w:rFonts w:ascii="Times New Roman" w:hAnsi="Times New Roman"/>
          <w:sz w:val="16"/>
          <w:szCs w:val="16"/>
        </w:rPr>
      </w:pPr>
    </w:p>
    <w:p w:rsidR="006C0389" w:rsidRPr="00710094" w:rsidP="006C0389">
      <w:pPr>
        <w:bidi w:val="0"/>
        <w:ind w:firstLine="708"/>
        <w:jc w:val="both"/>
        <w:rPr>
          <w:rFonts w:ascii="Times New Roman" w:hAnsi="Times New Roman"/>
        </w:rPr>
      </w:pPr>
      <w:r w:rsidRPr="00710094">
        <w:rPr>
          <w:rFonts w:ascii="Times New Roman" w:hAnsi="Times New Roman"/>
        </w:rPr>
        <w:t xml:space="preserve">Výdavky na tovary a služby sú rozpočtované na </w:t>
      </w:r>
      <w:r>
        <w:rPr>
          <w:rFonts w:ascii="Times New Roman" w:hAnsi="Times New Roman"/>
        </w:rPr>
        <w:t>uskutočňovanie akreditovaných</w:t>
      </w:r>
      <w:r w:rsidRPr="00710094">
        <w:rPr>
          <w:rFonts w:ascii="Times New Roman" w:hAnsi="Times New Roman"/>
        </w:rPr>
        <w:t xml:space="preserve"> študijných</w:t>
      </w:r>
      <w:r>
        <w:rPr>
          <w:rFonts w:ascii="Times New Roman" w:hAnsi="Times New Roman"/>
        </w:rPr>
        <w:t xml:space="preserve"> </w:t>
      </w:r>
      <w:r w:rsidRPr="00710094">
        <w:rPr>
          <w:rFonts w:ascii="Times New Roman" w:hAnsi="Times New Roman"/>
        </w:rPr>
        <w:t>programov a prevádzku VVŠ,</w:t>
      </w:r>
      <w:r>
        <w:rPr>
          <w:rFonts w:ascii="Times New Roman" w:hAnsi="Times New Roman"/>
        </w:rPr>
        <w:t xml:space="preserve"> </w:t>
      </w:r>
      <w:r w:rsidRPr="00710094">
        <w:rPr>
          <w:rFonts w:ascii="Times New Roman" w:hAnsi="Times New Roman"/>
        </w:rPr>
        <w:t>na riešenie projektov vedy a výskumu (vrátane prostriedkov zo štrukturálnych fondov a spolufinancovania zo štátneho rozpočtu)</w:t>
      </w:r>
      <w:r>
        <w:rPr>
          <w:rFonts w:ascii="Times New Roman" w:hAnsi="Times New Roman"/>
        </w:rPr>
        <w:t>,</w:t>
      </w:r>
      <w:r w:rsidRPr="00710094">
        <w:rPr>
          <w:rFonts w:ascii="Times New Roman" w:hAnsi="Times New Roman"/>
        </w:rPr>
        <w:t xml:space="preserve"> rozvoj vysokých škôl</w:t>
      </w:r>
      <w:r>
        <w:rPr>
          <w:rFonts w:ascii="Times New Roman" w:hAnsi="Times New Roman"/>
        </w:rPr>
        <w:t xml:space="preserve"> a na časť sociálnej podpory študentov</w:t>
      </w:r>
      <w:r w:rsidRPr="00710094">
        <w:rPr>
          <w:rFonts w:ascii="Times New Roman" w:hAnsi="Times New Roman"/>
        </w:rPr>
        <w:t>. Výdavky rozpočtované pre túto oblasť na rok 201</w:t>
      </w:r>
      <w:r>
        <w:rPr>
          <w:rFonts w:ascii="Times New Roman" w:hAnsi="Times New Roman"/>
        </w:rPr>
        <w:t>6</w:t>
      </w:r>
      <w:r w:rsidRPr="00710094">
        <w:rPr>
          <w:rFonts w:ascii="Times New Roman" w:hAnsi="Times New Roman"/>
        </w:rPr>
        <w:t xml:space="preserve"> oproti schválenému rozpočtu roku 201</w:t>
      </w:r>
      <w:r w:rsidR="009C2FC5">
        <w:rPr>
          <w:rFonts w:ascii="Times New Roman" w:hAnsi="Times New Roman"/>
        </w:rPr>
        <w:t>5</w:t>
      </w:r>
      <w:r w:rsidRPr="00710094">
        <w:rPr>
          <w:rFonts w:ascii="Times New Roman" w:hAnsi="Times New Roman"/>
        </w:rPr>
        <w:t xml:space="preserve"> </w:t>
      </w:r>
      <w:r>
        <w:rPr>
          <w:rFonts w:ascii="Times New Roman" w:hAnsi="Times New Roman"/>
        </w:rPr>
        <w:t>klesajú</w:t>
      </w:r>
      <w:r w:rsidRPr="00710094">
        <w:rPr>
          <w:rFonts w:ascii="Times New Roman" w:hAnsi="Times New Roman"/>
        </w:rPr>
        <w:t xml:space="preserve"> o 1</w:t>
      </w:r>
      <w:r>
        <w:rPr>
          <w:rFonts w:ascii="Times New Roman" w:hAnsi="Times New Roman"/>
        </w:rPr>
        <w:t>3</w:t>
      </w:r>
      <w:r w:rsidRPr="00710094">
        <w:rPr>
          <w:rFonts w:ascii="Times New Roman" w:hAnsi="Times New Roman"/>
        </w:rPr>
        <w:t>,</w:t>
      </w:r>
      <w:r>
        <w:rPr>
          <w:rFonts w:ascii="Times New Roman" w:hAnsi="Times New Roman"/>
        </w:rPr>
        <w:t xml:space="preserve">8 </w:t>
      </w:r>
      <w:r w:rsidRPr="00710094">
        <w:rPr>
          <w:rFonts w:ascii="Times New Roman" w:hAnsi="Times New Roman"/>
        </w:rPr>
        <w:t>mil. eur, t.</w:t>
      </w:r>
      <w:r>
        <w:rPr>
          <w:rFonts w:ascii="Times New Roman" w:hAnsi="Times New Roman"/>
        </w:rPr>
        <w:t xml:space="preserve"> </w:t>
      </w:r>
      <w:r w:rsidRPr="00710094">
        <w:rPr>
          <w:rFonts w:ascii="Times New Roman" w:hAnsi="Times New Roman"/>
        </w:rPr>
        <w:t>j. o</w:t>
      </w:r>
      <w:r>
        <w:rPr>
          <w:rFonts w:ascii="Times New Roman" w:hAnsi="Times New Roman"/>
        </w:rPr>
        <w:t> 6,81</w:t>
      </w:r>
      <w:r w:rsidRPr="00710094">
        <w:rPr>
          <w:rFonts w:ascii="Times New Roman" w:hAnsi="Times New Roman"/>
        </w:rPr>
        <w:t xml:space="preserve"> %</w:t>
      </w:r>
      <w:r>
        <w:rPr>
          <w:rFonts w:ascii="Times New Roman" w:hAnsi="Times New Roman"/>
        </w:rPr>
        <w:t>. Na poklese</w:t>
      </w:r>
      <w:r w:rsidRPr="00710094">
        <w:rPr>
          <w:rFonts w:ascii="Times New Roman" w:hAnsi="Times New Roman"/>
        </w:rPr>
        <w:t xml:space="preserve"> </w:t>
      </w:r>
      <w:r>
        <w:rPr>
          <w:rFonts w:ascii="Times New Roman" w:hAnsi="Times New Roman"/>
        </w:rPr>
        <w:t>sa podieľajú prostriedky štrukturálnych fondov vrátane spolufinancovania, pričom prostriedky zo štátneho rozpočtu a vlastné zdroje rastú.</w:t>
      </w:r>
    </w:p>
    <w:p w:rsidR="006C0389" w:rsidRPr="004160BF" w:rsidP="006C0389">
      <w:pPr>
        <w:bidi w:val="0"/>
        <w:ind w:firstLine="708"/>
        <w:jc w:val="both"/>
        <w:rPr>
          <w:rFonts w:ascii="Times New Roman" w:hAnsi="Times New Roman"/>
          <w:strike/>
          <w:sz w:val="16"/>
          <w:szCs w:val="16"/>
        </w:rPr>
      </w:pPr>
    </w:p>
    <w:p w:rsidR="006C0389" w:rsidRPr="000E4AF3" w:rsidP="006C0389">
      <w:pPr>
        <w:bidi w:val="0"/>
        <w:ind w:firstLine="708"/>
        <w:jc w:val="both"/>
        <w:rPr>
          <w:rFonts w:ascii="Times New Roman" w:hAnsi="Times New Roman"/>
        </w:rPr>
      </w:pPr>
      <w:r w:rsidRPr="00710094">
        <w:rPr>
          <w:rFonts w:ascii="Times New Roman" w:hAnsi="Times New Roman"/>
        </w:rPr>
        <w:t xml:space="preserve">Bežné transfery </w:t>
      </w:r>
      <w:r>
        <w:rPr>
          <w:rFonts w:ascii="Times New Roman" w:hAnsi="Times New Roman"/>
        </w:rPr>
        <w:t>klesajú</w:t>
      </w:r>
      <w:r w:rsidRPr="00710094">
        <w:rPr>
          <w:rFonts w:ascii="Times New Roman" w:hAnsi="Times New Roman"/>
        </w:rPr>
        <w:t xml:space="preserve"> oproti schválenému rozpočtu roku 201</w:t>
      </w:r>
      <w:r>
        <w:rPr>
          <w:rFonts w:ascii="Times New Roman" w:hAnsi="Times New Roman"/>
        </w:rPr>
        <w:t>5</w:t>
      </w:r>
      <w:r w:rsidRPr="00710094">
        <w:rPr>
          <w:rFonts w:ascii="Times New Roman" w:hAnsi="Times New Roman"/>
        </w:rPr>
        <w:t xml:space="preserve"> o</w:t>
      </w:r>
      <w:r>
        <w:rPr>
          <w:rFonts w:ascii="Times New Roman" w:hAnsi="Times New Roman"/>
        </w:rPr>
        <w:t> 5,59</w:t>
      </w:r>
      <w:r w:rsidRPr="00710094">
        <w:rPr>
          <w:rFonts w:ascii="Times New Roman" w:hAnsi="Times New Roman"/>
        </w:rPr>
        <w:t xml:space="preserve"> mil. eur, </w:t>
        <w:br/>
        <w:t>t.</w:t>
      </w:r>
      <w:r>
        <w:rPr>
          <w:rFonts w:ascii="Times New Roman" w:hAnsi="Times New Roman"/>
        </w:rPr>
        <w:t xml:space="preserve"> </w:t>
      </w:r>
      <w:r w:rsidRPr="00710094">
        <w:rPr>
          <w:rFonts w:ascii="Times New Roman" w:hAnsi="Times New Roman"/>
        </w:rPr>
        <w:t>j. o</w:t>
      </w:r>
      <w:r>
        <w:rPr>
          <w:rFonts w:ascii="Times New Roman" w:hAnsi="Times New Roman"/>
        </w:rPr>
        <w:t> 7,28</w:t>
      </w:r>
      <w:r w:rsidRPr="00710094">
        <w:rPr>
          <w:rFonts w:ascii="Times New Roman" w:hAnsi="Times New Roman"/>
        </w:rPr>
        <w:t xml:space="preserve"> %</w:t>
      </w:r>
      <w:r>
        <w:rPr>
          <w:rFonts w:ascii="Times New Roman" w:hAnsi="Times New Roman"/>
        </w:rPr>
        <w:t xml:space="preserve"> z dôvodu nižšej alokácie prostriedkov štrukturálnych fondov vrátane spolufinancovania zo štátneho rozpočtu a prostriedkov štátneho rozpočtu na zabezpečenie sociálnej podpory študentov</w:t>
      </w:r>
      <w:r w:rsidRPr="00710094">
        <w:rPr>
          <w:rFonts w:ascii="Times New Roman" w:hAnsi="Times New Roman"/>
        </w:rPr>
        <w:t xml:space="preserve">. Z bežných transferov sú financované sociálne štipendiá, motivačné štipendiá, </w:t>
      </w:r>
      <w:r>
        <w:rPr>
          <w:rFonts w:ascii="Times New Roman" w:hAnsi="Times New Roman"/>
        </w:rPr>
        <w:t xml:space="preserve">podpora </w:t>
      </w:r>
      <w:r w:rsidRPr="00710094">
        <w:rPr>
          <w:rFonts w:ascii="Times New Roman" w:hAnsi="Times New Roman"/>
        </w:rPr>
        <w:t>športových aktivít študentov a pastoračných centier, členské príspevky medzinárodným organizáciám, odchodné, odstupné, nemocenské dávky, atď.</w:t>
      </w:r>
    </w:p>
    <w:p w:rsidR="006C0389" w:rsidRPr="004160BF" w:rsidP="006C0389">
      <w:pPr>
        <w:bidi w:val="0"/>
        <w:ind w:firstLine="708"/>
        <w:jc w:val="both"/>
        <w:rPr>
          <w:rFonts w:ascii="Times New Roman" w:hAnsi="Times New Roman"/>
          <w:sz w:val="16"/>
          <w:szCs w:val="16"/>
        </w:rPr>
      </w:pPr>
    </w:p>
    <w:p w:rsidR="006C0389" w:rsidP="006C0389">
      <w:pPr>
        <w:bidi w:val="0"/>
        <w:ind w:firstLine="708"/>
        <w:jc w:val="both"/>
        <w:rPr>
          <w:rFonts w:ascii="Times New Roman" w:hAnsi="Times New Roman"/>
        </w:rPr>
      </w:pPr>
      <w:r w:rsidRPr="000E4AF3">
        <w:rPr>
          <w:rFonts w:ascii="Times New Roman" w:hAnsi="Times New Roman"/>
        </w:rPr>
        <w:t>Kapitálové výdavky v roku 201</w:t>
      </w:r>
      <w:r>
        <w:rPr>
          <w:rFonts w:ascii="Times New Roman" w:hAnsi="Times New Roman"/>
        </w:rPr>
        <w:t>6</w:t>
      </w:r>
      <w:r w:rsidRPr="000E4AF3">
        <w:rPr>
          <w:rFonts w:ascii="Times New Roman" w:hAnsi="Times New Roman"/>
        </w:rPr>
        <w:t xml:space="preserve"> oproti schválenému rozpočtu roku 201</w:t>
      </w:r>
      <w:r>
        <w:rPr>
          <w:rFonts w:ascii="Times New Roman" w:hAnsi="Times New Roman"/>
        </w:rPr>
        <w:t>5</w:t>
      </w:r>
      <w:r w:rsidRPr="000E4AF3">
        <w:rPr>
          <w:rFonts w:ascii="Times New Roman" w:hAnsi="Times New Roman"/>
        </w:rPr>
        <w:t xml:space="preserve"> </w:t>
      </w:r>
      <w:r>
        <w:rPr>
          <w:rFonts w:ascii="Times New Roman" w:hAnsi="Times New Roman"/>
        </w:rPr>
        <w:t>klesajú</w:t>
      </w:r>
      <w:r w:rsidRPr="000E4AF3">
        <w:rPr>
          <w:rFonts w:ascii="Times New Roman" w:hAnsi="Times New Roman"/>
        </w:rPr>
        <w:t xml:space="preserve"> o</w:t>
      </w:r>
      <w:r>
        <w:rPr>
          <w:rFonts w:ascii="Times New Roman" w:hAnsi="Times New Roman"/>
        </w:rPr>
        <w:t> 26,1</w:t>
      </w:r>
      <w:r w:rsidRPr="000E4AF3">
        <w:rPr>
          <w:rFonts w:ascii="Times New Roman" w:hAnsi="Times New Roman"/>
        </w:rPr>
        <w:t> mil. eur, t.</w:t>
      </w:r>
      <w:r>
        <w:rPr>
          <w:rFonts w:ascii="Times New Roman" w:hAnsi="Times New Roman"/>
        </w:rPr>
        <w:t xml:space="preserve"> </w:t>
      </w:r>
      <w:r w:rsidRPr="000E4AF3">
        <w:rPr>
          <w:rFonts w:ascii="Times New Roman" w:hAnsi="Times New Roman"/>
        </w:rPr>
        <w:t xml:space="preserve">j. </w:t>
      </w:r>
      <w:r>
        <w:rPr>
          <w:rFonts w:ascii="Times New Roman" w:hAnsi="Times New Roman"/>
        </w:rPr>
        <w:t>o 52,4</w:t>
      </w:r>
      <w:r w:rsidRPr="000E4AF3">
        <w:rPr>
          <w:rFonts w:ascii="Times New Roman" w:hAnsi="Times New Roman"/>
        </w:rPr>
        <w:t xml:space="preserve"> % z dôvodu z</w:t>
      </w:r>
      <w:r>
        <w:rPr>
          <w:rFonts w:ascii="Times New Roman" w:hAnsi="Times New Roman"/>
        </w:rPr>
        <w:t>níženia</w:t>
      </w:r>
      <w:r w:rsidRPr="000E4AF3">
        <w:rPr>
          <w:rFonts w:ascii="Times New Roman" w:hAnsi="Times New Roman"/>
        </w:rPr>
        <w:t xml:space="preserve"> rozpočtu prostriedkov Európskej únie vrátane spolufinancovania zo štátneho rozpočtu</w:t>
      </w:r>
      <w:r>
        <w:rPr>
          <w:rFonts w:ascii="Times New Roman" w:hAnsi="Times New Roman"/>
        </w:rPr>
        <w:t>, pričom kapitálové výdavky štátneho rozpočtu kopírujú úroveň schváleného rozpočtu roku 2015</w:t>
      </w:r>
      <w:r w:rsidRPr="000E4AF3">
        <w:rPr>
          <w:rFonts w:ascii="Times New Roman" w:hAnsi="Times New Roman"/>
        </w:rPr>
        <w:t>. Kapitálové výdavky sú určené na riešenie infraštruktúry verejných vysokých škôl</w:t>
      </w:r>
      <w:r w:rsidR="00987A71">
        <w:rPr>
          <w:rFonts w:ascii="Times New Roman" w:hAnsi="Times New Roman"/>
        </w:rPr>
        <w:t>,</w:t>
      </w:r>
      <w:r w:rsidRPr="000E4AF3">
        <w:rPr>
          <w:rFonts w:ascii="Times New Roman" w:hAnsi="Times New Roman"/>
        </w:rPr>
        <w:t xml:space="preserve"> vrátane rekonštrukcií budov.</w:t>
      </w:r>
    </w:p>
    <w:p w:rsidR="006C0389" w:rsidRPr="00BA2519" w:rsidP="006C0389">
      <w:pPr>
        <w:bidi w:val="0"/>
        <w:ind w:firstLine="708"/>
        <w:jc w:val="both"/>
        <w:rPr>
          <w:rFonts w:ascii="Times New Roman" w:hAnsi="Times New Roman"/>
          <w:sz w:val="16"/>
          <w:szCs w:val="16"/>
        </w:rPr>
      </w:pPr>
    </w:p>
    <w:p w:rsidR="006C0389" w:rsidRPr="000E4AF3" w:rsidP="006C0389">
      <w:pPr>
        <w:tabs>
          <w:tab w:val="left" w:pos="0"/>
        </w:tabs>
        <w:bidi w:val="0"/>
        <w:jc w:val="both"/>
        <w:rPr>
          <w:rFonts w:ascii="Times New Roman" w:hAnsi="Times New Roman"/>
        </w:rPr>
      </w:pPr>
      <w:r w:rsidRPr="000E4AF3">
        <w:rPr>
          <w:rFonts w:ascii="Times New Roman" w:hAnsi="Times New Roman"/>
        </w:rPr>
        <w:tab/>
        <w:t xml:space="preserve">Celkový hotovostný prebytok verejných vysokých škôl sa </w:t>
      </w:r>
      <w:r>
        <w:rPr>
          <w:rFonts w:ascii="Times New Roman" w:hAnsi="Times New Roman"/>
        </w:rPr>
        <w:t>každoročne v</w:t>
      </w:r>
      <w:r w:rsidRPr="000E4AF3">
        <w:rPr>
          <w:rFonts w:ascii="Times New Roman" w:hAnsi="Times New Roman"/>
        </w:rPr>
        <w:t xml:space="preserve"> rok</w:t>
      </w:r>
      <w:r>
        <w:rPr>
          <w:rFonts w:ascii="Times New Roman" w:hAnsi="Times New Roman"/>
        </w:rPr>
        <w:t>och</w:t>
      </w:r>
      <w:r w:rsidRPr="000E4AF3">
        <w:rPr>
          <w:rFonts w:ascii="Times New Roman" w:hAnsi="Times New Roman"/>
        </w:rPr>
        <w:t xml:space="preserve"> 201</w:t>
      </w:r>
      <w:r>
        <w:rPr>
          <w:rFonts w:ascii="Times New Roman" w:hAnsi="Times New Roman"/>
        </w:rPr>
        <w:t>6</w:t>
      </w:r>
      <w:r w:rsidRPr="000E4AF3">
        <w:rPr>
          <w:rFonts w:ascii="Times New Roman" w:hAnsi="Times New Roman"/>
        </w:rPr>
        <w:t xml:space="preserve"> </w:t>
      </w:r>
      <w:r>
        <w:rPr>
          <w:rFonts w:ascii="Times New Roman" w:hAnsi="Times New Roman"/>
        </w:rPr>
        <w:t xml:space="preserve">až 2018 </w:t>
      </w:r>
      <w:r w:rsidRPr="000E4AF3">
        <w:rPr>
          <w:rFonts w:ascii="Times New Roman" w:hAnsi="Times New Roman"/>
        </w:rPr>
        <w:t xml:space="preserve">predpokladá vo výške </w:t>
      </w:r>
      <w:r>
        <w:rPr>
          <w:rFonts w:ascii="Times New Roman" w:hAnsi="Times New Roman"/>
        </w:rPr>
        <w:t>264</w:t>
      </w:r>
      <w:r w:rsidRPr="000E4AF3">
        <w:rPr>
          <w:rFonts w:ascii="Times New Roman" w:hAnsi="Times New Roman"/>
        </w:rPr>
        <w:t xml:space="preserve"> mil. eur.  V metodike ESA </w:t>
      </w:r>
      <w:r>
        <w:rPr>
          <w:rFonts w:ascii="Times New Roman" w:hAnsi="Times New Roman"/>
        </w:rPr>
        <w:t>2010</w:t>
      </w:r>
      <w:r w:rsidRPr="000E4AF3">
        <w:rPr>
          <w:rFonts w:ascii="Times New Roman" w:hAnsi="Times New Roman"/>
        </w:rPr>
        <w:t xml:space="preserve"> je rozpočtovaný prebytok hospodárenia v rok</w:t>
      </w:r>
      <w:r>
        <w:rPr>
          <w:rFonts w:ascii="Times New Roman" w:hAnsi="Times New Roman"/>
        </w:rPr>
        <w:t>och</w:t>
      </w:r>
      <w:r w:rsidRPr="000E4AF3">
        <w:rPr>
          <w:rFonts w:ascii="Times New Roman" w:hAnsi="Times New Roman"/>
        </w:rPr>
        <w:t xml:space="preserve"> 201</w:t>
      </w:r>
      <w:r>
        <w:rPr>
          <w:rFonts w:ascii="Times New Roman" w:hAnsi="Times New Roman"/>
        </w:rPr>
        <w:t>6 až 2018 každoročne</w:t>
      </w:r>
      <w:r w:rsidRPr="000E4AF3">
        <w:rPr>
          <w:rFonts w:ascii="Times New Roman" w:hAnsi="Times New Roman"/>
        </w:rPr>
        <w:t xml:space="preserve"> vo výške </w:t>
      </w:r>
      <w:r>
        <w:rPr>
          <w:rFonts w:ascii="Times New Roman" w:hAnsi="Times New Roman"/>
        </w:rPr>
        <w:t>101 tis.</w:t>
      </w:r>
      <w:r w:rsidRPr="000E4AF3">
        <w:rPr>
          <w:rFonts w:ascii="Times New Roman" w:hAnsi="Times New Roman"/>
        </w:rPr>
        <w:t xml:space="preserve"> eur. </w:t>
      </w:r>
    </w:p>
    <w:p w:rsidR="006C0389" w:rsidP="006C0389">
      <w:pPr>
        <w:bidi w:val="0"/>
        <w:jc w:val="both"/>
        <w:rPr>
          <w:rFonts w:ascii="Times New Roman" w:hAnsi="Times New Roman"/>
        </w:rPr>
      </w:pPr>
    </w:p>
    <w:p w:rsidR="00F60DFD" w:rsidRPr="00DC10B8" w:rsidP="00F60DFD">
      <w:pPr>
        <w:bidi w:val="0"/>
        <w:rPr>
          <w:rFonts w:ascii="Times New Roman" w:hAnsi="Times New Roman"/>
        </w:rPr>
      </w:pPr>
      <w:r w:rsidRPr="0056179B">
        <w:rPr>
          <w:rFonts w:ascii="Times New Roman" w:hAnsi="Times New Roman"/>
          <w:b/>
          <w:bCs/>
        </w:rPr>
        <w:t>10.  Príspevkové organizácie v pôsobnosti štátu, obcí a VÚC</w:t>
      </w:r>
    </w:p>
    <w:p w:rsidR="00F60DFD" w:rsidRPr="00F60DFD" w:rsidP="00F60DFD">
      <w:pPr>
        <w:bidi w:val="0"/>
        <w:rPr>
          <w:rFonts w:ascii="Times New Roman" w:hAnsi="Times New Roman"/>
          <w:strike/>
          <w:sz w:val="16"/>
          <w:szCs w:val="16"/>
        </w:rPr>
      </w:pPr>
      <w:r w:rsidRPr="00DC10B8">
        <w:rPr>
          <w:rFonts w:ascii="Times New Roman" w:hAnsi="Times New Roman"/>
          <w:b/>
          <w:bCs/>
        </w:rPr>
        <w:t> </w:t>
      </w:r>
    </w:p>
    <w:p w:rsidR="00F60DFD" w:rsidRPr="00DC10B8" w:rsidP="00F60DFD">
      <w:pPr>
        <w:bidi w:val="0"/>
        <w:ind w:firstLine="708"/>
        <w:jc w:val="both"/>
        <w:rPr>
          <w:rFonts w:ascii="Times New Roman" w:hAnsi="Times New Roman"/>
        </w:rPr>
      </w:pPr>
      <w:r>
        <w:rPr>
          <w:rFonts w:ascii="Times New Roman" w:hAnsi="Times New Roman"/>
        </w:rPr>
        <w:t>Do návrhu</w:t>
      </w:r>
      <w:r w:rsidRPr="00DC10B8">
        <w:rPr>
          <w:rFonts w:ascii="Times New Roman" w:hAnsi="Times New Roman"/>
        </w:rPr>
        <w:t xml:space="preserve"> rozpočtu verejnej správy na roky 201</w:t>
      </w:r>
      <w:r>
        <w:rPr>
          <w:rFonts w:ascii="Times New Roman" w:hAnsi="Times New Roman"/>
        </w:rPr>
        <w:t>6 až 2018 sa započítavajú a</w:t>
      </w:r>
      <w:r w:rsidRPr="00DC10B8">
        <w:rPr>
          <w:rFonts w:ascii="Times New Roman" w:hAnsi="Times New Roman"/>
        </w:rPr>
        <w:t xml:space="preserve">j návrhy rozpočtov príspevkových organizácií, ktoré sú v súlade s jednotnou metodikou, platnou pre Európsku úniu, zaradené do sektora verejnej správy. Zaraďovanie subjektov verejnej správy do príslušných sektorov ekonomiky, ako aj plnenie podmienok pre zaraďovanie subjektov do sektora verejnej správy, je v pôsobnosti Štatistického úradu SR v súlade so zákonom </w:t>
      </w:r>
      <w:r>
        <w:rPr>
          <w:rFonts w:ascii="Times New Roman" w:hAnsi="Times New Roman"/>
        </w:rPr>
        <w:t xml:space="preserve">            </w:t>
      </w:r>
      <w:r w:rsidRPr="00DC10B8">
        <w:rPr>
          <w:rFonts w:ascii="Times New Roman" w:hAnsi="Times New Roman"/>
        </w:rPr>
        <w:t xml:space="preserve">č. 540/2001 Z. z. o štátnej štatistike. </w:t>
      </w:r>
    </w:p>
    <w:p w:rsidR="00F60DFD" w:rsidRPr="004160BF" w:rsidP="00F60DFD">
      <w:pPr>
        <w:bidi w:val="0"/>
        <w:ind w:firstLine="708"/>
        <w:jc w:val="both"/>
        <w:rPr>
          <w:rFonts w:ascii="Times New Roman" w:hAnsi="Times New Roman"/>
          <w:sz w:val="16"/>
          <w:szCs w:val="16"/>
        </w:rPr>
      </w:pPr>
    </w:p>
    <w:p w:rsidR="00F60DFD" w:rsidP="00F60DFD">
      <w:pPr>
        <w:bidi w:val="0"/>
        <w:ind w:firstLine="708"/>
        <w:jc w:val="both"/>
        <w:rPr>
          <w:rFonts w:ascii="Times New Roman" w:hAnsi="Times New Roman"/>
        </w:rPr>
      </w:pPr>
      <w:r w:rsidRPr="00DC10B8">
        <w:rPr>
          <w:rFonts w:ascii="Times New Roman" w:hAnsi="Times New Roman"/>
        </w:rPr>
        <w:t>Vývoj  príjmovej  a  výdavkovej   časti  rozpočtu  príspevkových  organizácií  sektora verejnej správy na roky 201</w:t>
      </w:r>
      <w:r>
        <w:rPr>
          <w:rFonts w:ascii="Times New Roman" w:hAnsi="Times New Roman"/>
        </w:rPr>
        <w:t>6</w:t>
      </w:r>
      <w:r w:rsidRPr="00DC10B8">
        <w:rPr>
          <w:rFonts w:ascii="Times New Roman" w:hAnsi="Times New Roman"/>
        </w:rPr>
        <w:t xml:space="preserve"> až 201</w:t>
      </w:r>
      <w:r>
        <w:rPr>
          <w:rFonts w:ascii="Times New Roman" w:hAnsi="Times New Roman"/>
        </w:rPr>
        <w:t>8</w:t>
      </w:r>
      <w:r w:rsidRPr="00DC10B8">
        <w:rPr>
          <w:rFonts w:ascii="Times New Roman" w:hAnsi="Times New Roman"/>
        </w:rPr>
        <w:t xml:space="preserve"> je nasledovný: </w:t>
      </w:r>
    </w:p>
    <w:p w:rsidR="00F60DFD" w:rsidRPr="00F60DFD" w:rsidP="00F60DFD">
      <w:pPr>
        <w:bidi w:val="0"/>
        <w:jc w:val="both"/>
        <w:rPr>
          <w:rFonts w:ascii="Times New Roman" w:hAnsi="Times New Roman"/>
          <w:sz w:val="16"/>
          <w:szCs w:val="16"/>
        </w:rPr>
      </w:pPr>
    </w:p>
    <w:tbl>
      <w:tblPr>
        <w:tblStyle w:val="TableNormal"/>
        <w:tblW w:w="9000" w:type="dxa"/>
        <w:tblInd w:w="55" w:type="dxa"/>
        <w:tblCellMar>
          <w:left w:w="70" w:type="dxa"/>
          <w:right w:w="70" w:type="dxa"/>
        </w:tblCellMar>
        <w:tblLook w:val="04A0"/>
      </w:tblPr>
      <w:tblGrid>
        <w:gridCol w:w="3400"/>
        <w:gridCol w:w="800"/>
        <w:gridCol w:w="800"/>
        <w:gridCol w:w="800"/>
        <w:gridCol w:w="800"/>
        <w:gridCol w:w="800"/>
        <w:gridCol w:w="800"/>
        <w:gridCol w:w="800"/>
      </w:tblGrid>
      <w:tr>
        <w:tblPrEx>
          <w:tblW w:w="9000" w:type="dxa"/>
          <w:tblInd w:w="55" w:type="dxa"/>
          <w:tblCellMar>
            <w:left w:w="70" w:type="dxa"/>
            <w:right w:w="70" w:type="dxa"/>
          </w:tblCellMar>
          <w:tblLook w:val="04A0"/>
        </w:tblPrEx>
        <w:trPr>
          <w:trHeight w:val="240"/>
        </w:trPr>
        <w:tc>
          <w:tcPr>
            <w:tcW w:w="3400"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F60DFD" w:rsidRPr="00987A71" w:rsidP="00AA4107">
            <w:pPr>
              <w:bidi w:val="0"/>
              <w:rPr>
                <w:rFonts w:ascii="Times New Roman" w:hAnsi="Times New Roman"/>
                <w:b/>
                <w:bCs/>
                <w:sz w:val="16"/>
                <w:szCs w:val="16"/>
              </w:rPr>
            </w:pPr>
            <w:r w:rsidRPr="00987A71">
              <w:rPr>
                <w:rFonts w:ascii="Times New Roman" w:hAnsi="Times New Roman"/>
                <w:b/>
                <w:bCs/>
                <w:sz w:val="16"/>
                <w:szCs w:val="16"/>
              </w:rPr>
              <w:t>V tis. eur</w:t>
            </w:r>
          </w:p>
        </w:tc>
        <w:tc>
          <w:tcPr>
            <w:tcW w:w="8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F60DFD" w:rsidRPr="00987A71" w:rsidP="00AA4107">
            <w:pPr>
              <w:bidi w:val="0"/>
              <w:jc w:val="center"/>
              <w:rPr>
                <w:rFonts w:ascii="Times New Roman" w:hAnsi="Times New Roman"/>
                <w:b/>
                <w:bCs/>
                <w:sz w:val="16"/>
                <w:szCs w:val="16"/>
              </w:rPr>
            </w:pPr>
            <w:r w:rsidRPr="00987A71">
              <w:rPr>
                <w:rFonts w:ascii="Times New Roman" w:hAnsi="Times New Roman"/>
                <w:b/>
                <w:bCs/>
                <w:sz w:val="16"/>
                <w:szCs w:val="16"/>
              </w:rPr>
              <w:t>2013 S</w:t>
            </w:r>
          </w:p>
        </w:tc>
        <w:tc>
          <w:tcPr>
            <w:tcW w:w="8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F60DFD" w:rsidRPr="00987A71" w:rsidP="00AA4107">
            <w:pPr>
              <w:bidi w:val="0"/>
              <w:jc w:val="center"/>
              <w:rPr>
                <w:rFonts w:ascii="Times New Roman" w:hAnsi="Times New Roman"/>
                <w:b/>
                <w:bCs/>
                <w:sz w:val="16"/>
                <w:szCs w:val="16"/>
              </w:rPr>
            </w:pPr>
            <w:r w:rsidRPr="00987A71">
              <w:rPr>
                <w:rFonts w:ascii="Times New Roman" w:hAnsi="Times New Roman"/>
                <w:b/>
                <w:bCs/>
                <w:sz w:val="16"/>
                <w:szCs w:val="16"/>
              </w:rPr>
              <w:t>2014 S</w:t>
            </w:r>
          </w:p>
        </w:tc>
        <w:tc>
          <w:tcPr>
            <w:tcW w:w="8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F60DFD" w:rsidRPr="00987A71" w:rsidP="00AA4107">
            <w:pPr>
              <w:bidi w:val="0"/>
              <w:jc w:val="center"/>
              <w:rPr>
                <w:rFonts w:ascii="Times New Roman" w:hAnsi="Times New Roman"/>
                <w:b/>
                <w:bCs/>
                <w:sz w:val="16"/>
                <w:szCs w:val="16"/>
              </w:rPr>
            </w:pPr>
            <w:r w:rsidRPr="00987A71">
              <w:rPr>
                <w:rFonts w:ascii="Times New Roman" w:hAnsi="Times New Roman"/>
                <w:b/>
                <w:bCs/>
                <w:sz w:val="16"/>
                <w:szCs w:val="16"/>
              </w:rPr>
              <w:t>2015 R</w:t>
            </w:r>
          </w:p>
        </w:tc>
        <w:tc>
          <w:tcPr>
            <w:tcW w:w="8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F60DFD" w:rsidRPr="00987A71" w:rsidP="00AA4107">
            <w:pPr>
              <w:bidi w:val="0"/>
              <w:jc w:val="center"/>
              <w:rPr>
                <w:rFonts w:ascii="Times New Roman" w:hAnsi="Times New Roman"/>
                <w:b/>
                <w:bCs/>
                <w:sz w:val="16"/>
                <w:szCs w:val="16"/>
              </w:rPr>
            </w:pPr>
            <w:r w:rsidRPr="00987A71">
              <w:rPr>
                <w:rFonts w:ascii="Times New Roman" w:hAnsi="Times New Roman"/>
                <w:b/>
                <w:bCs/>
                <w:sz w:val="16"/>
                <w:szCs w:val="16"/>
              </w:rPr>
              <w:t>2015 OS</w:t>
            </w:r>
          </w:p>
        </w:tc>
        <w:tc>
          <w:tcPr>
            <w:tcW w:w="8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F60DFD" w:rsidRPr="00987A71" w:rsidP="00AA4107">
            <w:pPr>
              <w:bidi w:val="0"/>
              <w:jc w:val="center"/>
              <w:rPr>
                <w:rFonts w:ascii="Times New Roman" w:hAnsi="Times New Roman"/>
                <w:b/>
                <w:bCs/>
                <w:sz w:val="16"/>
                <w:szCs w:val="16"/>
              </w:rPr>
            </w:pPr>
            <w:r w:rsidRPr="00987A71">
              <w:rPr>
                <w:rFonts w:ascii="Times New Roman" w:hAnsi="Times New Roman"/>
                <w:b/>
                <w:bCs/>
                <w:sz w:val="16"/>
                <w:szCs w:val="16"/>
              </w:rPr>
              <w:t>2016 N</w:t>
            </w:r>
          </w:p>
        </w:tc>
        <w:tc>
          <w:tcPr>
            <w:tcW w:w="8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F60DFD" w:rsidRPr="00987A71" w:rsidP="00AA4107">
            <w:pPr>
              <w:bidi w:val="0"/>
              <w:jc w:val="center"/>
              <w:rPr>
                <w:rFonts w:ascii="Times New Roman" w:hAnsi="Times New Roman"/>
                <w:b/>
                <w:bCs/>
                <w:sz w:val="16"/>
                <w:szCs w:val="16"/>
              </w:rPr>
            </w:pPr>
            <w:r w:rsidRPr="00987A71">
              <w:rPr>
                <w:rFonts w:ascii="Times New Roman" w:hAnsi="Times New Roman"/>
                <w:b/>
                <w:bCs/>
                <w:sz w:val="16"/>
                <w:szCs w:val="16"/>
              </w:rPr>
              <w:t>2017 N</w:t>
            </w:r>
          </w:p>
        </w:tc>
        <w:tc>
          <w:tcPr>
            <w:tcW w:w="800"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F60DFD" w:rsidRPr="00987A71" w:rsidP="00AA4107">
            <w:pPr>
              <w:bidi w:val="0"/>
              <w:jc w:val="center"/>
              <w:rPr>
                <w:rFonts w:ascii="Times New Roman" w:hAnsi="Times New Roman"/>
                <w:b/>
                <w:bCs/>
                <w:sz w:val="16"/>
                <w:szCs w:val="16"/>
              </w:rPr>
            </w:pPr>
            <w:r w:rsidRPr="00987A71">
              <w:rPr>
                <w:rFonts w:ascii="Times New Roman" w:hAnsi="Times New Roman"/>
                <w:b/>
                <w:bCs/>
                <w:sz w:val="16"/>
                <w:szCs w:val="16"/>
              </w:rPr>
              <w:t>2018 N</w:t>
            </w:r>
          </w:p>
        </w:tc>
      </w:tr>
      <w:tr>
        <w:tblPrEx>
          <w:tblW w:w="9000" w:type="dxa"/>
          <w:tblInd w:w="55" w:type="dxa"/>
          <w:tblCellMar>
            <w:left w:w="70" w:type="dxa"/>
            <w:right w:w="70" w:type="dxa"/>
          </w:tblCellMar>
          <w:tblLook w:val="04A0"/>
        </w:tblPrEx>
        <w:trPr>
          <w:trHeight w:val="240"/>
        </w:trPr>
        <w:tc>
          <w:tcPr>
            <w:tcW w:w="3400" w:type="dxa"/>
            <w:tcBorders>
              <w:top w:val="nil"/>
              <w:left w:val="single" w:sz="4" w:space="0" w:color="auto"/>
              <w:bottom w:val="single" w:sz="4" w:space="0" w:color="auto"/>
              <w:right w:val="single" w:sz="4" w:space="0" w:color="auto"/>
            </w:tcBorders>
            <w:shd w:val="clear" w:color="auto" w:fill="BFBFBF"/>
            <w:noWrap/>
            <w:textDirection w:val="lrTb"/>
            <w:vAlign w:val="bottom"/>
            <w:hideMark/>
          </w:tcPr>
          <w:p w:rsidR="00F60DFD" w:rsidRPr="00987A71" w:rsidP="00AA4107">
            <w:pPr>
              <w:bidi w:val="0"/>
              <w:rPr>
                <w:rFonts w:ascii="Times New Roman" w:hAnsi="Times New Roman"/>
                <w:b/>
                <w:bCs/>
                <w:sz w:val="16"/>
                <w:szCs w:val="16"/>
              </w:rPr>
            </w:pPr>
            <w:r w:rsidRPr="00987A71">
              <w:rPr>
                <w:rFonts w:ascii="Times New Roman" w:hAnsi="Times New Roman"/>
                <w:b/>
                <w:bCs/>
                <w:sz w:val="16"/>
                <w:szCs w:val="16"/>
              </w:rPr>
              <w:t>Príjmy PO spolu</w:t>
            </w:r>
          </w:p>
        </w:tc>
        <w:tc>
          <w:tcPr>
            <w:tcW w:w="800" w:type="dxa"/>
            <w:tcBorders>
              <w:top w:val="nil"/>
              <w:left w:val="nil"/>
              <w:bottom w:val="single" w:sz="4" w:space="0" w:color="auto"/>
              <w:right w:val="single" w:sz="4" w:space="0" w:color="auto"/>
            </w:tcBorders>
            <w:shd w:val="clear" w:color="auto" w:fill="BFBFBF"/>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912 195</w:t>
            </w:r>
          </w:p>
        </w:tc>
        <w:tc>
          <w:tcPr>
            <w:tcW w:w="800" w:type="dxa"/>
            <w:tcBorders>
              <w:top w:val="nil"/>
              <w:left w:val="nil"/>
              <w:bottom w:val="single" w:sz="4" w:space="0" w:color="auto"/>
              <w:right w:val="single" w:sz="4" w:space="0" w:color="auto"/>
            </w:tcBorders>
            <w:shd w:val="clear" w:color="auto" w:fill="BFBFBF"/>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965 811</w:t>
            </w:r>
          </w:p>
        </w:tc>
        <w:tc>
          <w:tcPr>
            <w:tcW w:w="800" w:type="dxa"/>
            <w:tcBorders>
              <w:top w:val="nil"/>
              <w:left w:val="nil"/>
              <w:bottom w:val="single" w:sz="4" w:space="0" w:color="auto"/>
              <w:right w:val="single" w:sz="4" w:space="0" w:color="auto"/>
            </w:tcBorders>
            <w:shd w:val="clear" w:color="auto" w:fill="BFBFBF"/>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736 176</w:t>
            </w:r>
          </w:p>
        </w:tc>
        <w:tc>
          <w:tcPr>
            <w:tcW w:w="800" w:type="dxa"/>
            <w:tcBorders>
              <w:top w:val="nil"/>
              <w:left w:val="nil"/>
              <w:bottom w:val="single" w:sz="4" w:space="0" w:color="auto"/>
              <w:right w:val="single" w:sz="4" w:space="0" w:color="auto"/>
            </w:tcBorders>
            <w:shd w:val="clear" w:color="auto" w:fill="BFBFBF"/>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946 923</w:t>
            </w:r>
          </w:p>
        </w:tc>
        <w:tc>
          <w:tcPr>
            <w:tcW w:w="800" w:type="dxa"/>
            <w:tcBorders>
              <w:top w:val="nil"/>
              <w:left w:val="nil"/>
              <w:bottom w:val="single" w:sz="4" w:space="0" w:color="auto"/>
              <w:right w:val="single" w:sz="4" w:space="0" w:color="auto"/>
            </w:tcBorders>
            <w:shd w:val="clear" w:color="auto" w:fill="BFBFBF"/>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781 622</w:t>
            </w:r>
          </w:p>
        </w:tc>
        <w:tc>
          <w:tcPr>
            <w:tcW w:w="800" w:type="dxa"/>
            <w:tcBorders>
              <w:top w:val="nil"/>
              <w:left w:val="nil"/>
              <w:bottom w:val="single" w:sz="4" w:space="0" w:color="auto"/>
              <w:right w:val="single" w:sz="4" w:space="0" w:color="auto"/>
            </w:tcBorders>
            <w:shd w:val="clear" w:color="auto" w:fill="BFBFBF"/>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779 340</w:t>
            </w:r>
          </w:p>
        </w:tc>
        <w:tc>
          <w:tcPr>
            <w:tcW w:w="800" w:type="dxa"/>
            <w:tcBorders>
              <w:top w:val="nil"/>
              <w:left w:val="nil"/>
              <w:bottom w:val="single" w:sz="4" w:space="0" w:color="auto"/>
              <w:right w:val="single" w:sz="4" w:space="0" w:color="auto"/>
            </w:tcBorders>
            <w:shd w:val="clear" w:color="auto" w:fill="BFBFBF"/>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785 220</w:t>
            </w:r>
          </w:p>
        </w:tc>
      </w:tr>
      <w:tr>
        <w:tblPrEx>
          <w:tblW w:w="9000" w:type="dxa"/>
          <w:tblInd w:w="55" w:type="dxa"/>
          <w:tblCellMar>
            <w:left w:w="70" w:type="dxa"/>
            <w:right w:w="70" w:type="dxa"/>
          </w:tblCellMar>
          <w:tblLook w:val="04A0"/>
        </w:tblPrEx>
        <w:trPr>
          <w:trHeight w:val="240"/>
        </w:trPr>
        <w:tc>
          <w:tcPr>
            <w:tcW w:w="3400" w:type="dxa"/>
            <w:tcBorders>
              <w:top w:val="nil"/>
              <w:left w:val="single" w:sz="4" w:space="0" w:color="auto"/>
              <w:bottom w:val="single" w:sz="4" w:space="0" w:color="auto"/>
              <w:right w:val="single" w:sz="4" w:space="0" w:color="auto"/>
            </w:tcBorders>
            <w:noWrap/>
            <w:textDirection w:val="lrTb"/>
            <w:vAlign w:val="bottom"/>
            <w:hideMark/>
          </w:tcPr>
          <w:p w:rsidR="00F60DFD" w:rsidRPr="00987A71" w:rsidP="00AA4107">
            <w:pPr>
              <w:bidi w:val="0"/>
              <w:rPr>
                <w:rFonts w:ascii="Times New Roman" w:hAnsi="Times New Roman"/>
                <w:sz w:val="16"/>
                <w:szCs w:val="16"/>
              </w:rPr>
            </w:pPr>
            <w:r w:rsidRPr="00987A71">
              <w:rPr>
                <w:rFonts w:ascii="Times New Roman" w:hAnsi="Times New Roman"/>
                <w:sz w:val="16"/>
                <w:szCs w:val="16"/>
              </w:rPr>
              <w:t>▪   nedaňové príjmy</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183 799</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184 896</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162 832</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162 832</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180 699</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171 986</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173 998</w:t>
            </w:r>
          </w:p>
        </w:tc>
      </w:tr>
      <w:tr>
        <w:tblPrEx>
          <w:tblW w:w="9000" w:type="dxa"/>
          <w:tblInd w:w="55" w:type="dxa"/>
          <w:tblCellMar>
            <w:left w:w="70" w:type="dxa"/>
            <w:right w:w="70" w:type="dxa"/>
          </w:tblCellMar>
          <w:tblLook w:val="04A0"/>
        </w:tblPrEx>
        <w:trPr>
          <w:trHeight w:val="240"/>
        </w:trPr>
        <w:tc>
          <w:tcPr>
            <w:tcW w:w="3400" w:type="dxa"/>
            <w:tcBorders>
              <w:top w:val="nil"/>
              <w:left w:val="single" w:sz="4" w:space="0" w:color="auto"/>
              <w:bottom w:val="single" w:sz="4" w:space="0" w:color="auto"/>
              <w:right w:val="single" w:sz="4" w:space="0" w:color="auto"/>
            </w:tcBorders>
            <w:noWrap/>
            <w:textDirection w:val="lrTb"/>
            <w:vAlign w:val="bottom"/>
            <w:hideMark/>
          </w:tcPr>
          <w:p w:rsidR="00F60DFD" w:rsidRPr="00987A71" w:rsidP="00AA4107">
            <w:pPr>
              <w:bidi w:val="0"/>
              <w:rPr>
                <w:rFonts w:ascii="Times New Roman" w:hAnsi="Times New Roman"/>
                <w:sz w:val="16"/>
                <w:szCs w:val="16"/>
              </w:rPr>
            </w:pPr>
            <w:r w:rsidRPr="00987A71">
              <w:rPr>
                <w:rFonts w:ascii="Times New Roman" w:hAnsi="Times New Roman"/>
                <w:sz w:val="16"/>
                <w:szCs w:val="16"/>
              </w:rPr>
              <w:t>▪   granty a transfery</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705 927</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747 319</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546 432</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757 179</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573 979</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579 659</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582 766</w:t>
            </w:r>
          </w:p>
        </w:tc>
      </w:tr>
      <w:tr>
        <w:tblPrEx>
          <w:tblW w:w="9000" w:type="dxa"/>
          <w:tblInd w:w="55" w:type="dxa"/>
          <w:tblCellMar>
            <w:left w:w="70" w:type="dxa"/>
            <w:right w:w="70" w:type="dxa"/>
          </w:tblCellMar>
          <w:tblLook w:val="04A0"/>
        </w:tblPrEx>
        <w:trPr>
          <w:trHeight w:val="240"/>
        </w:trPr>
        <w:tc>
          <w:tcPr>
            <w:tcW w:w="3400" w:type="dxa"/>
            <w:tcBorders>
              <w:top w:val="nil"/>
              <w:left w:val="single" w:sz="4" w:space="0" w:color="auto"/>
              <w:bottom w:val="single" w:sz="4" w:space="0" w:color="auto"/>
              <w:right w:val="single" w:sz="4" w:space="0" w:color="auto"/>
            </w:tcBorders>
            <w:noWrap/>
            <w:textDirection w:val="lrTb"/>
            <w:vAlign w:val="bottom"/>
            <w:hideMark/>
          </w:tcPr>
          <w:p w:rsidR="00F60DFD" w:rsidRPr="00987A71" w:rsidP="00AA4107">
            <w:pPr>
              <w:bidi w:val="0"/>
              <w:rPr>
                <w:rFonts w:ascii="Times New Roman" w:hAnsi="Times New Roman"/>
                <w:sz w:val="16"/>
                <w:szCs w:val="16"/>
              </w:rPr>
            </w:pPr>
            <w:r w:rsidRPr="00987A71">
              <w:rPr>
                <w:rFonts w:ascii="Times New Roman" w:hAnsi="Times New Roman"/>
                <w:sz w:val="16"/>
                <w:szCs w:val="16"/>
              </w:rPr>
              <w:t>▪   príjmové finančné operácie</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22 469</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33 596</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26 912</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26 912</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26 944</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27 695</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28 456</w:t>
            </w:r>
          </w:p>
        </w:tc>
      </w:tr>
      <w:tr>
        <w:tblPrEx>
          <w:tblW w:w="9000" w:type="dxa"/>
          <w:tblInd w:w="55" w:type="dxa"/>
          <w:tblCellMar>
            <w:left w:w="70" w:type="dxa"/>
            <w:right w:w="70" w:type="dxa"/>
          </w:tblCellMar>
          <w:tblLook w:val="04A0"/>
        </w:tblPrEx>
        <w:trPr>
          <w:trHeight w:val="240"/>
        </w:trPr>
        <w:tc>
          <w:tcPr>
            <w:tcW w:w="3400" w:type="dxa"/>
            <w:tcBorders>
              <w:top w:val="nil"/>
              <w:left w:val="single" w:sz="4" w:space="0" w:color="auto"/>
              <w:bottom w:val="single" w:sz="4" w:space="0" w:color="auto"/>
              <w:right w:val="single" w:sz="4" w:space="0" w:color="auto"/>
            </w:tcBorders>
            <w:shd w:val="clear" w:color="000000" w:fill="C0C0C0"/>
            <w:noWrap/>
            <w:textDirection w:val="lrTb"/>
            <w:vAlign w:val="bottom"/>
            <w:hideMark/>
          </w:tcPr>
          <w:p w:rsidR="00F60DFD" w:rsidRPr="00987A71" w:rsidP="00AA4107">
            <w:pPr>
              <w:bidi w:val="0"/>
              <w:rPr>
                <w:rFonts w:ascii="Times New Roman" w:hAnsi="Times New Roman"/>
                <w:b/>
                <w:bCs/>
                <w:sz w:val="16"/>
                <w:szCs w:val="16"/>
              </w:rPr>
            </w:pPr>
            <w:r w:rsidRPr="00987A71">
              <w:rPr>
                <w:rFonts w:ascii="Times New Roman" w:hAnsi="Times New Roman"/>
                <w:b/>
                <w:bCs/>
                <w:sz w:val="16"/>
                <w:szCs w:val="16"/>
              </w:rPr>
              <w:t>Výdavky PO spolu</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866 194</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923 862</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710 393</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921 140</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756 045</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749 537</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755 120</w:t>
            </w:r>
          </w:p>
        </w:tc>
      </w:tr>
      <w:tr>
        <w:tblPrEx>
          <w:tblW w:w="9000" w:type="dxa"/>
          <w:tblInd w:w="55" w:type="dxa"/>
          <w:tblCellMar>
            <w:left w:w="70" w:type="dxa"/>
            <w:right w:w="70" w:type="dxa"/>
          </w:tblCellMar>
          <w:tblLook w:val="04A0"/>
        </w:tblPrEx>
        <w:trPr>
          <w:trHeight w:val="240"/>
        </w:trPr>
        <w:tc>
          <w:tcPr>
            <w:tcW w:w="3400" w:type="dxa"/>
            <w:tcBorders>
              <w:top w:val="nil"/>
              <w:left w:val="single" w:sz="4" w:space="0" w:color="auto"/>
              <w:bottom w:val="single" w:sz="4" w:space="0" w:color="auto"/>
              <w:right w:val="single" w:sz="4" w:space="0" w:color="auto"/>
            </w:tcBorders>
            <w:noWrap/>
            <w:textDirection w:val="lrTb"/>
            <w:vAlign w:val="bottom"/>
            <w:hideMark/>
          </w:tcPr>
          <w:p w:rsidR="00F60DFD" w:rsidRPr="00987A71" w:rsidP="00AA4107">
            <w:pPr>
              <w:bidi w:val="0"/>
              <w:rPr>
                <w:rFonts w:ascii="Times New Roman" w:hAnsi="Times New Roman"/>
                <w:sz w:val="16"/>
                <w:szCs w:val="16"/>
              </w:rPr>
            </w:pPr>
            <w:r w:rsidRPr="00987A71">
              <w:rPr>
                <w:rFonts w:ascii="Times New Roman" w:hAnsi="Times New Roman"/>
                <w:sz w:val="16"/>
                <w:szCs w:val="16"/>
              </w:rPr>
              <w:t>▪   bežné výdavky</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760 308</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821 471</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695 836</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811 738</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729 378</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734 641</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740 043</w:t>
            </w:r>
          </w:p>
        </w:tc>
      </w:tr>
      <w:tr>
        <w:tblPrEx>
          <w:tblW w:w="9000" w:type="dxa"/>
          <w:tblInd w:w="55" w:type="dxa"/>
          <w:tblCellMar>
            <w:left w:w="70" w:type="dxa"/>
            <w:right w:w="70" w:type="dxa"/>
          </w:tblCellMar>
          <w:tblLook w:val="04A0"/>
        </w:tblPrEx>
        <w:trPr>
          <w:trHeight w:val="240"/>
        </w:trPr>
        <w:tc>
          <w:tcPr>
            <w:tcW w:w="3400" w:type="dxa"/>
            <w:tcBorders>
              <w:top w:val="nil"/>
              <w:left w:val="single" w:sz="4" w:space="0" w:color="auto"/>
              <w:bottom w:val="single" w:sz="4" w:space="0" w:color="auto"/>
              <w:right w:val="single" w:sz="4" w:space="0" w:color="auto"/>
            </w:tcBorders>
            <w:noWrap/>
            <w:textDirection w:val="lrTb"/>
            <w:vAlign w:val="bottom"/>
            <w:hideMark/>
          </w:tcPr>
          <w:p w:rsidR="00F60DFD" w:rsidRPr="00987A71" w:rsidP="00AA4107">
            <w:pPr>
              <w:bidi w:val="0"/>
              <w:rPr>
                <w:rFonts w:ascii="Times New Roman" w:hAnsi="Times New Roman"/>
                <w:sz w:val="16"/>
                <w:szCs w:val="16"/>
              </w:rPr>
            </w:pPr>
            <w:r w:rsidRPr="00987A71">
              <w:rPr>
                <w:rFonts w:ascii="Times New Roman" w:hAnsi="Times New Roman"/>
                <w:sz w:val="16"/>
                <w:szCs w:val="16"/>
              </w:rPr>
              <w:t>▪   kapitálové výdavky</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105 128</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101 601</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14 557</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109 402</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26 667</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14 896</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15 077</w:t>
            </w:r>
          </w:p>
        </w:tc>
      </w:tr>
      <w:tr>
        <w:tblPrEx>
          <w:tblW w:w="9000" w:type="dxa"/>
          <w:tblInd w:w="55" w:type="dxa"/>
          <w:tblCellMar>
            <w:left w:w="70" w:type="dxa"/>
            <w:right w:w="70" w:type="dxa"/>
          </w:tblCellMar>
          <w:tblLook w:val="04A0"/>
        </w:tblPrEx>
        <w:trPr>
          <w:trHeight w:val="240"/>
        </w:trPr>
        <w:tc>
          <w:tcPr>
            <w:tcW w:w="3400" w:type="dxa"/>
            <w:tcBorders>
              <w:top w:val="nil"/>
              <w:left w:val="single" w:sz="4" w:space="0" w:color="auto"/>
              <w:bottom w:val="single" w:sz="4" w:space="0" w:color="auto"/>
              <w:right w:val="single" w:sz="4" w:space="0" w:color="auto"/>
            </w:tcBorders>
            <w:noWrap/>
            <w:textDirection w:val="lrTb"/>
            <w:vAlign w:val="bottom"/>
            <w:hideMark/>
          </w:tcPr>
          <w:p w:rsidR="00F60DFD" w:rsidRPr="00987A71" w:rsidP="00AA4107">
            <w:pPr>
              <w:bidi w:val="0"/>
              <w:rPr>
                <w:rFonts w:ascii="Times New Roman" w:hAnsi="Times New Roman"/>
                <w:sz w:val="16"/>
                <w:szCs w:val="16"/>
              </w:rPr>
            </w:pPr>
            <w:r w:rsidRPr="00987A71">
              <w:rPr>
                <w:rFonts w:ascii="Times New Roman" w:hAnsi="Times New Roman"/>
                <w:sz w:val="16"/>
                <w:szCs w:val="16"/>
              </w:rPr>
              <w:t xml:space="preserve">▪   výdavky z transakcií s fin. akt. a pasívami </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758</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790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0</w:t>
            </w:r>
          </w:p>
        </w:tc>
      </w:tr>
      <w:tr>
        <w:tblPrEx>
          <w:tblW w:w="9000" w:type="dxa"/>
          <w:tblInd w:w="55" w:type="dxa"/>
          <w:tblCellMar>
            <w:left w:w="70" w:type="dxa"/>
            <w:right w:w="70" w:type="dxa"/>
          </w:tblCellMar>
          <w:tblLook w:val="04A0"/>
        </w:tblPrEx>
        <w:trPr>
          <w:trHeight w:val="240"/>
        </w:trPr>
        <w:tc>
          <w:tcPr>
            <w:tcW w:w="3400" w:type="dxa"/>
            <w:tcBorders>
              <w:top w:val="nil"/>
              <w:left w:val="single" w:sz="4" w:space="0" w:color="auto"/>
              <w:bottom w:val="single" w:sz="4" w:space="0" w:color="auto"/>
              <w:right w:val="single" w:sz="4" w:space="0" w:color="auto"/>
            </w:tcBorders>
            <w:shd w:val="clear" w:color="000000" w:fill="C0C0C0"/>
            <w:noWrap/>
            <w:textDirection w:val="lrTb"/>
            <w:vAlign w:val="bottom"/>
            <w:hideMark/>
          </w:tcPr>
          <w:p w:rsidR="00F60DFD" w:rsidRPr="00987A71" w:rsidP="00AA4107">
            <w:pPr>
              <w:bidi w:val="0"/>
              <w:rPr>
                <w:rFonts w:ascii="Times New Roman" w:hAnsi="Times New Roman"/>
                <w:b/>
                <w:bCs/>
                <w:sz w:val="16"/>
                <w:szCs w:val="16"/>
              </w:rPr>
            </w:pPr>
            <w:r w:rsidRPr="00987A71">
              <w:rPr>
                <w:rFonts w:ascii="Times New Roman" w:hAnsi="Times New Roman"/>
                <w:b/>
                <w:bCs/>
                <w:sz w:val="16"/>
                <w:szCs w:val="16"/>
              </w:rPr>
              <w:t>Celkový prebytok PO</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46 001</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41 949</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25 783</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25 783</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25 577</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29 803</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30 100</w:t>
            </w:r>
          </w:p>
        </w:tc>
      </w:tr>
      <w:tr>
        <w:tblPrEx>
          <w:tblW w:w="9000" w:type="dxa"/>
          <w:tblInd w:w="55" w:type="dxa"/>
          <w:tblCellMar>
            <w:left w:w="70" w:type="dxa"/>
            <w:right w:w="70" w:type="dxa"/>
          </w:tblCellMar>
          <w:tblLook w:val="04A0"/>
        </w:tblPrEx>
        <w:trPr>
          <w:trHeight w:val="240"/>
        </w:trPr>
        <w:tc>
          <w:tcPr>
            <w:tcW w:w="3400" w:type="dxa"/>
            <w:tcBorders>
              <w:top w:val="nil"/>
              <w:left w:val="single" w:sz="4" w:space="0" w:color="auto"/>
              <w:bottom w:val="single" w:sz="4" w:space="0" w:color="auto"/>
              <w:right w:val="single" w:sz="4" w:space="0" w:color="auto"/>
            </w:tcBorders>
            <w:noWrap/>
            <w:textDirection w:val="lrTb"/>
            <w:vAlign w:val="bottom"/>
            <w:hideMark/>
          </w:tcPr>
          <w:p w:rsidR="00F60DFD" w:rsidRPr="00987A71" w:rsidP="00AA4107">
            <w:pPr>
              <w:bidi w:val="0"/>
              <w:rPr>
                <w:rFonts w:ascii="Times New Roman" w:hAnsi="Times New Roman"/>
                <w:b/>
                <w:bCs/>
                <w:i/>
                <w:iCs/>
                <w:sz w:val="16"/>
                <w:szCs w:val="16"/>
              </w:rPr>
            </w:pPr>
            <w:r w:rsidRPr="00987A71">
              <w:rPr>
                <w:rFonts w:ascii="Times New Roman" w:hAnsi="Times New Roman"/>
                <w:b/>
                <w:bCs/>
                <w:i/>
                <w:iCs/>
                <w:sz w:val="16"/>
                <w:szCs w:val="16"/>
              </w:rPr>
              <w:t>vylúčenie finančných operácií</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-21 711</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-32 806</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-26 912</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-26 912</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-26 944</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-27 695</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-28 456</w:t>
            </w:r>
          </w:p>
        </w:tc>
      </w:tr>
      <w:tr>
        <w:tblPrEx>
          <w:tblW w:w="9000" w:type="dxa"/>
          <w:tblInd w:w="55" w:type="dxa"/>
          <w:tblCellMar>
            <w:left w:w="70" w:type="dxa"/>
            <w:right w:w="70" w:type="dxa"/>
          </w:tblCellMar>
          <w:tblLook w:val="04A0"/>
        </w:tblPrEx>
        <w:trPr>
          <w:trHeight w:val="240"/>
        </w:trPr>
        <w:tc>
          <w:tcPr>
            <w:tcW w:w="3400" w:type="dxa"/>
            <w:tcBorders>
              <w:top w:val="nil"/>
              <w:left w:val="single" w:sz="4" w:space="0" w:color="auto"/>
              <w:bottom w:val="single" w:sz="4" w:space="0" w:color="auto"/>
              <w:right w:val="single" w:sz="4" w:space="0" w:color="auto"/>
            </w:tcBorders>
            <w:noWrap/>
            <w:textDirection w:val="lrTb"/>
            <w:vAlign w:val="bottom"/>
            <w:hideMark/>
          </w:tcPr>
          <w:p w:rsidR="00F60DFD" w:rsidRPr="00987A71" w:rsidP="00AA4107">
            <w:pPr>
              <w:bidi w:val="0"/>
              <w:rPr>
                <w:rFonts w:ascii="Times New Roman" w:hAnsi="Times New Roman"/>
                <w:sz w:val="16"/>
                <w:szCs w:val="16"/>
              </w:rPr>
            </w:pPr>
            <w:r w:rsidRPr="00987A71">
              <w:rPr>
                <w:rFonts w:ascii="Times New Roman" w:hAnsi="Times New Roman"/>
                <w:sz w:val="16"/>
                <w:szCs w:val="16"/>
              </w:rPr>
              <w:t>▪   vylúčenie príjmových FO</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-22 469</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-33 596</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-26 912</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-26 912</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-26 944</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-27 695</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-28 456</w:t>
            </w:r>
          </w:p>
        </w:tc>
      </w:tr>
      <w:tr>
        <w:tblPrEx>
          <w:tblW w:w="9000" w:type="dxa"/>
          <w:tblInd w:w="55" w:type="dxa"/>
          <w:tblCellMar>
            <w:left w:w="70" w:type="dxa"/>
            <w:right w:w="70" w:type="dxa"/>
          </w:tblCellMar>
          <w:tblLook w:val="04A0"/>
        </w:tblPrEx>
        <w:trPr>
          <w:trHeight w:val="240"/>
        </w:trPr>
        <w:tc>
          <w:tcPr>
            <w:tcW w:w="3400" w:type="dxa"/>
            <w:tcBorders>
              <w:top w:val="nil"/>
              <w:left w:val="single" w:sz="4" w:space="0" w:color="auto"/>
              <w:bottom w:val="single" w:sz="4" w:space="0" w:color="auto"/>
              <w:right w:val="single" w:sz="4" w:space="0" w:color="auto"/>
            </w:tcBorders>
            <w:noWrap/>
            <w:textDirection w:val="lrTb"/>
            <w:vAlign w:val="bottom"/>
            <w:hideMark/>
          </w:tcPr>
          <w:p w:rsidR="00F60DFD" w:rsidRPr="00987A71" w:rsidP="00AA4107">
            <w:pPr>
              <w:bidi w:val="0"/>
              <w:rPr>
                <w:rFonts w:ascii="Times New Roman" w:hAnsi="Times New Roman"/>
                <w:sz w:val="16"/>
                <w:szCs w:val="16"/>
              </w:rPr>
            </w:pPr>
            <w:r w:rsidRPr="00987A71">
              <w:rPr>
                <w:rFonts w:ascii="Times New Roman" w:hAnsi="Times New Roman"/>
                <w:sz w:val="16"/>
                <w:szCs w:val="16"/>
              </w:rPr>
              <w:t>▪   vylúčenie výdavkových FO</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758</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790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sz w:val="16"/>
                <w:szCs w:val="16"/>
              </w:rPr>
            </w:pPr>
            <w:r w:rsidRPr="00987A71">
              <w:rPr>
                <w:rFonts w:ascii="Times New Roman" w:hAnsi="Times New Roman"/>
                <w:sz w:val="16"/>
                <w:szCs w:val="16"/>
              </w:rPr>
              <w:t>0</w:t>
            </w:r>
          </w:p>
        </w:tc>
      </w:tr>
      <w:tr>
        <w:tblPrEx>
          <w:tblW w:w="9000" w:type="dxa"/>
          <w:tblInd w:w="55" w:type="dxa"/>
          <w:tblCellMar>
            <w:left w:w="70" w:type="dxa"/>
            <w:right w:w="70" w:type="dxa"/>
          </w:tblCellMar>
          <w:tblLook w:val="04A0"/>
        </w:tblPrEx>
        <w:trPr>
          <w:trHeight w:val="240"/>
        </w:trPr>
        <w:tc>
          <w:tcPr>
            <w:tcW w:w="3400" w:type="dxa"/>
            <w:tcBorders>
              <w:top w:val="nil"/>
              <w:left w:val="single" w:sz="4" w:space="0" w:color="auto"/>
              <w:bottom w:val="single" w:sz="4" w:space="0" w:color="auto"/>
              <w:right w:val="single" w:sz="4" w:space="0" w:color="auto"/>
            </w:tcBorders>
            <w:noWrap/>
            <w:textDirection w:val="lrTb"/>
            <w:vAlign w:val="bottom"/>
            <w:hideMark/>
          </w:tcPr>
          <w:p w:rsidR="00F60DFD" w:rsidRPr="00987A71" w:rsidP="00AA4107">
            <w:pPr>
              <w:bidi w:val="0"/>
              <w:rPr>
                <w:rFonts w:ascii="Times New Roman" w:hAnsi="Times New Roman"/>
                <w:b/>
                <w:bCs/>
                <w:i/>
                <w:iCs/>
                <w:sz w:val="16"/>
                <w:szCs w:val="16"/>
              </w:rPr>
            </w:pPr>
            <w:r w:rsidRPr="00987A71">
              <w:rPr>
                <w:rFonts w:ascii="Times New Roman" w:hAnsi="Times New Roman"/>
                <w:b/>
                <w:bCs/>
                <w:i/>
                <w:iCs/>
                <w:sz w:val="16"/>
                <w:szCs w:val="16"/>
              </w:rPr>
              <w:t>medziročná zmena stavu pohľadávok</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-3 400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2 279</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0</w:t>
            </w:r>
          </w:p>
        </w:tc>
      </w:tr>
      <w:tr>
        <w:tblPrEx>
          <w:tblW w:w="9000" w:type="dxa"/>
          <w:tblInd w:w="55" w:type="dxa"/>
          <w:tblCellMar>
            <w:left w:w="70" w:type="dxa"/>
            <w:right w:w="70" w:type="dxa"/>
          </w:tblCellMar>
          <w:tblLook w:val="04A0"/>
        </w:tblPrEx>
        <w:trPr>
          <w:trHeight w:val="240"/>
        </w:trPr>
        <w:tc>
          <w:tcPr>
            <w:tcW w:w="3400" w:type="dxa"/>
            <w:tcBorders>
              <w:top w:val="nil"/>
              <w:left w:val="single" w:sz="4" w:space="0" w:color="auto"/>
              <w:bottom w:val="single" w:sz="4" w:space="0" w:color="auto"/>
              <w:right w:val="single" w:sz="4" w:space="0" w:color="auto"/>
            </w:tcBorders>
            <w:noWrap/>
            <w:textDirection w:val="lrTb"/>
            <w:vAlign w:val="bottom"/>
            <w:hideMark/>
          </w:tcPr>
          <w:p w:rsidR="00F60DFD" w:rsidRPr="00987A71" w:rsidP="00AA4107">
            <w:pPr>
              <w:bidi w:val="0"/>
              <w:rPr>
                <w:rFonts w:ascii="Times New Roman" w:hAnsi="Times New Roman"/>
                <w:b/>
                <w:bCs/>
                <w:i/>
                <w:iCs/>
                <w:sz w:val="16"/>
                <w:szCs w:val="16"/>
              </w:rPr>
            </w:pPr>
            <w:r w:rsidRPr="00987A71">
              <w:rPr>
                <w:rFonts w:ascii="Times New Roman" w:hAnsi="Times New Roman"/>
                <w:b/>
                <w:bCs/>
                <w:i/>
                <w:iCs/>
                <w:sz w:val="16"/>
                <w:szCs w:val="16"/>
              </w:rPr>
              <w:t>medziročná zmena stavu záväzkov</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-559</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-21 056</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0</w:t>
            </w:r>
          </w:p>
        </w:tc>
      </w:tr>
      <w:tr>
        <w:tblPrEx>
          <w:tblW w:w="9000" w:type="dxa"/>
          <w:tblInd w:w="55" w:type="dxa"/>
          <w:tblCellMar>
            <w:left w:w="70" w:type="dxa"/>
            <w:right w:w="70" w:type="dxa"/>
          </w:tblCellMar>
          <w:tblLook w:val="04A0"/>
        </w:tblPrEx>
        <w:trPr>
          <w:trHeight w:val="240"/>
        </w:trPr>
        <w:tc>
          <w:tcPr>
            <w:tcW w:w="3400" w:type="dxa"/>
            <w:tcBorders>
              <w:top w:val="nil"/>
              <w:left w:val="single" w:sz="4" w:space="0" w:color="auto"/>
              <w:bottom w:val="single" w:sz="4" w:space="0" w:color="auto"/>
              <w:right w:val="single" w:sz="4" w:space="0" w:color="auto"/>
            </w:tcBorders>
            <w:noWrap/>
            <w:textDirection w:val="lrTb"/>
            <w:vAlign w:val="bottom"/>
            <w:hideMark/>
          </w:tcPr>
          <w:p w:rsidR="00F60DFD" w:rsidRPr="00987A71" w:rsidP="00AA4107">
            <w:pPr>
              <w:bidi w:val="0"/>
              <w:rPr>
                <w:rFonts w:ascii="Times New Roman" w:hAnsi="Times New Roman"/>
                <w:b/>
                <w:bCs/>
                <w:i/>
                <w:iCs/>
                <w:sz w:val="16"/>
                <w:szCs w:val="16"/>
              </w:rPr>
            </w:pPr>
            <w:r w:rsidRPr="00987A71">
              <w:rPr>
                <w:rFonts w:ascii="Times New Roman" w:hAnsi="Times New Roman"/>
                <w:b/>
                <w:bCs/>
                <w:i/>
                <w:iCs/>
                <w:sz w:val="16"/>
                <w:szCs w:val="16"/>
              </w:rPr>
              <w:t>ostatné úpravy</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-129</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800" w:type="dxa"/>
            <w:tcBorders>
              <w:top w:val="nil"/>
              <w:left w:val="nil"/>
              <w:bottom w:val="single" w:sz="4" w:space="0" w:color="auto"/>
              <w:right w:val="single" w:sz="4" w:space="0" w:color="auto"/>
            </w:tcBorders>
            <w:noWrap/>
            <w:textDirection w:val="lrTb"/>
            <w:vAlign w:val="bottom"/>
            <w:hideMark/>
          </w:tcPr>
          <w:p w:rsidR="00F60DFD" w:rsidRPr="00987A71" w:rsidP="00AA4107">
            <w:pPr>
              <w:bidi w:val="0"/>
              <w:jc w:val="right"/>
              <w:rPr>
                <w:rFonts w:ascii="Times New Roman" w:hAnsi="Times New Roman"/>
                <w:b/>
                <w:bCs/>
                <w:i/>
                <w:iCs/>
                <w:sz w:val="16"/>
                <w:szCs w:val="16"/>
              </w:rPr>
            </w:pPr>
            <w:r w:rsidRPr="00987A71">
              <w:rPr>
                <w:rFonts w:ascii="Times New Roman" w:hAnsi="Times New Roman"/>
                <w:b/>
                <w:bCs/>
                <w:i/>
                <w:iCs/>
                <w:sz w:val="16"/>
                <w:szCs w:val="16"/>
              </w:rPr>
              <w:t>0</w:t>
            </w:r>
          </w:p>
        </w:tc>
      </w:tr>
      <w:tr>
        <w:tblPrEx>
          <w:tblW w:w="9000" w:type="dxa"/>
          <w:tblInd w:w="55" w:type="dxa"/>
          <w:tblCellMar>
            <w:left w:w="70" w:type="dxa"/>
            <w:right w:w="70" w:type="dxa"/>
          </w:tblCellMar>
          <w:tblLook w:val="04A0"/>
        </w:tblPrEx>
        <w:trPr>
          <w:trHeight w:val="240"/>
        </w:trPr>
        <w:tc>
          <w:tcPr>
            <w:tcW w:w="3400" w:type="dxa"/>
            <w:tcBorders>
              <w:top w:val="nil"/>
              <w:left w:val="single" w:sz="4" w:space="0" w:color="auto"/>
              <w:bottom w:val="single" w:sz="4" w:space="0" w:color="auto"/>
              <w:right w:val="single" w:sz="4" w:space="0" w:color="auto"/>
            </w:tcBorders>
            <w:shd w:val="clear" w:color="000000" w:fill="C0C0C0"/>
            <w:noWrap/>
            <w:textDirection w:val="lrTb"/>
            <w:vAlign w:val="bottom"/>
            <w:hideMark/>
          </w:tcPr>
          <w:p w:rsidR="00F60DFD" w:rsidRPr="00987A71" w:rsidP="0090374E">
            <w:pPr>
              <w:bidi w:val="0"/>
              <w:rPr>
                <w:rFonts w:ascii="Times New Roman" w:hAnsi="Times New Roman"/>
                <w:b/>
                <w:bCs/>
                <w:sz w:val="16"/>
                <w:szCs w:val="16"/>
              </w:rPr>
            </w:pPr>
            <w:r w:rsidRPr="00987A71">
              <w:rPr>
                <w:rFonts w:ascii="Times New Roman" w:hAnsi="Times New Roman"/>
                <w:b/>
                <w:bCs/>
                <w:sz w:val="16"/>
                <w:szCs w:val="16"/>
              </w:rPr>
              <w:t>Prebytok </w:t>
            </w:r>
            <w:r w:rsidRPr="00987A71" w:rsidR="0090374E">
              <w:rPr>
                <w:rFonts w:ascii="Times New Roman" w:hAnsi="Times New Roman"/>
                <w:b/>
                <w:bCs/>
                <w:sz w:val="16"/>
                <w:szCs w:val="16"/>
              </w:rPr>
              <w:t>(+)</w:t>
            </w:r>
            <w:r w:rsidRPr="00987A71">
              <w:rPr>
                <w:rFonts w:ascii="Times New Roman" w:hAnsi="Times New Roman"/>
                <w:b/>
                <w:bCs/>
                <w:sz w:val="16"/>
                <w:szCs w:val="16"/>
              </w:rPr>
              <w:t>/</w:t>
            </w:r>
            <w:r w:rsidRPr="00987A71" w:rsidR="0090374E">
              <w:rPr>
                <w:rFonts w:ascii="Times New Roman" w:hAnsi="Times New Roman"/>
                <w:b/>
                <w:bCs/>
                <w:sz w:val="16"/>
                <w:szCs w:val="16"/>
              </w:rPr>
              <w:t>s</w:t>
            </w:r>
            <w:r w:rsidRPr="00987A71">
              <w:rPr>
                <w:rFonts w:ascii="Times New Roman" w:hAnsi="Times New Roman"/>
                <w:b/>
                <w:bCs/>
                <w:sz w:val="16"/>
                <w:szCs w:val="16"/>
              </w:rPr>
              <w:t>chodok</w:t>
            </w:r>
            <w:r w:rsidRPr="00987A71" w:rsidR="0090374E">
              <w:rPr>
                <w:rFonts w:ascii="Times New Roman" w:hAnsi="Times New Roman"/>
                <w:b/>
                <w:bCs/>
                <w:sz w:val="16"/>
                <w:szCs w:val="16"/>
              </w:rPr>
              <w:t xml:space="preserve">(-) </w:t>
            </w:r>
            <w:r w:rsidRPr="00987A71">
              <w:rPr>
                <w:rFonts w:ascii="Times New Roman" w:hAnsi="Times New Roman"/>
                <w:b/>
                <w:bCs/>
                <w:sz w:val="16"/>
                <w:szCs w:val="16"/>
              </w:rPr>
              <w:t xml:space="preserve"> PO (ESA </w:t>
            </w:r>
            <w:r w:rsidRPr="00987A71" w:rsidR="0090374E">
              <w:rPr>
                <w:rFonts w:ascii="Times New Roman" w:hAnsi="Times New Roman"/>
                <w:b/>
                <w:bCs/>
                <w:sz w:val="16"/>
                <w:szCs w:val="16"/>
              </w:rPr>
              <w:t>2010</w:t>
            </w:r>
            <w:r w:rsidRPr="00987A71">
              <w:rPr>
                <w:rFonts w:ascii="Times New Roman" w:hAnsi="Times New Roman"/>
                <w:b/>
                <w:bCs/>
                <w:sz w:val="16"/>
                <w:szCs w:val="16"/>
              </w:rPr>
              <w:t>)</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20 331</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-9 763</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-1 129</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-1 129</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-1 367</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2 108</w:t>
            </w:r>
          </w:p>
        </w:tc>
        <w:tc>
          <w:tcPr>
            <w:tcW w:w="800" w:type="dxa"/>
            <w:tcBorders>
              <w:top w:val="nil"/>
              <w:left w:val="nil"/>
              <w:bottom w:val="single" w:sz="4" w:space="0" w:color="auto"/>
              <w:right w:val="single" w:sz="4" w:space="0" w:color="auto"/>
            </w:tcBorders>
            <w:shd w:val="clear" w:color="000000" w:fill="C0C0C0"/>
            <w:noWrap/>
            <w:textDirection w:val="lrTb"/>
            <w:vAlign w:val="bottom"/>
            <w:hideMark/>
          </w:tcPr>
          <w:p w:rsidR="00F60DFD" w:rsidRPr="00987A71" w:rsidP="00AA4107">
            <w:pPr>
              <w:bidi w:val="0"/>
              <w:jc w:val="right"/>
              <w:rPr>
                <w:rFonts w:ascii="Times New Roman" w:hAnsi="Times New Roman"/>
                <w:b/>
                <w:bCs/>
                <w:sz w:val="16"/>
                <w:szCs w:val="16"/>
              </w:rPr>
            </w:pPr>
            <w:r w:rsidRPr="00987A71">
              <w:rPr>
                <w:rFonts w:ascii="Times New Roman" w:hAnsi="Times New Roman"/>
                <w:b/>
                <w:bCs/>
                <w:sz w:val="16"/>
                <w:szCs w:val="16"/>
              </w:rPr>
              <w:t>1 644</w:t>
            </w:r>
          </w:p>
        </w:tc>
      </w:tr>
    </w:tbl>
    <w:p w:rsidR="00F60DFD" w:rsidP="00F60DFD">
      <w:pPr>
        <w:bidi w:val="0"/>
        <w:jc w:val="both"/>
        <w:rPr>
          <w:rFonts w:ascii="Times New Roman" w:hAnsi="Times New Roman"/>
        </w:rPr>
      </w:pPr>
    </w:p>
    <w:p w:rsidR="00F60DFD" w:rsidP="00F60DFD">
      <w:pPr>
        <w:bidi w:val="0"/>
        <w:ind w:firstLine="708"/>
        <w:jc w:val="both"/>
        <w:rPr>
          <w:rFonts w:ascii="Times New Roman" w:hAnsi="Times New Roman"/>
        </w:rPr>
      </w:pPr>
      <w:r w:rsidRPr="00DC10B8">
        <w:rPr>
          <w:rFonts w:ascii="Times New Roman" w:hAnsi="Times New Roman"/>
        </w:rPr>
        <w:t xml:space="preserve">Návrh rozpočtu príspevkových organizácií v pôsobnosti štátu, obcí a VÚC je spracovaný za tie príspevkové organizácie, ktoré sú zapísané v aktualizovanom štatistickom registri organizácií, vedenom Štatistickým úradom SR a zaradené do sektora verejnej správy v súlade s metodikou ESA </w:t>
      </w:r>
      <w:r>
        <w:rPr>
          <w:rFonts w:ascii="Times New Roman" w:hAnsi="Times New Roman"/>
        </w:rPr>
        <w:t>2010</w:t>
      </w:r>
      <w:r w:rsidRPr="00707E3C">
        <w:rPr>
          <w:rFonts w:ascii="Times New Roman" w:hAnsi="Times New Roman"/>
        </w:rPr>
        <w:t>. Zdravotnícke zariadenia s právnou formou príspevkovej organizácie sú bližšie popísané v časti prílohy o zdravotníckych zariadeniach, z dôvodu komplexného sledovania zdravotníckych zariadení bez ohľadu na ich právnu formu</w:t>
      </w:r>
      <w:r>
        <w:rPr>
          <w:rFonts w:ascii="Times New Roman" w:hAnsi="Times New Roman"/>
        </w:rPr>
        <w:t>.</w:t>
      </w:r>
    </w:p>
    <w:p w:rsidR="00F60DFD" w:rsidRPr="004160BF" w:rsidP="00F60DFD">
      <w:pPr>
        <w:bidi w:val="0"/>
        <w:ind w:firstLine="708"/>
        <w:jc w:val="both"/>
        <w:rPr>
          <w:rFonts w:ascii="Times New Roman" w:hAnsi="Times New Roman"/>
          <w:sz w:val="16"/>
          <w:szCs w:val="16"/>
        </w:rPr>
      </w:pPr>
    </w:p>
    <w:p w:rsidR="00F60DFD" w:rsidRPr="00DC10B8" w:rsidP="00F60DFD">
      <w:pPr>
        <w:bidi w:val="0"/>
        <w:ind w:firstLine="708"/>
        <w:jc w:val="both"/>
        <w:rPr>
          <w:rFonts w:ascii="Times New Roman" w:hAnsi="Times New Roman"/>
        </w:rPr>
      </w:pPr>
      <w:r w:rsidRPr="00DC10B8">
        <w:rPr>
          <w:rFonts w:ascii="Times New Roman" w:hAnsi="Times New Roman"/>
        </w:rPr>
        <w:t xml:space="preserve">Do sektora verejnej správy je zaradených </w:t>
      </w:r>
      <w:r>
        <w:rPr>
          <w:rFonts w:ascii="Times New Roman" w:hAnsi="Times New Roman"/>
        </w:rPr>
        <w:t>84</w:t>
      </w:r>
      <w:r w:rsidRPr="00DC10B8">
        <w:rPr>
          <w:rFonts w:ascii="Times New Roman" w:hAnsi="Times New Roman"/>
        </w:rPr>
        <w:t xml:space="preserve"> príspevkových organizácií v pôsobnosti štátu a 5</w:t>
      </w:r>
      <w:r>
        <w:rPr>
          <w:rFonts w:ascii="Times New Roman" w:hAnsi="Times New Roman"/>
        </w:rPr>
        <w:t>36</w:t>
      </w:r>
      <w:r w:rsidRPr="00DC10B8">
        <w:rPr>
          <w:rFonts w:ascii="Times New Roman" w:hAnsi="Times New Roman"/>
        </w:rPr>
        <w:t xml:space="preserve"> príspevkových organizácií v pôsobnosti obcí a VÚC.  </w:t>
      </w:r>
    </w:p>
    <w:p w:rsidR="00F60DFD" w:rsidRPr="004160BF" w:rsidP="00F60DFD">
      <w:pPr>
        <w:bidi w:val="0"/>
        <w:ind w:firstLine="708"/>
        <w:jc w:val="both"/>
        <w:rPr>
          <w:rFonts w:ascii="Times New Roman" w:hAnsi="Times New Roman"/>
          <w:sz w:val="16"/>
          <w:szCs w:val="16"/>
        </w:rPr>
      </w:pPr>
    </w:p>
    <w:p w:rsidR="00F60DFD" w:rsidP="00F60DFD">
      <w:pPr>
        <w:bidi w:val="0"/>
        <w:ind w:firstLine="708"/>
        <w:jc w:val="both"/>
        <w:rPr>
          <w:rFonts w:ascii="Times New Roman" w:hAnsi="Times New Roman"/>
        </w:rPr>
      </w:pPr>
      <w:r w:rsidRPr="00DC10B8">
        <w:rPr>
          <w:rFonts w:ascii="Times New Roman" w:hAnsi="Times New Roman"/>
        </w:rPr>
        <w:t>Príspevkové organizácie v pôsobnosti štátu zabezpečujú činnosti najmä v oblasti kultúry, školstva, životného prostredia, pôdohospodárstva, výskumu, služieb a informatiky. Najviac</w:t>
      </w:r>
      <w:r>
        <w:rPr>
          <w:rFonts w:ascii="Times New Roman" w:hAnsi="Times New Roman"/>
        </w:rPr>
        <w:t xml:space="preserve"> štátnych</w:t>
      </w:r>
      <w:r w:rsidRPr="00DC10B8">
        <w:rPr>
          <w:rFonts w:ascii="Times New Roman" w:hAnsi="Times New Roman"/>
        </w:rPr>
        <w:t xml:space="preserve"> príspevkových organizácií je v pôsobnosti ministerstva kultúry (2</w:t>
      </w:r>
      <w:r>
        <w:rPr>
          <w:rFonts w:ascii="Times New Roman" w:hAnsi="Times New Roman"/>
        </w:rPr>
        <w:t>3</w:t>
      </w:r>
      <w:r w:rsidRPr="00DC10B8">
        <w:rPr>
          <w:rFonts w:ascii="Times New Roman" w:hAnsi="Times New Roman"/>
        </w:rPr>
        <w:t>), v pôsobnosti SAV (</w:t>
      </w:r>
      <w:r>
        <w:rPr>
          <w:rFonts w:ascii="Times New Roman" w:hAnsi="Times New Roman"/>
        </w:rPr>
        <w:t>19</w:t>
      </w:r>
      <w:r w:rsidRPr="00DC10B8">
        <w:rPr>
          <w:rFonts w:ascii="Times New Roman" w:hAnsi="Times New Roman"/>
        </w:rPr>
        <w:t xml:space="preserve">) a v pôsobnosti ministerstva </w:t>
      </w:r>
      <w:r>
        <w:rPr>
          <w:rFonts w:ascii="Times New Roman" w:hAnsi="Times New Roman"/>
        </w:rPr>
        <w:t>životného prostredia</w:t>
      </w:r>
      <w:r w:rsidRPr="00DC10B8">
        <w:rPr>
          <w:rFonts w:ascii="Times New Roman" w:hAnsi="Times New Roman"/>
        </w:rPr>
        <w:t xml:space="preserve"> (</w:t>
      </w:r>
      <w:r>
        <w:rPr>
          <w:rFonts w:ascii="Times New Roman" w:hAnsi="Times New Roman"/>
        </w:rPr>
        <w:t>8</w:t>
      </w:r>
      <w:r w:rsidRPr="00DC10B8">
        <w:rPr>
          <w:rFonts w:ascii="Times New Roman" w:hAnsi="Times New Roman"/>
        </w:rPr>
        <w:t xml:space="preserve">). </w:t>
      </w:r>
    </w:p>
    <w:p w:rsidR="00F60DFD" w:rsidRPr="00875ED5" w:rsidP="00F60DFD">
      <w:pPr>
        <w:bidi w:val="0"/>
        <w:ind w:firstLine="708"/>
        <w:jc w:val="both"/>
        <w:rPr>
          <w:rFonts w:ascii="Times New Roman" w:hAnsi="Times New Roman"/>
          <w:sz w:val="16"/>
          <w:szCs w:val="16"/>
        </w:rPr>
      </w:pPr>
    </w:p>
    <w:p w:rsidR="00F60DFD" w:rsidRPr="00A85F07" w:rsidP="00F60DFD">
      <w:pPr>
        <w:bidi w:val="0"/>
        <w:ind w:firstLine="708"/>
        <w:jc w:val="both"/>
        <w:rPr>
          <w:rFonts w:ascii="Times New Roman" w:hAnsi="Times New Roman"/>
        </w:rPr>
      </w:pPr>
      <w:r w:rsidRPr="00DC10B8">
        <w:rPr>
          <w:rFonts w:ascii="Times New Roman" w:hAnsi="Times New Roman"/>
        </w:rPr>
        <w:t>Príspevkové organizácie v pôsobnosti obcí zabezpečujú najmä činnosti na úseku verejnoprospešných prác (technické služby), kultúry (miestne osvetové strediská, miestne kultúrne strediská, knižnice, galérie), sociálnych vecí, športu (plavárne, správy športových zariadení) a v ďalších oblastiach. Príspevkové organizácie zriadené VÚC zabezpečujú hlavne činnosti na úseku dopravy (organizácie zabezpečujúce správu a údržbu ciest II. a III. triedy), kultúry (divadlá, múzeá, galérie, knižnice, hvezdárne a pod.) a na úseku školstva (školy v prírode, stredné odborné učilištia, stredné odborné školy a pod.).</w:t>
      </w:r>
    </w:p>
    <w:p w:rsidR="008225DB" w:rsidP="006C0389">
      <w:pPr>
        <w:bidi w:val="0"/>
        <w:jc w:val="both"/>
        <w:rPr>
          <w:rFonts w:ascii="Times New Roman" w:hAnsi="Times New Roman"/>
        </w:rPr>
      </w:pPr>
    </w:p>
    <w:p w:rsidR="006C0389" w:rsidRPr="000E26DD" w:rsidP="006C0389">
      <w:pPr>
        <w:bidi w:val="0"/>
        <w:jc w:val="both"/>
        <w:rPr>
          <w:rFonts w:ascii="Times New Roman" w:hAnsi="Times New Roman"/>
        </w:rPr>
      </w:pPr>
      <w:r w:rsidRPr="000E26DD">
        <w:rPr>
          <w:rFonts w:ascii="Times New Roman" w:hAnsi="Times New Roman"/>
          <w:b/>
          <w:bCs/>
        </w:rPr>
        <w:t>11.</w:t>
      </w:r>
      <w:r w:rsidRPr="000E26DD">
        <w:rPr>
          <w:rFonts w:ascii="Times New Roman" w:hAnsi="Times New Roman"/>
        </w:rPr>
        <w:t xml:space="preserve"> </w:t>
      </w:r>
      <w:r w:rsidRPr="000E26DD">
        <w:rPr>
          <w:rFonts w:ascii="Times New Roman" w:hAnsi="Times New Roman"/>
          <w:b/>
          <w:bCs/>
        </w:rPr>
        <w:t>Rozhlas a televízia Slovenska</w:t>
      </w:r>
    </w:p>
    <w:p w:rsidR="006C0389" w:rsidRPr="000E26DD" w:rsidP="006C0389">
      <w:pPr>
        <w:bidi w:val="0"/>
        <w:ind w:firstLine="709"/>
        <w:jc w:val="both"/>
        <w:rPr>
          <w:rFonts w:ascii="Times New Roman" w:hAnsi="Times New Roman"/>
          <w:sz w:val="16"/>
          <w:szCs w:val="16"/>
        </w:rPr>
      </w:pPr>
    </w:p>
    <w:p w:rsidR="006C0389" w:rsidP="006C0389">
      <w:pPr>
        <w:bidi w:val="0"/>
        <w:ind w:firstLine="708"/>
        <w:jc w:val="both"/>
        <w:rPr>
          <w:rFonts w:ascii="Times New Roman" w:hAnsi="Times New Roman"/>
        </w:rPr>
      </w:pPr>
      <w:r w:rsidRPr="000E26DD">
        <w:rPr>
          <w:rFonts w:ascii="Times New Roman" w:hAnsi="Times New Roman"/>
        </w:rPr>
        <w:t>Rozhlas a televízia Slovenska (ďalej len „RTVS“) je verejnoprávna inštitúcia, ktorá poskytuje službu verejnosti v oblasti rozhlasového vysielania a televízneho vysielania. RTVS bola zriadená 1. januára 2011 zákonom č. 532/2010 Z. z.</w:t>
      </w:r>
      <w:r w:rsidR="00987A71">
        <w:rPr>
          <w:rFonts w:ascii="Times New Roman" w:hAnsi="Times New Roman"/>
        </w:rPr>
        <w:t xml:space="preserve"> o Rozhlase a televízii Slovenska.</w:t>
      </w:r>
      <w:r w:rsidRPr="000E26DD">
        <w:rPr>
          <w:rFonts w:ascii="Times New Roman" w:hAnsi="Times New Roman"/>
        </w:rPr>
        <w:t xml:space="preserve"> Rozpočtovaný limit príjmov a výdavkov RTVS na roky 2015 až 2017 predpokladá financovanie verejnoprávneho vysielania založené na úhrade za služby verejnosti poskytované RTVS a príspevku zo štátneho rozpočtu. </w:t>
      </w:r>
    </w:p>
    <w:p w:rsidR="006C0389" w:rsidRPr="000E26DD" w:rsidP="006573DA">
      <w:pPr>
        <w:bidi w:val="0"/>
        <w:jc w:val="both"/>
        <w:rPr>
          <w:rFonts w:ascii="Times New Roman" w:hAnsi="Times New Roman"/>
          <w:sz w:val="16"/>
          <w:szCs w:val="16"/>
        </w:rPr>
      </w:pPr>
    </w:p>
    <w:p w:rsidR="006C0389" w:rsidP="006C0389">
      <w:pPr>
        <w:bidi w:val="0"/>
        <w:ind w:firstLine="708"/>
        <w:jc w:val="both"/>
        <w:rPr>
          <w:rFonts w:ascii="Times New Roman" w:hAnsi="Times New Roman"/>
        </w:rPr>
      </w:pPr>
      <w:r w:rsidRPr="000E26DD">
        <w:rPr>
          <w:rFonts w:ascii="Times New Roman" w:hAnsi="Times New Roman"/>
        </w:rPr>
        <w:t>Vývoj príjmovej a výdavkovej časti rozpočtu RTVS na roky 2016 až 2018</w:t>
      </w:r>
      <w:r>
        <w:rPr>
          <w:rFonts w:ascii="Times New Roman" w:hAnsi="Times New Roman"/>
        </w:rPr>
        <w:t xml:space="preserve"> je nasledovný:</w:t>
      </w: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B103BF" w:rsidP="006C0389">
      <w:pPr>
        <w:bidi w:val="0"/>
        <w:ind w:firstLine="708"/>
        <w:jc w:val="both"/>
        <w:rPr>
          <w:rFonts w:ascii="Times New Roman" w:hAnsi="Times New Roman"/>
        </w:rPr>
      </w:pPr>
    </w:p>
    <w:p w:rsidR="006C0389" w:rsidRPr="006573DA" w:rsidP="006573DA">
      <w:pPr>
        <w:bidi w:val="0"/>
        <w:jc w:val="both"/>
        <w:rPr>
          <w:rFonts w:ascii="Times New Roman" w:hAnsi="Times New Roman"/>
          <w:sz w:val="16"/>
          <w:szCs w:val="16"/>
        </w:rPr>
      </w:pPr>
    </w:p>
    <w:tbl>
      <w:tblPr>
        <w:tblStyle w:val="TableNormal"/>
        <w:tblW w:w="5000" w:type="pct"/>
        <w:tblCellMar>
          <w:left w:w="70" w:type="dxa"/>
          <w:right w:w="70" w:type="dxa"/>
        </w:tblCellMar>
        <w:tblLook w:val="04A0"/>
      </w:tblPr>
      <w:tblGrid>
        <w:gridCol w:w="3688"/>
        <w:gridCol w:w="753"/>
        <w:gridCol w:w="753"/>
        <w:gridCol w:w="879"/>
        <w:gridCol w:w="879"/>
        <w:gridCol w:w="753"/>
        <w:gridCol w:w="753"/>
        <w:gridCol w:w="752"/>
      </w:tblGrid>
      <w:tr>
        <w:tblPrEx>
          <w:tblW w:w="5000" w:type="pct"/>
          <w:tblCellMar>
            <w:left w:w="70" w:type="dxa"/>
            <w:right w:w="70" w:type="dxa"/>
          </w:tblCellMar>
          <w:tblLook w:val="04A0"/>
        </w:tblPrEx>
        <w:trPr>
          <w:trHeight w:val="255"/>
        </w:trPr>
        <w:tc>
          <w:tcPr>
            <w:tcW w:w="2002" w:type="pct"/>
            <w:tcBorders>
              <w:top w:val="single" w:sz="4" w:space="0" w:color="auto"/>
              <w:left w:val="single" w:sz="4" w:space="0" w:color="auto"/>
              <w:bottom w:val="nil"/>
              <w:right w:val="single" w:sz="4" w:space="0" w:color="auto"/>
            </w:tcBorders>
            <w:shd w:val="clear" w:color="000000" w:fill="A6A6A6"/>
            <w:textDirection w:val="lrTb"/>
            <w:vAlign w:val="center"/>
            <w:hideMark/>
          </w:tcPr>
          <w:p w:rsidR="006C0389" w:rsidRPr="00987A71" w:rsidP="000008FE">
            <w:pPr>
              <w:bidi w:val="0"/>
              <w:rPr>
                <w:rFonts w:ascii="Times New Roman" w:hAnsi="Times New Roman"/>
                <w:b/>
                <w:bCs/>
                <w:sz w:val="16"/>
                <w:szCs w:val="16"/>
              </w:rPr>
            </w:pPr>
            <w:r w:rsidRPr="00987A71">
              <w:rPr>
                <w:rFonts w:ascii="Times New Roman" w:hAnsi="Times New Roman"/>
                <w:b/>
                <w:bCs/>
                <w:sz w:val="16"/>
                <w:szCs w:val="16"/>
              </w:rPr>
              <w:t>v tis. eur</w:t>
            </w:r>
          </w:p>
        </w:tc>
        <w:tc>
          <w:tcPr>
            <w:tcW w:w="409" w:type="pct"/>
            <w:tcBorders>
              <w:top w:val="single" w:sz="4" w:space="0" w:color="auto"/>
              <w:left w:val="nil"/>
              <w:bottom w:val="nil"/>
              <w:right w:val="single" w:sz="4" w:space="0" w:color="auto"/>
            </w:tcBorders>
            <w:shd w:val="clear" w:color="000000" w:fill="A6A6A6"/>
            <w:noWrap/>
            <w:textDirection w:val="lrTb"/>
            <w:vAlign w:val="center"/>
            <w:hideMark/>
          </w:tcPr>
          <w:p w:rsidR="006C0389" w:rsidRPr="00987A71" w:rsidP="000008FE">
            <w:pPr>
              <w:bidi w:val="0"/>
              <w:jc w:val="center"/>
              <w:rPr>
                <w:rFonts w:ascii="Times New Roman" w:hAnsi="Times New Roman"/>
                <w:b/>
                <w:bCs/>
                <w:sz w:val="16"/>
                <w:szCs w:val="16"/>
              </w:rPr>
            </w:pPr>
            <w:r w:rsidRPr="00987A71">
              <w:rPr>
                <w:rFonts w:ascii="Times New Roman" w:hAnsi="Times New Roman"/>
                <w:b/>
                <w:bCs/>
                <w:sz w:val="16"/>
                <w:szCs w:val="16"/>
              </w:rPr>
              <w:t>2013 S</w:t>
            </w:r>
          </w:p>
        </w:tc>
        <w:tc>
          <w:tcPr>
            <w:tcW w:w="409" w:type="pct"/>
            <w:tcBorders>
              <w:top w:val="single" w:sz="4" w:space="0" w:color="auto"/>
              <w:left w:val="nil"/>
              <w:bottom w:val="nil"/>
              <w:right w:val="single" w:sz="4" w:space="0" w:color="auto"/>
            </w:tcBorders>
            <w:shd w:val="clear" w:color="000000" w:fill="A6A6A6"/>
            <w:textDirection w:val="lrTb"/>
            <w:vAlign w:val="center"/>
            <w:hideMark/>
          </w:tcPr>
          <w:p w:rsidR="006C0389" w:rsidRPr="00987A71" w:rsidP="000008FE">
            <w:pPr>
              <w:bidi w:val="0"/>
              <w:jc w:val="center"/>
              <w:rPr>
                <w:rFonts w:ascii="Times New Roman" w:hAnsi="Times New Roman"/>
                <w:b/>
                <w:bCs/>
                <w:sz w:val="16"/>
                <w:szCs w:val="16"/>
              </w:rPr>
            </w:pPr>
            <w:r w:rsidRPr="00987A71">
              <w:rPr>
                <w:rFonts w:ascii="Times New Roman" w:hAnsi="Times New Roman"/>
                <w:b/>
                <w:bCs/>
                <w:sz w:val="16"/>
                <w:szCs w:val="16"/>
              </w:rPr>
              <w:t>2014 S</w:t>
            </w:r>
          </w:p>
        </w:tc>
        <w:tc>
          <w:tcPr>
            <w:tcW w:w="477" w:type="pct"/>
            <w:tcBorders>
              <w:top w:val="single" w:sz="4" w:space="0" w:color="auto"/>
              <w:left w:val="nil"/>
              <w:bottom w:val="nil"/>
              <w:right w:val="single" w:sz="4" w:space="0" w:color="auto"/>
            </w:tcBorders>
            <w:shd w:val="clear" w:color="000000" w:fill="A6A6A6"/>
            <w:noWrap/>
            <w:textDirection w:val="lrTb"/>
            <w:vAlign w:val="center"/>
            <w:hideMark/>
          </w:tcPr>
          <w:p w:rsidR="006C0389" w:rsidRPr="00987A71" w:rsidP="000008FE">
            <w:pPr>
              <w:bidi w:val="0"/>
              <w:jc w:val="center"/>
              <w:rPr>
                <w:rFonts w:ascii="Times New Roman" w:hAnsi="Times New Roman"/>
                <w:b/>
                <w:bCs/>
                <w:sz w:val="16"/>
                <w:szCs w:val="16"/>
              </w:rPr>
            </w:pPr>
            <w:r w:rsidRPr="00987A71">
              <w:rPr>
                <w:rFonts w:ascii="Times New Roman" w:hAnsi="Times New Roman"/>
                <w:b/>
                <w:bCs/>
                <w:sz w:val="16"/>
                <w:szCs w:val="16"/>
              </w:rPr>
              <w:t>2015 R</w:t>
            </w:r>
          </w:p>
        </w:tc>
        <w:tc>
          <w:tcPr>
            <w:tcW w:w="477" w:type="pct"/>
            <w:tcBorders>
              <w:top w:val="single" w:sz="4" w:space="0" w:color="auto"/>
              <w:left w:val="nil"/>
              <w:bottom w:val="nil"/>
              <w:right w:val="single" w:sz="4" w:space="0" w:color="auto"/>
            </w:tcBorders>
            <w:shd w:val="clear" w:color="000000" w:fill="A6A6A6"/>
            <w:noWrap/>
            <w:textDirection w:val="lrTb"/>
            <w:vAlign w:val="center"/>
            <w:hideMark/>
          </w:tcPr>
          <w:p w:rsidR="006C0389" w:rsidRPr="00987A71" w:rsidP="000008FE">
            <w:pPr>
              <w:bidi w:val="0"/>
              <w:jc w:val="center"/>
              <w:rPr>
                <w:rFonts w:ascii="Times New Roman" w:hAnsi="Times New Roman"/>
                <w:b/>
                <w:bCs/>
                <w:sz w:val="16"/>
                <w:szCs w:val="16"/>
              </w:rPr>
            </w:pPr>
            <w:r w:rsidRPr="00987A71">
              <w:rPr>
                <w:rFonts w:ascii="Times New Roman" w:hAnsi="Times New Roman"/>
                <w:b/>
                <w:bCs/>
                <w:sz w:val="16"/>
                <w:szCs w:val="16"/>
              </w:rPr>
              <w:t>2015 OS</w:t>
            </w:r>
          </w:p>
        </w:tc>
        <w:tc>
          <w:tcPr>
            <w:tcW w:w="409" w:type="pct"/>
            <w:tcBorders>
              <w:top w:val="single" w:sz="4" w:space="0" w:color="auto"/>
              <w:left w:val="nil"/>
              <w:bottom w:val="nil"/>
              <w:right w:val="single" w:sz="4" w:space="0" w:color="auto"/>
            </w:tcBorders>
            <w:shd w:val="clear" w:color="000000" w:fill="A6A6A6"/>
            <w:noWrap/>
            <w:textDirection w:val="lrTb"/>
            <w:vAlign w:val="center"/>
            <w:hideMark/>
          </w:tcPr>
          <w:p w:rsidR="006C0389" w:rsidRPr="00987A71" w:rsidP="00705199">
            <w:pPr>
              <w:bidi w:val="0"/>
              <w:jc w:val="center"/>
              <w:rPr>
                <w:rFonts w:ascii="Times New Roman" w:hAnsi="Times New Roman"/>
                <w:b/>
                <w:bCs/>
                <w:sz w:val="16"/>
                <w:szCs w:val="16"/>
              </w:rPr>
            </w:pPr>
            <w:r w:rsidRPr="00987A71">
              <w:rPr>
                <w:rFonts w:ascii="Times New Roman" w:hAnsi="Times New Roman"/>
                <w:b/>
                <w:bCs/>
                <w:sz w:val="16"/>
                <w:szCs w:val="16"/>
              </w:rPr>
              <w:t xml:space="preserve">2016 </w:t>
            </w:r>
            <w:r w:rsidRPr="00987A71" w:rsidR="00705199">
              <w:rPr>
                <w:rFonts w:ascii="Times New Roman" w:hAnsi="Times New Roman"/>
                <w:b/>
                <w:bCs/>
                <w:sz w:val="16"/>
                <w:szCs w:val="16"/>
              </w:rPr>
              <w:t>N</w:t>
            </w:r>
          </w:p>
        </w:tc>
        <w:tc>
          <w:tcPr>
            <w:tcW w:w="409" w:type="pct"/>
            <w:tcBorders>
              <w:top w:val="single" w:sz="4" w:space="0" w:color="auto"/>
              <w:left w:val="nil"/>
              <w:bottom w:val="nil"/>
              <w:right w:val="single" w:sz="4" w:space="0" w:color="auto"/>
            </w:tcBorders>
            <w:shd w:val="clear" w:color="000000" w:fill="A6A6A6"/>
            <w:noWrap/>
            <w:textDirection w:val="lrTb"/>
            <w:vAlign w:val="center"/>
            <w:hideMark/>
          </w:tcPr>
          <w:p w:rsidR="006C0389" w:rsidRPr="00987A71" w:rsidP="000008FE">
            <w:pPr>
              <w:bidi w:val="0"/>
              <w:jc w:val="center"/>
              <w:rPr>
                <w:rFonts w:ascii="Times New Roman" w:hAnsi="Times New Roman"/>
                <w:b/>
                <w:bCs/>
                <w:sz w:val="16"/>
                <w:szCs w:val="16"/>
              </w:rPr>
            </w:pPr>
            <w:r w:rsidRPr="00987A71">
              <w:rPr>
                <w:rFonts w:ascii="Times New Roman" w:hAnsi="Times New Roman"/>
                <w:b/>
                <w:bCs/>
                <w:sz w:val="16"/>
                <w:szCs w:val="16"/>
              </w:rPr>
              <w:t>2017 N</w:t>
            </w:r>
          </w:p>
        </w:tc>
        <w:tc>
          <w:tcPr>
            <w:tcW w:w="408" w:type="pct"/>
            <w:tcBorders>
              <w:top w:val="single" w:sz="4" w:space="0" w:color="auto"/>
              <w:left w:val="nil"/>
              <w:bottom w:val="nil"/>
              <w:right w:val="single" w:sz="4" w:space="0" w:color="auto"/>
            </w:tcBorders>
            <w:shd w:val="clear" w:color="000000" w:fill="A6A6A6"/>
            <w:noWrap/>
            <w:textDirection w:val="lrTb"/>
            <w:vAlign w:val="center"/>
            <w:hideMark/>
          </w:tcPr>
          <w:p w:rsidR="006C0389" w:rsidRPr="00987A71" w:rsidP="000008FE">
            <w:pPr>
              <w:bidi w:val="0"/>
              <w:jc w:val="center"/>
              <w:rPr>
                <w:rFonts w:ascii="Times New Roman" w:hAnsi="Times New Roman"/>
                <w:b/>
                <w:bCs/>
                <w:sz w:val="16"/>
                <w:szCs w:val="16"/>
              </w:rPr>
            </w:pPr>
            <w:r w:rsidRPr="00987A71">
              <w:rPr>
                <w:rFonts w:ascii="Times New Roman" w:hAnsi="Times New Roman"/>
                <w:b/>
                <w:bCs/>
                <w:sz w:val="16"/>
                <w:szCs w:val="16"/>
              </w:rPr>
              <w:t>2018 N</w:t>
            </w:r>
          </w:p>
        </w:tc>
      </w:tr>
      <w:tr>
        <w:tblPrEx>
          <w:tblW w:w="5000" w:type="pct"/>
          <w:tblCellMar>
            <w:left w:w="70" w:type="dxa"/>
            <w:right w:w="70" w:type="dxa"/>
          </w:tblCellMar>
          <w:tblLook w:val="04A0"/>
        </w:tblPrEx>
        <w:trPr>
          <w:trHeight w:val="255"/>
        </w:trPr>
        <w:tc>
          <w:tcPr>
            <w:tcW w:w="2002" w:type="pct"/>
            <w:tcBorders>
              <w:top w:val="single" w:sz="4" w:space="0" w:color="auto"/>
              <w:left w:val="single" w:sz="4" w:space="0" w:color="auto"/>
              <w:bottom w:val="single" w:sz="4" w:space="0" w:color="auto"/>
              <w:right w:val="nil"/>
            </w:tcBorders>
            <w:shd w:val="clear" w:color="000000" w:fill="BFBFBF"/>
            <w:noWrap/>
            <w:textDirection w:val="lrTb"/>
            <w:vAlign w:val="center"/>
            <w:hideMark/>
          </w:tcPr>
          <w:p w:rsidR="006C0389" w:rsidRPr="00987A71" w:rsidP="000008FE">
            <w:pPr>
              <w:bidi w:val="0"/>
              <w:rPr>
                <w:rFonts w:ascii="Times New Roman" w:hAnsi="Times New Roman"/>
                <w:b/>
                <w:bCs/>
                <w:sz w:val="16"/>
                <w:szCs w:val="16"/>
              </w:rPr>
            </w:pPr>
            <w:r w:rsidRPr="00987A71">
              <w:rPr>
                <w:rFonts w:ascii="Times New Roman" w:hAnsi="Times New Roman"/>
                <w:b/>
                <w:bCs/>
                <w:sz w:val="16"/>
                <w:szCs w:val="16"/>
              </w:rPr>
              <w:t>Príjmy RTVS  spolu</w:t>
            </w:r>
          </w:p>
        </w:tc>
        <w:tc>
          <w:tcPr>
            <w:tcW w:w="40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119 481</w:t>
            </w:r>
          </w:p>
        </w:tc>
        <w:tc>
          <w:tcPr>
            <w:tcW w:w="409"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120 711</w:t>
            </w:r>
          </w:p>
        </w:tc>
        <w:tc>
          <w:tcPr>
            <w:tcW w:w="477" w:type="pct"/>
            <w:tcBorders>
              <w:top w:val="single" w:sz="4" w:space="0" w:color="auto"/>
              <w:left w:val="nil"/>
              <w:bottom w:val="single" w:sz="4" w:space="0" w:color="auto"/>
              <w:right w:val="nil"/>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105 070</w:t>
            </w:r>
          </w:p>
        </w:tc>
        <w:tc>
          <w:tcPr>
            <w:tcW w:w="477" w:type="pct"/>
            <w:tcBorders>
              <w:top w:val="single" w:sz="4" w:space="0" w:color="auto"/>
              <w:left w:val="single" w:sz="4" w:space="0" w:color="auto"/>
              <w:bottom w:val="single" w:sz="4" w:space="0" w:color="auto"/>
              <w:right w:val="nil"/>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128 217</w:t>
            </w:r>
          </w:p>
        </w:tc>
        <w:tc>
          <w:tcPr>
            <w:tcW w:w="409" w:type="pct"/>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121 989</w:t>
            </w:r>
          </w:p>
        </w:tc>
        <w:tc>
          <w:tcPr>
            <w:tcW w:w="409"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122 689</w:t>
            </w:r>
          </w:p>
        </w:tc>
        <w:tc>
          <w:tcPr>
            <w:tcW w:w="408" w:type="pct"/>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123 060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rPr>
                <w:rFonts w:ascii="Times New Roman" w:hAnsi="Times New Roman"/>
                <w:sz w:val="16"/>
                <w:szCs w:val="16"/>
              </w:rPr>
            </w:pPr>
            <w:r w:rsidRPr="00987A71">
              <w:rPr>
                <w:rFonts w:ascii="Times New Roman" w:hAnsi="Times New Roman"/>
                <w:sz w:val="16"/>
                <w:szCs w:val="16"/>
              </w:rPr>
              <w:t xml:space="preserve"> ▪ daňové príjmy</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71 322</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71 128</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69 867</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74 887</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74 664</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74 664</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74 664</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rPr>
                <w:rFonts w:ascii="Times New Roman" w:hAnsi="Times New Roman"/>
                <w:sz w:val="16"/>
                <w:szCs w:val="16"/>
              </w:rPr>
            </w:pPr>
            <w:r w:rsidRPr="00987A71">
              <w:rPr>
                <w:rFonts w:ascii="Times New Roman" w:hAnsi="Times New Roman"/>
                <w:sz w:val="16"/>
                <w:szCs w:val="16"/>
              </w:rPr>
              <w:t xml:space="preserve"> ▪ nedaňové príjmy, v tom:</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4 977</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5 348</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4 360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4 982</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4 804</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4 760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4 963</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príjmy z podnikania a z vlastníctva majetku</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213</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231</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210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241</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240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240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240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administratívne a iné poplatky a platby</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4 701</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5 079</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4 133</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4 692</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4 548</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4 504</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4 707</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noWrap/>
            <w:textDirection w:val="lrTb"/>
            <w:vAlign w:val="center"/>
            <w:hideMark/>
          </w:tcPr>
          <w:p w:rsidR="006C0389" w:rsidRPr="00987A71" w:rsidP="000008FE">
            <w:pPr>
              <w:bidi w:val="0"/>
              <w:ind w:firstLine="480" w:firstLineChars="300"/>
              <w:rPr>
                <w:rFonts w:ascii="Times New Roman" w:hAnsi="Times New Roman"/>
                <w:sz w:val="16"/>
                <w:szCs w:val="16"/>
              </w:rPr>
            </w:pPr>
            <w:r w:rsidRPr="00987A71">
              <w:rPr>
                <w:rFonts w:ascii="Times New Roman" w:hAnsi="Times New Roman"/>
                <w:sz w:val="16"/>
                <w:szCs w:val="16"/>
              </w:rPr>
              <w:t>poplatky a platby z nepriem. a náh. predaja a služieb</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4 464</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5 012</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4 133</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4 691</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4 548</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4 504</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4 707</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kapitálové príjmy</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5</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úroky z tuz. úverov, pôžičiek, návr.fin.výpomocí</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5</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iné nedaňové príjmy</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52</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31</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15</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47</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14</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14</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14</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rPr>
                <w:rFonts w:ascii="Times New Roman" w:hAnsi="Times New Roman"/>
                <w:sz w:val="16"/>
                <w:szCs w:val="16"/>
              </w:rPr>
            </w:pPr>
            <w:r w:rsidRPr="00987A71">
              <w:rPr>
                <w:rFonts w:ascii="Times New Roman" w:hAnsi="Times New Roman"/>
                <w:sz w:val="16"/>
                <w:szCs w:val="16"/>
              </w:rPr>
              <w:t xml:space="preserve"> ▪ granty a transfery, z toho:</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29 148</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28 864</w:t>
            </w:r>
          </w:p>
        </w:tc>
        <w:tc>
          <w:tcPr>
            <w:tcW w:w="477" w:type="pct"/>
            <w:tcBorders>
              <w:top w:val="nil"/>
              <w:left w:val="nil"/>
              <w:bottom w:val="single" w:sz="4" w:space="0" w:color="auto"/>
              <w:right w:val="nil"/>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30 000</w:t>
            </w:r>
          </w:p>
        </w:tc>
        <w:tc>
          <w:tcPr>
            <w:tcW w:w="477" w:type="pct"/>
            <w:tcBorders>
              <w:top w:val="nil"/>
              <w:left w:val="single" w:sz="4" w:space="0" w:color="auto"/>
              <w:bottom w:val="single" w:sz="4" w:space="0" w:color="auto"/>
              <w:right w:val="nil"/>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33 333</w:t>
            </w:r>
          </w:p>
        </w:tc>
        <w:tc>
          <w:tcPr>
            <w:tcW w:w="409" w:type="pct"/>
            <w:tcBorders>
              <w:top w:val="nil"/>
              <w:left w:val="single" w:sz="4" w:space="0" w:color="auto"/>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26 000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26 000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26 000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tuzemské bežné granty a transfery, v tom:</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24 140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23 830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25 000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26 627</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23 000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23 000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23 000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480" w:firstLineChars="300"/>
              <w:rPr>
                <w:rFonts w:ascii="Times New Roman" w:hAnsi="Times New Roman"/>
                <w:sz w:val="16"/>
                <w:szCs w:val="16"/>
              </w:rPr>
            </w:pPr>
            <w:r w:rsidRPr="00987A71">
              <w:rPr>
                <w:rFonts w:ascii="Times New Roman" w:hAnsi="Times New Roman"/>
                <w:sz w:val="16"/>
                <w:szCs w:val="16"/>
              </w:rPr>
              <w:t>tuzemské granty</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1 000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480" w:firstLineChars="300"/>
              <w:rPr>
                <w:rFonts w:ascii="Times New Roman" w:hAnsi="Times New Roman"/>
                <w:sz w:val="16"/>
                <w:szCs w:val="16"/>
              </w:rPr>
            </w:pPr>
            <w:r w:rsidRPr="00987A71">
              <w:rPr>
                <w:rFonts w:ascii="Times New Roman" w:hAnsi="Times New Roman"/>
                <w:sz w:val="16"/>
                <w:szCs w:val="16"/>
              </w:rPr>
              <w:t>bežné transfery zo štátneho rozpočtu</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24 140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23 829</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25 000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26 627</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23 000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23 000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23 000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tuzemské kapitálové granty a transfery, v tom:</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5 000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5 031</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5 000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6 703</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3 000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3 000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3 000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480" w:firstLineChars="300"/>
              <w:rPr>
                <w:rFonts w:ascii="Times New Roman" w:hAnsi="Times New Roman"/>
                <w:sz w:val="16"/>
                <w:szCs w:val="16"/>
              </w:rPr>
            </w:pPr>
            <w:r w:rsidRPr="00987A71">
              <w:rPr>
                <w:rFonts w:ascii="Times New Roman" w:hAnsi="Times New Roman"/>
                <w:sz w:val="16"/>
                <w:szCs w:val="16"/>
              </w:rPr>
              <w:t>kapitálové transfery zo štátneho rozpočtu</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5 000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5 031</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5 000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6 703</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3 000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3 000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3 000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zahraničné granty</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8</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480" w:firstLineChars="300"/>
              <w:rPr>
                <w:rFonts w:ascii="Times New Roman" w:hAnsi="Times New Roman"/>
                <w:sz w:val="16"/>
                <w:szCs w:val="16"/>
              </w:rPr>
            </w:pPr>
            <w:r w:rsidRPr="00987A71">
              <w:rPr>
                <w:rFonts w:ascii="Times New Roman" w:hAnsi="Times New Roman"/>
                <w:sz w:val="16"/>
                <w:szCs w:val="16"/>
              </w:rPr>
              <w:t>bežné - od zahraničného subjektu</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noWrap/>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zahraničné transfery z prostriedkov EÚ</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noWrap/>
            <w:textDirection w:val="lrTb"/>
            <w:vAlign w:val="center"/>
            <w:hideMark/>
          </w:tcPr>
          <w:p w:rsidR="006C0389" w:rsidRPr="00987A71" w:rsidP="000008FE">
            <w:pPr>
              <w:bidi w:val="0"/>
              <w:rPr>
                <w:rFonts w:ascii="Times New Roman" w:hAnsi="Times New Roman"/>
                <w:sz w:val="16"/>
                <w:szCs w:val="16"/>
              </w:rPr>
            </w:pPr>
            <w:r w:rsidRPr="00987A71">
              <w:rPr>
                <w:rFonts w:ascii="Times New Roman" w:hAnsi="Times New Roman"/>
                <w:sz w:val="16"/>
                <w:szCs w:val="16"/>
              </w:rPr>
              <w:t xml:space="preserve"> ▪ príjmy z transakcií s fin. akt. a pas., v tom: </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14 034</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15 370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843</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15 016</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16 521</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17 265</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17 433</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 xml:space="preserve">zostatok prostriedkov z predchádzajúcich rokov </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13 809</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15 340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843</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15 016</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16 521</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17 265</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17 433</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iné príjmové finančné operácie</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224</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31</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nil"/>
            </w:tcBorders>
            <w:shd w:val="clear" w:color="000000" w:fill="BFBFBF"/>
            <w:noWrap/>
            <w:textDirection w:val="lrTb"/>
            <w:vAlign w:val="center"/>
            <w:hideMark/>
          </w:tcPr>
          <w:p w:rsidR="006C0389" w:rsidRPr="00987A71" w:rsidP="000008FE">
            <w:pPr>
              <w:bidi w:val="0"/>
              <w:rPr>
                <w:rFonts w:ascii="Times New Roman" w:hAnsi="Times New Roman"/>
                <w:b/>
                <w:bCs/>
                <w:sz w:val="16"/>
                <w:szCs w:val="16"/>
              </w:rPr>
            </w:pPr>
            <w:r w:rsidRPr="00987A71">
              <w:rPr>
                <w:rFonts w:ascii="Times New Roman" w:hAnsi="Times New Roman"/>
                <w:b/>
                <w:bCs/>
                <w:sz w:val="16"/>
                <w:szCs w:val="16"/>
              </w:rPr>
              <w:t>Výdavky RTVS spolu</w:t>
            </w:r>
          </w:p>
        </w:tc>
        <w:tc>
          <w:tcPr>
            <w:tcW w:w="409"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103 896</w:t>
            </w:r>
          </w:p>
        </w:tc>
        <w:tc>
          <w:tcPr>
            <w:tcW w:w="409"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105 695</w:t>
            </w:r>
          </w:p>
        </w:tc>
        <w:tc>
          <w:tcPr>
            <w:tcW w:w="477"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103 177</w:t>
            </w:r>
          </w:p>
        </w:tc>
        <w:tc>
          <w:tcPr>
            <w:tcW w:w="477"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111 696</w:t>
            </w:r>
          </w:p>
        </w:tc>
        <w:tc>
          <w:tcPr>
            <w:tcW w:w="409"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104 724</w:t>
            </w:r>
          </w:p>
        </w:tc>
        <w:tc>
          <w:tcPr>
            <w:tcW w:w="409"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105 256</w:t>
            </w:r>
          </w:p>
        </w:tc>
        <w:tc>
          <w:tcPr>
            <w:tcW w:w="408"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105 459</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rPr>
                <w:rFonts w:ascii="Times New Roman" w:hAnsi="Times New Roman"/>
                <w:sz w:val="16"/>
                <w:szCs w:val="16"/>
              </w:rPr>
            </w:pPr>
            <w:r w:rsidRPr="00987A71">
              <w:rPr>
                <w:rFonts w:ascii="Times New Roman" w:hAnsi="Times New Roman"/>
                <w:sz w:val="16"/>
                <w:szCs w:val="16"/>
              </w:rPr>
              <w:t xml:space="preserve"> ▪ bežné výdavky, v tom:</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97 038</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95 370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97 177</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102 976</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101 724</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102 256</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102 459</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mzdy, platy, služobné príjmy a ostatné osobné vyrovnania</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17 794</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18 810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18 194</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19 502</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19 045</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19 045</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19 045</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poistné a príspevok do poisťovní</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6 373</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6 451</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6 516</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6 955</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6 729</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6 729</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6 729</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tovary a služby</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72 112</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69 609</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71 845</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75 895</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75 323</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75 904</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76 107</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bežné transfery, z toho:</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760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500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622</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624</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627</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577</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577</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480" w:firstLineChars="300"/>
              <w:rPr>
                <w:rFonts w:ascii="Times New Roman" w:hAnsi="Times New Roman"/>
                <w:sz w:val="16"/>
                <w:szCs w:val="16"/>
              </w:rPr>
            </w:pPr>
            <w:r w:rsidRPr="00987A71">
              <w:rPr>
                <w:rFonts w:ascii="Times New Roman" w:hAnsi="Times New Roman"/>
                <w:sz w:val="16"/>
                <w:szCs w:val="16"/>
              </w:rPr>
              <w:t>ostatným subjektom verejnej správy (RTVS, s.r.o.)</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480" w:firstLineChars="300"/>
              <w:rPr>
                <w:rFonts w:ascii="Times New Roman" w:hAnsi="Times New Roman"/>
                <w:sz w:val="16"/>
                <w:szCs w:val="16"/>
              </w:rPr>
            </w:pPr>
            <w:r w:rsidRPr="00987A71">
              <w:rPr>
                <w:rFonts w:ascii="Times New Roman" w:hAnsi="Times New Roman"/>
                <w:sz w:val="16"/>
                <w:szCs w:val="16"/>
              </w:rPr>
              <w:t>ostatným subjektom verejnej správy (AVF)</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110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84</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150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115</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150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100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100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splácanie úrokov a ostatné platby</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rPr>
                <w:rFonts w:ascii="Times New Roman" w:hAnsi="Times New Roman"/>
                <w:sz w:val="16"/>
                <w:szCs w:val="16"/>
              </w:rPr>
            </w:pPr>
            <w:r w:rsidRPr="00987A71">
              <w:rPr>
                <w:rFonts w:ascii="Times New Roman" w:hAnsi="Times New Roman"/>
                <w:sz w:val="16"/>
                <w:szCs w:val="16"/>
              </w:rPr>
              <w:t xml:space="preserve"> ▪ kapitálové výdavky</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6 767</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10 325</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6 000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8 720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3 000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3 000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3 000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obstarávanie kapitálových aktív</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6 767</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10 325</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6 000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8 720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3 000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3 000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3 000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rPr>
                <w:rFonts w:ascii="Times New Roman" w:hAnsi="Times New Roman"/>
                <w:sz w:val="16"/>
                <w:szCs w:val="16"/>
              </w:rPr>
            </w:pPr>
            <w:r w:rsidRPr="00987A71">
              <w:rPr>
                <w:rFonts w:ascii="Times New Roman" w:hAnsi="Times New Roman"/>
                <w:sz w:val="16"/>
                <w:szCs w:val="16"/>
              </w:rPr>
              <w:t xml:space="preserve"> ▪ výdavky z transakcií s finančnými aktívami a pasívami., v tom:</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91</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účasť na majetku (FO)</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55</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splácanie istín</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36</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nil"/>
            </w:tcBorders>
            <w:shd w:val="clear" w:color="000000" w:fill="BFBFBF"/>
            <w:noWrap/>
            <w:textDirection w:val="lrTb"/>
            <w:vAlign w:val="center"/>
            <w:hideMark/>
          </w:tcPr>
          <w:p w:rsidR="006C0389" w:rsidRPr="00987A71" w:rsidP="000008FE">
            <w:pPr>
              <w:bidi w:val="0"/>
              <w:rPr>
                <w:rFonts w:ascii="Times New Roman" w:hAnsi="Times New Roman"/>
                <w:b/>
                <w:bCs/>
                <w:sz w:val="16"/>
                <w:szCs w:val="16"/>
              </w:rPr>
            </w:pPr>
            <w:r w:rsidRPr="00987A71">
              <w:rPr>
                <w:rFonts w:ascii="Times New Roman" w:hAnsi="Times New Roman"/>
                <w:b/>
                <w:bCs/>
                <w:sz w:val="16"/>
                <w:szCs w:val="16"/>
              </w:rPr>
              <w:t>Celková bilancia RTVS</w:t>
            </w:r>
          </w:p>
        </w:tc>
        <w:tc>
          <w:tcPr>
            <w:tcW w:w="409"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15 585</w:t>
            </w:r>
          </w:p>
        </w:tc>
        <w:tc>
          <w:tcPr>
            <w:tcW w:w="409"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15 015</w:t>
            </w:r>
          </w:p>
        </w:tc>
        <w:tc>
          <w:tcPr>
            <w:tcW w:w="477" w:type="pct"/>
            <w:tcBorders>
              <w:top w:val="nil"/>
              <w:left w:val="nil"/>
              <w:bottom w:val="single" w:sz="4" w:space="0" w:color="auto"/>
              <w:right w:val="nil"/>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1 892</w:t>
            </w:r>
          </w:p>
        </w:tc>
        <w:tc>
          <w:tcPr>
            <w:tcW w:w="477" w:type="pct"/>
            <w:tcBorders>
              <w:top w:val="nil"/>
              <w:left w:val="single" w:sz="4" w:space="0" w:color="auto"/>
              <w:bottom w:val="single" w:sz="4" w:space="0" w:color="auto"/>
              <w:right w:val="nil"/>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16 521</w:t>
            </w:r>
          </w:p>
        </w:tc>
        <w:tc>
          <w:tcPr>
            <w:tcW w:w="409"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17 265</w:t>
            </w:r>
          </w:p>
        </w:tc>
        <w:tc>
          <w:tcPr>
            <w:tcW w:w="409"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17 433</w:t>
            </w:r>
          </w:p>
        </w:tc>
        <w:tc>
          <w:tcPr>
            <w:tcW w:w="408"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17 601</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nil"/>
            </w:tcBorders>
            <w:noWrap/>
            <w:textDirection w:val="lrTb"/>
            <w:vAlign w:val="center"/>
            <w:hideMark/>
          </w:tcPr>
          <w:p w:rsidR="006C0389" w:rsidRPr="00987A71" w:rsidP="000008FE">
            <w:pPr>
              <w:bidi w:val="0"/>
              <w:rPr>
                <w:rFonts w:ascii="Times New Roman" w:hAnsi="Times New Roman"/>
                <w:b/>
                <w:bCs/>
                <w:iCs/>
                <w:sz w:val="16"/>
                <w:szCs w:val="16"/>
              </w:rPr>
            </w:pPr>
            <w:r w:rsidRPr="00987A71">
              <w:rPr>
                <w:rFonts w:ascii="Times New Roman" w:hAnsi="Times New Roman"/>
                <w:b/>
                <w:bCs/>
                <w:iCs/>
                <w:sz w:val="16"/>
                <w:szCs w:val="16"/>
              </w:rPr>
              <w:t xml:space="preserve"> ▪ vylúčenie finančných operácií</w:t>
            </w:r>
          </w:p>
        </w:tc>
        <w:tc>
          <w:tcPr>
            <w:tcW w:w="409" w:type="pct"/>
            <w:tcBorders>
              <w:top w:val="nil"/>
              <w:left w:val="single" w:sz="4" w:space="0" w:color="auto"/>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-13 943</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-15 370</w:t>
            </w:r>
          </w:p>
        </w:tc>
        <w:tc>
          <w:tcPr>
            <w:tcW w:w="477" w:type="pct"/>
            <w:tcBorders>
              <w:top w:val="nil"/>
              <w:left w:val="nil"/>
              <w:bottom w:val="single" w:sz="4" w:space="0" w:color="auto"/>
              <w:right w:val="nil"/>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-843</w:t>
            </w:r>
          </w:p>
        </w:tc>
        <w:tc>
          <w:tcPr>
            <w:tcW w:w="477" w:type="pct"/>
            <w:tcBorders>
              <w:top w:val="nil"/>
              <w:left w:val="single" w:sz="4" w:space="0" w:color="auto"/>
              <w:bottom w:val="single" w:sz="4" w:space="0" w:color="auto"/>
              <w:right w:val="nil"/>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-15 016</w:t>
            </w:r>
          </w:p>
        </w:tc>
        <w:tc>
          <w:tcPr>
            <w:tcW w:w="409" w:type="pct"/>
            <w:tcBorders>
              <w:top w:val="nil"/>
              <w:left w:val="single" w:sz="4" w:space="0" w:color="auto"/>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-16 521</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-17 265</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-17 433</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nil"/>
            </w:tcBorders>
            <w:noWrap/>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vylúčenie príjmových FO</w:t>
            </w:r>
          </w:p>
        </w:tc>
        <w:tc>
          <w:tcPr>
            <w:tcW w:w="409" w:type="pct"/>
            <w:tcBorders>
              <w:top w:val="nil"/>
              <w:left w:val="single" w:sz="4" w:space="0" w:color="auto"/>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-14 034</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-15 370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-843</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-15 016</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-16 521</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-17 265</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-17 433</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nil"/>
            </w:tcBorders>
            <w:noWrap/>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vylúčenie výdavkových FO</w:t>
            </w:r>
          </w:p>
        </w:tc>
        <w:tc>
          <w:tcPr>
            <w:tcW w:w="409" w:type="pct"/>
            <w:tcBorders>
              <w:top w:val="nil"/>
              <w:left w:val="single" w:sz="4" w:space="0" w:color="auto"/>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91</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nil"/>
            </w:tcBorders>
            <w:noWrap/>
            <w:textDirection w:val="lrTb"/>
            <w:vAlign w:val="center"/>
            <w:hideMark/>
          </w:tcPr>
          <w:p w:rsidR="006C0389" w:rsidRPr="00987A71" w:rsidP="000008FE">
            <w:pPr>
              <w:bidi w:val="0"/>
              <w:rPr>
                <w:rFonts w:ascii="Times New Roman" w:hAnsi="Times New Roman"/>
                <w:b/>
                <w:bCs/>
                <w:i/>
                <w:iCs/>
                <w:sz w:val="16"/>
                <w:szCs w:val="16"/>
              </w:rPr>
            </w:pPr>
            <w:r w:rsidRPr="00987A71">
              <w:rPr>
                <w:rFonts w:ascii="Times New Roman" w:hAnsi="Times New Roman"/>
                <w:b/>
                <w:bCs/>
                <w:i/>
                <w:iCs/>
                <w:sz w:val="16"/>
                <w:szCs w:val="16"/>
              </w:rPr>
              <w:t>Medziročná zmena stavu pohľadávok</w:t>
            </w:r>
          </w:p>
        </w:tc>
        <w:tc>
          <w:tcPr>
            <w:tcW w:w="409" w:type="pct"/>
            <w:tcBorders>
              <w:top w:val="nil"/>
              <w:left w:val="single" w:sz="4" w:space="0" w:color="auto"/>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2 394</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4336F7">
            <w:pPr>
              <w:bidi w:val="0"/>
              <w:jc w:val="right"/>
              <w:rPr>
                <w:rFonts w:ascii="Times New Roman" w:hAnsi="Times New Roman"/>
                <w:b/>
                <w:bCs/>
                <w:i/>
                <w:iCs/>
                <w:sz w:val="16"/>
                <w:szCs w:val="16"/>
              </w:rPr>
            </w:pPr>
            <w:r w:rsidRPr="00987A71">
              <w:rPr>
                <w:rFonts w:ascii="Times New Roman" w:hAnsi="Times New Roman"/>
                <w:b/>
                <w:bCs/>
                <w:i/>
                <w:iCs/>
                <w:sz w:val="16"/>
                <w:szCs w:val="16"/>
              </w:rPr>
              <w:t xml:space="preserve">-456 </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4336F7">
            <w:pPr>
              <w:bidi w:val="0"/>
              <w:jc w:val="right"/>
              <w:rPr>
                <w:rFonts w:ascii="Times New Roman" w:hAnsi="Times New Roman"/>
                <w:b/>
                <w:bCs/>
                <w:i/>
                <w:iCs/>
                <w:sz w:val="16"/>
                <w:szCs w:val="16"/>
              </w:rPr>
            </w:pPr>
            <w:r w:rsidRPr="00987A71" w:rsidR="004336F7">
              <w:rPr>
                <w:rFonts w:ascii="Times New Roman" w:hAnsi="Times New Roman"/>
                <w:b/>
                <w:bCs/>
                <w:i/>
                <w:iCs/>
                <w:sz w:val="16"/>
                <w:szCs w:val="16"/>
              </w:rPr>
              <w:t>-1 216</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nil"/>
            </w:tcBorders>
            <w:noWrap/>
            <w:textDirection w:val="lrTb"/>
            <w:vAlign w:val="center"/>
            <w:hideMark/>
          </w:tcPr>
          <w:p w:rsidR="006C0389" w:rsidRPr="00987A71" w:rsidP="000008FE">
            <w:pPr>
              <w:bidi w:val="0"/>
              <w:rPr>
                <w:rFonts w:ascii="Times New Roman" w:hAnsi="Times New Roman"/>
                <w:b/>
                <w:bCs/>
                <w:i/>
                <w:iCs/>
                <w:sz w:val="16"/>
                <w:szCs w:val="16"/>
              </w:rPr>
            </w:pPr>
            <w:r w:rsidRPr="00987A71">
              <w:rPr>
                <w:rFonts w:ascii="Times New Roman" w:hAnsi="Times New Roman"/>
                <w:b/>
                <w:bCs/>
                <w:i/>
                <w:iCs/>
                <w:sz w:val="16"/>
                <w:szCs w:val="16"/>
              </w:rPr>
              <w:t>Medziročná zmena stavu záväzkov</w:t>
            </w:r>
          </w:p>
        </w:tc>
        <w:tc>
          <w:tcPr>
            <w:tcW w:w="409" w:type="pct"/>
            <w:tcBorders>
              <w:top w:val="nil"/>
              <w:left w:val="single" w:sz="4" w:space="0" w:color="auto"/>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-710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4336F7">
            <w:pPr>
              <w:bidi w:val="0"/>
              <w:jc w:val="right"/>
              <w:rPr>
                <w:rFonts w:ascii="Times New Roman" w:hAnsi="Times New Roman"/>
                <w:b/>
                <w:bCs/>
                <w:i/>
                <w:iCs/>
                <w:sz w:val="16"/>
                <w:szCs w:val="16"/>
              </w:rPr>
            </w:pPr>
            <w:r w:rsidRPr="00987A71">
              <w:rPr>
                <w:rFonts w:ascii="Times New Roman" w:hAnsi="Times New Roman"/>
                <w:b/>
                <w:bCs/>
                <w:i/>
                <w:iCs/>
                <w:sz w:val="16"/>
                <w:szCs w:val="16"/>
              </w:rPr>
              <w:t xml:space="preserve">-850 </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4336F7">
            <w:pPr>
              <w:bidi w:val="0"/>
              <w:jc w:val="right"/>
              <w:rPr>
                <w:rFonts w:ascii="Times New Roman" w:hAnsi="Times New Roman"/>
                <w:b/>
                <w:bCs/>
                <w:i/>
                <w:iCs/>
                <w:sz w:val="16"/>
                <w:szCs w:val="16"/>
              </w:rPr>
            </w:pPr>
            <w:r w:rsidRPr="00987A71" w:rsidR="004336F7">
              <w:rPr>
                <w:rFonts w:ascii="Times New Roman" w:hAnsi="Times New Roman"/>
                <w:b/>
                <w:bCs/>
                <w:i/>
                <w:iCs/>
                <w:sz w:val="16"/>
                <w:szCs w:val="16"/>
              </w:rPr>
              <w:t>760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single" w:sz="4" w:space="0" w:color="auto"/>
            </w:tcBorders>
            <w:noWrap/>
            <w:textDirection w:val="lrTb"/>
            <w:vAlign w:val="center"/>
            <w:hideMark/>
          </w:tcPr>
          <w:p w:rsidR="006C0389" w:rsidRPr="00987A71" w:rsidP="000008FE">
            <w:pPr>
              <w:bidi w:val="0"/>
              <w:rPr>
                <w:rFonts w:ascii="Times New Roman" w:hAnsi="Times New Roman"/>
                <w:b/>
                <w:bCs/>
                <w:i/>
                <w:iCs/>
                <w:sz w:val="16"/>
                <w:szCs w:val="16"/>
              </w:rPr>
            </w:pPr>
            <w:r w:rsidRPr="00987A71">
              <w:rPr>
                <w:rFonts w:ascii="Times New Roman" w:hAnsi="Times New Roman"/>
                <w:b/>
                <w:bCs/>
                <w:i/>
                <w:iCs/>
                <w:sz w:val="16"/>
                <w:szCs w:val="16"/>
              </w:rPr>
              <w:t>ostatné úpravy</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4336F7">
            <w:pPr>
              <w:bidi w:val="0"/>
              <w:jc w:val="right"/>
              <w:rPr>
                <w:rFonts w:ascii="Times New Roman" w:hAnsi="Times New Roman"/>
                <w:b/>
                <w:bCs/>
                <w:i/>
                <w:iCs/>
                <w:sz w:val="16"/>
                <w:szCs w:val="16"/>
              </w:rPr>
            </w:pPr>
            <w:r w:rsidRPr="00987A71">
              <w:rPr>
                <w:rFonts w:ascii="Times New Roman" w:hAnsi="Times New Roman"/>
                <w:b/>
                <w:bCs/>
                <w:i/>
                <w:iCs/>
                <w:sz w:val="16"/>
                <w:szCs w:val="16"/>
              </w:rPr>
              <w:t xml:space="preserve">71 </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477"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409"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408" w:type="pct"/>
            <w:tcBorders>
              <w:top w:val="nil"/>
              <w:left w:val="nil"/>
              <w:bottom w:val="single" w:sz="4" w:space="0" w:color="auto"/>
              <w:right w:val="single" w:sz="4" w:space="0" w:color="auto"/>
            </w:tcBorders>
            <w:noWrap/>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r>
      <w:tr>
        <w:tblPrEx>
          <w:tblW w:w="5000" w:type="pct"/>
          <w:tblCellMar>
            <w:left w:w="70" w:type="dxa"/>
            <w:right w:w="70" w:type="dxa"/>
          </w:tblCellMar>
          <w:tblLook w:val="04A0"/>
        </w:tblPrEx>
        <w:trPr>
          <w:trHeight w:val="255"/>
        </w:trPr>
        <w:tc>
          <w:tcPr>
            <w:tcW w:w="2002" w:type="pct"/>
            <w:tcBorders>
              <w:top w:val="nil"/>
              <w:left w:val="single" w:sz="4" w:space="0" w:color="auto"/>
              <w:bottom w:val="single" w:sz="4" w:space="0" w:color="auto"/>
              <w:right w:val="nil"/>
            </w:tcBorders>
            <w:shd w:val="clear" w:color="000000" w:fill="BFBFBF"/>
            <w:noWrap/>
            <w:textDirection w:val="lrTb"/>
            <w:vAlign w:val="center"/>
            <w:hideMark/>
          </w:tcPr>
          <w:p w:rsidR="006C0389" w:rsidRPr="00987A71" w:rsidP="000008FE">
            <w:pPr>
              <w:bidi w:val="0"/>
              <w:rPr>
                <w:rFonts w:ascii="Times New Roman" w:hAnsi="Times New Roman"/>
                <w:b/>
                <w:bCs/>
                <w:sz w:val="16"/>
                <w:szCs w:val="16"/>
              </w:rPr>
            </w:pPr>
            <w:r w:rsidRPr="00987A71">
              <w:rPr>
                <w:rFonts w:ascii="Times New Roman" w:hAnsi="Times New Roman"/>
                <w:b/>
                <w:bCs/>
                <w:sz w:val="16"/>
                <w:szCs w:val="16"/>
              </w:rPr>
              <w:t>Prebytok (+) / schodok (-) RTVS (ESA 2010)</w:t>
            </w:r>
          </w:p>
        </w:tc>
        <w:tc>
          <w:tcPr>
            <w:tcW w:w="409"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3 326</w:t>
            </w:r>
          </w:p>
        </w:tc>
        <w:tc>
          <w:tcPr>
            <w:tcW w:w="409"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4336F7">
            <w:pPr>
              <w:bidi w:val="0"/>
              <w:jc w:val="right"/>
              <w:rPr>
                <w:rFonts w:ascii="Times New Roman" w:hAnsi="Times New Roman"/>
                <w:b/>
                <w:bCs/>
                <w:iCs/>
                <w:sz w:val="16"/>
                <w:szCs w:val="16"/>
              </w:rPr>
            </w:pPr>
            <w:r w:rsidRPr="00987A71">
              <w:rPr>
                <w:rFonts w:ascii="Times New Roman" w:hAnsi="Times New Roman"/>
                <w:b/>
                <w:bCs/>
                <w:iCs/>
                <w:sz w:val="16"/>
                <w:szCs w:val="16"/>
              </w:rPr>
              <w:t xml:space="preserve">-1 </w:t>
            </w:r>
            <w:r w:rsidRPr="00987A71" w:rsidR="004336F7">
              <w:rPr>
                <w:rFonts w:ascii="Times New Roman" w:hAnsi="Times New Roman"/>
                <w:b/>
                <w:bCs/>
                <w:iCs/>
                <w:sz w:val="16"/>
                <w:szCs w:val="16"/>
              </w:rPr>
              <w:t>590</w:t>
            </w:r>
          </w:p>
        </w:tc>
        <w:tc>
          <w:tcPr>
            <w:tcW w:w="477" w:type="pct"/>
            <w:tcBorders>
              <w:top w:val="nil"/>
              <w:left w:val="nil"/>
              <w:bottom w:val="single" w:sz="4" w:space="0" w:color="auto"/>
              <w:right w:val="nil"/>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1 050</w:t>
            </w:r>
          </w:p>
        </w:tc>
        <w:tc>
          <w:tcPr>
            <w:tcW w:w="477" w:type="pct"/>
            <w:tcBorders>
              <w:top w:val="nil"/>
              <w:left w:val="single" w:sz="4" w:space="0" w:color="auto"/>
              <w:bottom w:val="single" w:sz="4" w:space="0" w:color="auto"/>
              <w:right w:val="nil"/>
            </w:tcBorders>
            <w:shd w:val="clear" w:color="000000" w:fill="BFBFBF"/>
            <w:noWrap/>
            <w:textDirection w:val="lrTb"/>
            <w:vAlign w:val="center"/>
            <w:hideMark/>
          </w:tcPr>
          <w:p w:rsidR="006C0389" w:rsidRPr="00987A71" w:rsidP="004336F7">
            <w:pPr>
              <w:bidi w:val="0"/>
              <w:jc w:val="right"/>
              <w:rPr>
                <w:rFonts w:ascii="Times New Roman" w:hAnsi="Times New Roman"/>
                <w:b/>
                <w:bCs/>
                <w:iCs/>
                <w:sz w:val="16"/>
                <w:szCs w:val="16"/>
              </w:rPr>
            </w:pPr>
            <w:r w:rsidRPr="00987A71">
              <w:rPr>
                <w:rFonts w:ascii="Times New Roman" w:hAnsi="Times New Roman"/>
                <w:b/>
                <w:bCs/>
                <w:iCs/>
                <w:sz w:val="16"/>
                <w:szCs w:val="16"/>
              </w:rPr>
              <w:t xml:space="preserve">1 </w:t>
            </w:r>
            <w:r w:rsidRPr="00987A71" w:rsidR="004336F7">
              <w:rPr>
                <w:rFonts w:ascii="Times New Roman" w:hAnsi="Times New Roman"/>
                <w:b/>
                <w:bCs/>
                <w:iCs/>
                <w:sz w:val="16"/>
                <w:szCs w:val="16"/>
              </w:rPr>
              <w:t>050</w:t>
            </w:r>
          </w:p>
        </w:tc>
        <w:tc>
          <w:tcPr>
            <w:tcW w:w="409"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744</w:t>
            </w:r>
          </w:p>
        </w:tc>
        <w:tc>
          <w:tcPr>
            <w:tcW w:w="409"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168</w:t>
            </w:r>
          </w:p>
        </w:tc>
        <w:tc>
          <w:tcPr>
            <w:tcW w:w="408"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168</w:t>
            </w:r>
          </w:p>
        </w:tc>
      </w:tr>
    </w:tbl>
    <w:p w:rsidR="006C0389" w:rsidRPr="006573DA" w:rsidP="006C0389">
      <w:pPr>
        <w:bidi w:val="0"/>
        <w:ind w:firstLine="708"/>
        <w:jc w:val="both"/>
        <w:rPr>
          <w:rFonts w:ascii="Times New Roman" w:hAnsi="Times New Roman"/>
        </w:rPr>
      </w:pPr>
    </w:p>
    <w:p w:rsidR="006C0389" w:rsidRPr="000E26DD" w:rsidP="006C0389">
      <w:pPr>
        <w:bidi w:val="0"/>
        <w:ind w:firstLine="709"/>
        <w:jc w:val="both"/>
        <w:rPr>
          <w:rFonts w:ascii="Times New Roman" w:hAnsi="Times New Roman"/>
        </w:rPr>
      </w:pPr>
      <w:r w:rsidRPr="000E26DD">
        <w:rPr>
          <w:rFonts w:ascii="Times New Roman" w:hAnsi="Times New Roman"/>
        </w:rPr>
        <w:t xml:space="preserve">Celkové príjmy RTVS na rok 2016 rozpočtované v objeme 122 mil. eur sú medziročne vyššie o 16,9 mil. eur, t. j. o 16,1 %. Uvedené zvýšenie súvisí najmä s rastom </w:t>
      </w:r>
      <w:r>
        <w:rPr>
          <w:rFonts w:ascii="Times New Roman" w:hAnsi="Times New Roman"/>
        </w:rPr>
        <w:t xml:space="preserve">zostatku </w:t>
      </w:r>
      <w:r w:rsidRPr="000E26DD">
        <w:rPr>
          <w:rFonts w:ascii="Times New Roman" w:hAnsi="Times New Roman"/>
        </w:rPr>
        <w:t>fina</w:t>
      </w:r>
      <w:r>
        <w:rPr>
          <w:rFonts w:ascii="Times New Roman" w:hAnsi="Times New Roman"/>
        </w:rPr>
        <w:t>n</w:t>
      </w:r>
      <w:r w:rsidRPr="000E26DD">
        <w:rPr>
          <w:rFonts w:ascii="Times New Roman" w:hAnsi="Times New Roman"/>
        </w:rPr>
        <w:t>čných prostriedkov z predchádzajúci</w:t>
      </w:r>
      <w:r>
        <w:rPr>
          <w:rFonts w:ascii="Times New Roman" w:hAnsi="Times New Roman"/>
        </w:rPr>
        <w:t>c</w:t>
      </w:r>
      <w:r w:rsidRPr="000E26DD">
        <w:rPr>
          <w:rFonts w:ascii="Times New Roman" w:hAnsi="Times New Roman"/>
        </w:rPr>
        <w:t>h rokov, ktor</w:t>
      </w:r>
      <w:r>
        <w:rPr>
          <w:rFonts w:ascii="Times New Roman" w:hAnsi="Times New Roman"/>
        </w:rPr>
        <w:t>ý</w:t>
      </w:r>
      <w:r w:rsidRPr="000E26DD">
        <w:rPr>
          <w:rFonts w:ascii="Times New Roman" w:hAnsi="Times New Roman"/>
        </w:rPr>
        <w:t xml:space="preserve"> sa odhaduj</w:t>
      </w:r>
      <w:r>
        <w:rPr>
          <w:rFonts w:ascii="Times New Roman" w:hAnsi="Times New Roman"/>
        </w:rPr>
        <w:t>e</w:t>
      </w:r>
      <w:r w:rsidRPr="000E26DD">
        <w:rPr>
          <w:rFonts w:ascii="Times New Roman" w:hAnsi="Times New Roman"/>
        </w:rPr>
        <w:t xml:space="preserve"> v sume 16,5 mil. eur. Súčasne pozitívny vývoj sa očakáva  aj v oblasti vlastných príjmov RTVS, ktoré tvoria najmä</w:t>
      </w:r>
      <w:r>
        <w:rPr>
          <w:rFonts w:ascii="Times New Roman" w:hAnsi="Times New Roman"/>
        </w:rPr>
        <w:t xml:space="preserve"> </w:t>
      </w:r>
      <w:r w:rsidRPr="000E26DD">
        <w:rPr>
          <w:rFonts w:ascii="Times New Roman" w:hAnsi="Times New Roman"/>
        </w:rPr>
        <w:t xml:space="preserve">úhrady za služby verejnosti. Na základe  zastavenia poklesu týchto príjmov a ich stabilizácie </w:t>
      </w:r>
      <w:r>
        <w:rPr>
          <w:rFonts w:ascii="Times New Roman" w:hAnsi="Times New Roman"/>
        </w:rPr>
        <w:t xml:space="preserve"> </w:t>
      </w:r>
      <w:r w:rsidRPr="000E26DD">
        <w:rPr>
          <w:rFonts w:ascii="Times New Roman" w:hAnsi="Times New Roman"/>
        </w:rPr>
        <w:t xml:space="preserve"> sa  predpokladá </w:t>
      </w:r>
      <w:r>
        <w:rPr>
          <w:rFonts w:ascii="Times New Roman" w:hAnsi="Times New Roman"/>
        </w:rPr>
        <w:t xml:space="preserve"> </w:t>
      </w:r>
      <w:r w:rsidRPr="000E26DD">
        <w:rPr>
          <w:rFonts w:ascii="Times New Roman" w:hAnsi="Times New Roman"/>
        </w:rPr>
        <w:t xml:space="preserve"> medziročné </w:t>
      </w:r>
      <w:r>
        <w:rPr>
          <w:rFonts w:ascii="Times New Roman" w:hAnsi="Times New Roman"/>
        </w:rPr>
        <w:t xml:space="preserve">  </w:t>
      </w:r>
      <w:r w:rsidRPr="000E26DD">
        <w:rPr>
          <w:rFonts w:ascii="Times New Roman" w:hAnsi="Times New Roman"/>
        </w:rPr>
        <w:t xml:space="preserve">zvýšenie </w:t>
      </w:r>
      <w:r>
        <w:rPr>
          <w:rFonts w:ascii="Times New Roman" w:hAnsi="Times New Roman"/>
        </w:rPr>
        <w:t xml:space="preserve">  </w:t>
      </w:r>
      <w:r w:rsidRPr="000E26DD">
        <w:rPr>
          <w:rFonts w:ascii="Times New Roman" w:hAnsi="Times New Roman"/>
        </w:rPr>
        <w:t xml:space="preserve">daňových </w:t>
      </w:r>
      <w:r>
        <w:rPr>
          <w:rFonts w:ascii="Times New Roman" w:hAnsi="Times New Roman"/>
        </w:rPr>
        <w:t xml:space="preserve">  </w:t>
      </w:r>
      <w:r w:rsidRPr="000E26DD">
        <w:rPr>
          <w:rFonts w:ascii="Times New Roman" w:hAnsi="Times New Roman"/>
        </w:rPr>
        <w:t>príjmov</w:t>
      </w:r>
      <w:r>
        <w:rPr>
          <w:rFonts w:ascii="Times New Roman" w:hAnsi="Times New Roman"/>
        </w:rPr>
        <w:t xml:space="preserve"> </w:t>
      </w:r>
      <w:r w:rsidRPr="000E26DD">
        <w:rPr>
          <w:rFonts w:ascii="Times New Roman" w:hAnsi="Times New Roman"/>
        </w:rPr>
        <w:t xml:space="preserve"> </w:t>
      </w:r>
      <w:r>
        <w:rPr>
          <w:rFonts w:ascii="Times New Roman" w:hAnsi="Times New Roman"/>
        </w:rPr>
        <w:t xml:space="preserve"> </w:t>
      </w:r>
      <w:r w:rsidRPr="000E26DD">
        <w:rPr>
          <w:rFonts w:ascii="Times New Roman" w:hAnsi="Times New Roman"/>
        </w:rPr>
        <w:t>o </w:t>
      </w:r>
      <w:r>
        <w:rPr>
          <w:rFonts w:ascii="Times New Roman" w:hAnsi="Times New Roman"/>
        </w:rPr>
        <w:t xml:space="preserve"> </w:t>
      </w:r>
      <w:r w:rsidRPr="000E26DD">
        <w:rPr>
          <w:rFonts w:ascii="Times New Roman" w:hAnsi="Times New Roman"/>
        </w:rPr>
        <w:t>4,80</w:t>
      </w:r>
      <w:r>
        <w:rPr>
          <w:rFonts w:ascii="Times New Roman" w:hAnsi="Times New Roman"/>
        </w:rPr>
        <w:t xml:space="preserve"> </w:t>
      </w:r>
      <w:r w:rsidRPr="000E26DD">
        <w:rPr>
          <w:rFonts w:ascii="Times New Roman" w:hAnsi="Times New Roman"/>
        </w:rPr>
        <w:t xml:space="preserve"> mil. eur, t. j. 6,87 %.</w:t>
      </w:r>
    </w:p>
    <w:p w:rsidR="006C0389" w:rsidP="006C0389">
      <w:pPr>
        <w:bidi w:val="0"/>
        <w:ind w:firstLine="709"/>
        <w:jc w:val="both"/>
        <w:rPr>
          <w:rFonts w:ascii="Times New Roman" w:hAnsi="Times New Roman"/>
          <w:color w:val="000000"/>
          <w:sz w:val="16"/>
          <w:szCs w:val="16"/>
        </w:rPr>
      </w:pPr>
    </w:p>
    <w:p w:rsidR="005229AB" w:rsidP="005229AB">
      <w:pPr>
        <w:bidi w:val="0"/>
        <w:ind w:firstLine="709"/>
        <w:jc w:val="both"/>
        <w:rPr>
          <w:rFonts w:ascii="Times New Roman" w:hAnsi="Times New Roman"/>
        </w:rPr>
      </w:pPr>
      <w:r>
        <w:rPr>
          <w:rFonts w:ascii="Times New Roman" w:hAnsi="Times New Roman"/>
        </w:rPr>
        <w:t xml:space="preserve">Súčasne ministerstvo financií </w:t>
      </w:r>
      <w:r w:rsidR="005412E0">
        <w:rPr>
          <w:rFonts w:ascii="Times New Roman" w:hAnsi="Times New Roman"/>
        </w:rPr>
        <w:t>rozpočtuje v kapitole Všeobecná pokladničná správa sumu 5 mil. eur v roku 2016 na</w:t>
      </w:r>
      <w:r>
        <w:rPr>
          <w:rFonts w:ascii="Times New Roman" w:hAnsi="Times New Roman"/>
        </w:rPr>
        <w:t xml:space="preserve"> zabezpečen</w:t>
      </w:r>
      <w:r w:rsidR="005412E0">
        <w:rPr>
          <w:rFonts w:ascii="Times New Roman" w:hAnsi="Times New Roman"/>
        </w:rPr>
        <w:t>ie</w:t>
      </w:r>
      <w:r>
        <w:rPr>
          <w:rFonts w:ascii="Times New Roman" w:hAnsi="Times New Roman"/>
        </w:rPr>
        <w:t xml:space="preserve"> služieb verejnosti v oblasti rozhlasového a televízneho vysielania</w:t>
      </w:r>
      <w:r w:rsidRPr="005412E0">
        <w:rPr>
          <w:rFonts w:ascii="Times New Roman" w:hAnsi="Times New Roman"/>
        </w:rPr>
        <w:t>.</w:t>
      </w:r>
      <w:r w:rsidR="00623928">
        <w:rPr>
          <w:rFonts w:ascii="Times New Roman" w:hAnsi="Times New Roman"/>
        </w:rPr>
        <w:t xml:space="preserve"> Po uvoľnení týchto prostriedkov prostredníctvom rozpočtového opatrenia budú zvýšené príjmy a výdavky RTVS.  </w:t>
      </w:r>
    </w:p>
    <w:p w:rsidR="005229AB" w:rsidRPr="000E26DD" w:rsidP="006C0389">
      <w:pPr>
        <w:bidi w:val="0"/>
        <w:ind w:firstLine="709"/>
        <w:jc w:val="both"/>
        <w:rPr>
          <w:rFonts w:ascii="Times New Roman" w:hAnsi="Times New Roman"/>
          <w:color w:val="000000"/>
          <w:sz w:val="16"/>
          <w:szCs w:val="16"/>
        </w:rPr>
      </w:pPr>
    </w:p>
    <w:p w:rsidR="006C0389" w:rsidRPr="000E26DD" w:rsidP="006C0389">
      <w:pPr>
        <w:bidi w:val="0"/>
        <w:ind w:firstLine="708"/>
        <w:jc w:val="both"/>
        <w:rPr>
          <w:rFonts w:ascii="Times New Roman" w:hAnsi="Times New Roman"/>
        </w:rPr>
      </w:pPr>
      <w:r w:rsidRPr="000E26DD">
        <w:rPr>
          <w:rFonts w:ascii="Times New Roman" w:hAnsi="Times New Roman"/>
        </w:rPr>
        <w:t>K </w:t>
      </w:r>
      <w:r>
        <w:rPr>
          <w:rFonts w:ascii="Times New Roman" w:hAnsi="Times New Roman"/>
        </w:rPr>
        <w:t xml:space="preserve"> </w:t>
      </w:r>
      <w:r w:rsidRPr="000E26DD">
        <w:rPr>
          <w:rFonts w:ascii="Times New Roman" w:hAnsi="Times New Roman"/>
        </w:rPr>
        <w:t>zvýšeniu dochádza</w:t>
      </w:r>
      <w:r>
        <w:rPr>
          <w:rFonts w:ascii="Times New Roman" w:hAnsi="Times New Roman"/>
        </w:rPr>
        <w:t xml:space="preserve"> </w:t>
      </w:r>
      <w:r w:rsidRPr="000E26DD">
        <w:rPr>
          <w:rFonts w:ascii="Times New Roman" w:hAnsi="Times New Roman"/>
        </w:rPr>
        <w:t xml:space="preserve"> aj </w:t>
      </w:r>
      <w:r>
        <w:rPr>
          <w:rFonts w:ascii="Times New Roman" w:hAnsi="Times New Roman"/>
        </w:rPr>
        <w:t xml:space="preserve"> </w:t>
      </w:r>
      <w:r w:rsidRPr="000E26DD">
        <w:rPr>
          <w:rFonts w:ascii="Times New Roman" w:hAnsi="Times New Roman"/>
        </w:rPr>
        <w:t>v</w:t>
      </w:r>
      <w:r w:rsidRPr="000E26DD">
        <w:rPr>
          <w:rFonts w:ascii="Times New Roman" w:hAnsi="Times New Roman"/>
        </w:rPr>
        <w:t xml:space="preserve"> </w:t>
      </w:r>
      <w:r>
        <w:rPr>
          <w:rFonts w:ascii="Times New Roman" w:hAnsi="Times New Roman"/>
        </w:rPr>
        <w:t xml:space="preserve"> </w:t>
      </w:r>
      <w:r w:rsidRPr="000E26DD">
        <w:rPr>
          <w:rFonts w:ascii="Times New Roman" w:hAnsi="Times New Roman"/>
        </w:rPr>
        <w:t xml:space="preserve">hlavnej </w:t>
      </w:r>
      <w:r>
        <w:rPr>
          <w:rFonts w:ascii="Times New Roman" w:hAnsi="Times New Roman"/>
        </w:rPr>
        <w:t xml:space="preserve"> </w:t>
      </w:r>
      <w:r w:rsidRPr="000E26DD">
        <w:rPr>
          <w:rFonts w:ascii="Times New Roman" w:hAnsi="Times New Roman"/>
        </w:rPr>
        <w:t xml:space="preserve">kategórii </w:t>
      </w:r>
      <w:r>
        <w:rPr>
          <w:rFonts w:ascii="Times New Roman" w:hAnsi="Times New Roman"/>
        </w:rPr>
        <w:t xml:space="preserve">  </w:t>
      </w:r>
      <w:r w:rsidRPr="000E26DD">
        <w:rPr>
          <w:rFonts w:ascii="Times New Roman" w:hAnsi="Times New Roman"/>
        </w:rPr>
        <w:t>nedaňových</w:t>
      </w:r>
      <w:r>
        <w:rPr>
          <w:rFonts w:ascii="Times New Roman" w:hAnsi="Times New Roman"/>
        </w:rPr>
        <w:t xml:space="preserve"> </w:t>
      </w:r>
      <w:r w:rsidRPr="000E26DD">
        <w:rPr>
          <w:rFonts w:ascii="Times New Roman" w:hAnsi="Times New Roman"/>
        </w:rPr>
        <w:t xml:space="preserve"> </w:t>
      </w:r>
      <w:r>
        <w:rPr>
          <w:rFonts w:ascii="Times New Roman" w:hAnsi="Times New Roman"/>
        </w:rPr>
        <w:t xml:space="preserve"> </w:t>
      </w:r>
      <w:r w:rsidRPr="000E26DD">
        <w:rPr>
          <w:rFonts w:ascii="Times New Roman" w:hAnsi="Times New Roman"/>
        </w:rPr>
        <w:t xml:space="preserve">príjmov </w:t>
      </w:r>
      <w:r>
        <w:rPr>
          <w:rFonts w:ascii="Times New Roman" w:hAnsi="Times New Roman"/>
        </w:rPr>
        <w:t xml:space="preserve"> </w:t>
      </w:r>
      <w:r w:rsidRPr="000E26DD">
        <w:rPr>
          <w:rFonts w:ascii="Times New Roman" w:hAnsi="Times New Roman"/>
        </w:rPr>
        <w:t xml:space="preserve">navrhovaných v hodnote 4,80 mil. eur. Oproti schválenému rozpočtu roku 2015 ich rast predstavuje </w:t>
        <w:br/>
        <w:t xml:space="preserve">0,45 mil. eur, t. j. 10,2 %. Vyššie príjmy z reklamy súvisia so skutočnosťou, že v danom roku  sa uskutočnia významné športové podujatia (ME vo futbale, LOH). </w:t>
      </w:r>
    </w:p>
    <w:p w:rsidR="006C0389" w:rsidRPr="000E26DD" w:rsidP="006C0389">
      <w:pPr>
        <w:bidi w:val="0"/>
        <w:ind w:firstLine="708"/>
        <w:jc w:val="both"/>
        <w:rPr>
          <w:rFonts w:ascii="Times New Roman" w:hAnsi="Times New Roman"/>
          <w:sz w:val="16"/>
          <w:szCs w:val="16"/>
        </w:rPr>
      </w:pPr>
    </w:p>
    <w:p w:rsidR="006C0389" w:rsidRPr="00484E06" w:rsidP="006C0389">
      <w:pPr>
        <w:bidi w:val="0"/>
        <w:ind w:firstLine="708"/>
        <w:jc w:val="both"/>
        <w:rPr>
          <w:rFonts w:ascii="Times New Roman" w:hAnsi="Times New Roman"/>
        </w:rPr>
      </w:pPr>
      <w:r w:rsidRPr="000E26DD">
        <w:rPr>
          <w:rFonts w:ascii="Times New Roman" w:hAnsi="Times New Roman"/>
        </w:rPr>
        <w:t>V nadväznosti na očakávaný pozitívny vývoj v oblasti vlastných príjmov a disponibilných zdrojov z predchádzajúcich rokov sa navrhuje transfer zo štátneho rozpočtu na rok 2016 v objeme 26,0 mil. eur, čo predstavuje medziročné zníženie o 4,0 mil. eur.</w:t>
      </w:r>
      <w:r>
        <w:rPr>
          <w:rFonts w:ascii="Times New Roman" w:hAnsi="Times New Roman"/>
        </w:rPr>
        <w:t xml:space="preserve"> </w:t>
      </w:r>
      <w:r w:rsidRPr="000E26DD">
        <w:rPr>
          <w:rFonts w:ascii="Times New Roman" w:hAnsi="Times New Roman"/>
        </w:rPr>
        <w:t>Z celkovej sumy 26,0 mil eur sa v</w:t>
      </w:r>
      <w:r w:rsidRPr="000E26DD">
        <w:rPr>
          <w:rFonts w:ascii="Times New Roman" w:hAnsi="Times New Roman"/>
          <w:color w:val="000000"/>
        </w:rPr>
        <w:t xml:space="preserve"> oblasti rozhlasového a televízneho vysielania na programy vo verejnom záujme</w:t>
      </w:r>
      <w:r w:rsidRPr="000E26DD">
        <w:rPr>
          <w:rFonts w:ascii="Times New Roman" w:hAnsi="Times New Roman"/>
        </w:rPr>
        <w:t xml:space="preserve"> </w:t>
      </w:r>
      <w:r w:rsidRPr="000E26DD">
        <w:rPr>
          <w:rFonts w:ascii="Times New Roman" w:hAnsi="Times New Roman"/>
          <w:color w:val="000000"/>
        </w:rPr>
        <w:t>plánuje použiť 23,0 mil. eur a na realizáciu investičných projektov je určených 3,0 mil. eur.</w:t>
      </w:r>
    </w:p>
    <w:p w:rsidR="006C0389" w:rsidRPr="000E26DD" w:rsidP="006C0389">
      <w:pPr>
        <w:bidi w:val="0"/>
        <w:jc w:val="both"/>
        <w:rPr>
          <w:rFonts w:ascii="Times New Roman" w:hAnsi="Times New Roman"/>
          <w:color w:val="000000"/>
          <w:sz w:val="16"/>
          <w:szCs w:val="16"/>
        </w:rPr>
      </w:pPr>
    </w:p>
    <w:p w:rsidR="006C0389" w:rsidRPr="000E26DD" w:rsidP="006C0389">
      <w:pPr>
        <w:bidi w:val="0"/>
        <w:ind w:firstLine="708"/>
        <w:jc w:val="both"/>
        <w:rPr>
          <w:rFonts w:ascii="Times New Roman" w:hAnsi="Times New Roman"/>
        </w:rPr>
      </w:pPr>
      <w:r w:rsidRPr="000E26DD">
        <w:rPr>
          <w:rFonts w:ascii="Times New Roman" w:hAnsi="Times New Roman"/>
        </w:rPr>
        <w:t>Celkové výdavky RTVS sú na rok 2016 navrhované vo výške 105 mil. eur. V porovnaní so schváleným rozpočtom roku 2015 dochádza k zvýšeniu celkového objemu výdavkov o 1,5 mil. eur, t. j. o 1,50 %.</w:t>
      </w:r>
    </w:p>
    <w:p w:rsidR="006C0389" w:rsidRPr="000E26DD" w:rsidP="006C0389">
      <w:pPr>
        <w:bidi w:val="0"/>
        <w:ind w:firstLine="708"/>
        <w:jc w:val="both"/>
        <w:rPr>
          <w:rFonts w:ascii="Times New Roman" w:hAnsi="Times New Roman"/>
          <w:sz w:val="16"/>
          <w:szCs w:val="16"/>
        </w:rPr>
      </w:pPr>
    </w:p>
    <w:p w:rsidR="006C0389" w:rsidRPr="000E26DD" w:rsidP="006C0389">
      <w:pPr>
        <w:bidi w:val="0"/>
        <w:ind w:firstLine="708"/>
        <w:jc w:val="both"/>
        <w:rPr>
          <w:rFonts w:ascii="Times New Roman" w:hAnsi="Times New Roman"/>
        </w:rPr>
      </w:pPr>
      <w:r w:rsidRPr="000E26DD">
        <w:rPr>
          <w:rFonts w:ascii="Times New Roman" w:hAnsi="Times New Roman"/>
        </w:rPr>
        <w:t>Osobné výdavky v hodnote 25,8 mil. eur sa navrhujú o 1,06 mil. eur vyššie ako osobné výdavky v  schválenom rozpočte roku 2015, uvedené predstavuje nárast o 4,30 %. Na základe rozhodnutia vedenia RTVS sa zvyšujú mzdy zamestnancov, aby sa zabránilo odlivu kvalifikovaných pracovníkov do konkurenčných televízií aj s ohľadom na skutočnosť, že je nevýhodné zabezpečovať časť služieb externe.</w:t>
      </w:r>
    </w:p>
    <w:p w:rsidR="006C0389" w:rsidRPr="000E26DD" w:rsidP="006C0389">
      <w:pPr>
        <w:bidi w:val="0"/>
        <w:ind w:firstLine="708"/>
        <w:jc w:val="both"/>
        <w:rPr>
          <w:rFonts w:ascii="Times New Roman" w:hAnsi="Times New Roman"/>
          <w:sz w:val="16"/>
          <w:szCs w:val="16"/>
        </w:rPr>
      </w:pPr>
    </w:p>
    <w:p w:rsidR="006C0389" w:rsidRPr="000E26DD" w:rsidP="006C0389">
      <w:pPr>
        <w:bidi w:val="0"/>
        <w:ind w:firstLine="708"/>
        <w:jc w:val="both"/>
        <w:rPr>
          <w:rFonts w:ascii="Times New Roman" w:hAnsi="Times New Roman"/>
        </w:rPr>
      </w:pPr>
      <w:r w:rsidRPr="000E26DD">
        <w:rPr>
          <w:rFonts w:ascii="Times New Roman" w:hAnsi="Times New Roman"/>
        </w:rPr>
        <w:t>Výdavky na tovary a služby sú rozpočtované vo výške 75,</w:t>
      </w:r>
      <w:r>
        <w:rPr>
          <w:rFonts w:ascii="Times New Roman" w:hAnsi="Times New Roman"/>
        </w:rPr>
        <w:t>3</w:t>
      </w:r>
      <w:r w:rsidRPr="000E26DD">
        <w:rPr>
          <w:rFonts w:ascii="Times New Roman" w:hAnsi="Times New Roman"/>
        </w:rPr>
        <w:t xml:space="preserve"> mil. eur, čo znamená nárast o 3,48 mil. eur, t. j. o 4,84 %. V tejto kategórii výdavkov sa premietol nárast príjmov RTVS.</w:t>
      </w:r>
    </w:p>
    <w:p w:rsidR="006C0389" w:rsidRPr="000E26DD" w:rsidP="006C0389">
      <w:pPr>
        <w:bidi w:val="0"/>
        <w:ind w:firstLine="708"/>
        <w:jc w:val="both"/>
        <w:rPr>
          <w:rFonts w:ascii="Times New Roman" w:hAnsi="Times New Roman"/>
          <w:sz w:val="16"/>
          <w:szCs w:val="16"/>
        </w:rPr>
      </w:pPr>
    </w:p>
    <w:p w:rsidR="006C0389" w:rsidRPr="000E26DD" w:rsidP="006C0389">
      <w:pPr>
        <w:bidi w:val="0"/>
        <w:ind w:firstLine="708"/>
        <w:jc w:val="both"/>
        <w:rPr>
          <w:rFonts w:ascii="Times New Roman" w:hAnsi="Times New Roman"/>
        </w:rPr>
      </w:pPr>
      <w:r w:rsidRPr="000E26DD">
        <w:rPr>
          <w:rFonts w:ascii="Times New Roman" w:hAnsi="Times New Roman"/>
        </w:rPr>
        <w:t xml:space="preserve">Bežné transfery zachovávajú </w:t>
      </w:r>
      <w:r>
        <w:rPr>
          <w:rFonts w:ascii="Times New Roman" w:hAnsi="Times New Roman"/>
        </w:rPr>
        <w:t xml:space="preserve">približne </w:t>
      </w:r>
      <w:r w:rsidRPr="000E26DD">
        <w:rPr>
          <w:rFonts w:ascii="Times New Roman" w:hAnsi="Times New Roman"/>
        </w:rPr>
        <w:t xml:space="preserve">rozpočtovanú úroveň roku 2015, navrhujú sa v objeme  627 tis. eur. Najväčšie položky v rámci bežných transferov predstavujú členské príspevky medzinárodným organizáciám v sume 318 tis. eur a transfer pre Audiovizuálny fond vo výške 150 tis. eur. </w:t>
      </w:r>
    </w:p>
    <w:p w:rsidR="006C0389" w:rsidRPr="000E26DD" w:rsidP="006C0389">
      <w:pPr>
        <w:bidi w:val="0"/>
        <w:ind w:firstLine="708"/>
        <w:jc w:val="both"/>
        <w:rPr>
          <w:rFonts w:ascii="Times New Roman" w:hAnsi="Times New Roman"/>
          <w:sz w:val="16"/>
          <w:szCs w:val="16"/>
        </w:rPr>
      </w:pPr>
    </w:p>
    <w:p w:rsidR="006C0389" w:rsidRPr="000E26DD" w:rsidP="006C0389">
      <w:pPr>
        <w:bidi w:val="0"/>
        <w:ind w:firstLine="708"/>
        <w:jc w:val="both"/>
        <w:rPr>
          <w:rFonts w:ascii="Times New Roman" w:hAnsi="Times New Roman"/>
          <w:sz w:val="16"/>
          <w:szCs w:val="16"/>
        </w:rPr>
      </w:pPr>
      <w:r w:rsidRPr="000E26DD">
        <w:rPr>
          <w:rFonts w:ascii="Times New Roman" w:hAnsi="Times New Roman"/>
        </w:rPr>
        <w:t>Kapitálové výdavky v roku 2016 oproti schválenému rozpočtu  na  rok  2015  klesajú o</w:t>
      </w:r>
      <w:r>
        <w:rPr>
          <w:rFonts w:ascii="Times New Roman" w:hAnsi="Times New Roman"/>
        </w:rPr>
        <w:t xml:space="preserve"> polovicu </w:t>
      </w:r>
      <w:r w:rsidRPr="000E26DD">
        <w:rPr>
          <w:rFonts w:ascii="Times New Roman" w:hAnsi="Times New Roman"/>
        </w:rPr>
        <w:t xml:space="preserve">a dosahujú hodnotu 3,0 mil. eur. Výška kapitálových výdavkov vyplýva z plánovanej výšky kapitálových príjmov zo zmluvy so štátom. </w:t>
      </w:r>
      <w:r>
        <w:rPr>
          <w:rFonts w:ascii="Times New Roman" w:hAnsi="Times New Roman"/>
        </w:rPr>
        <w:t xml:space="preserve">Ďalšie disponibilné zdroje na krytie investičných projektov predstavujú finančné prostriedky z predchádzajúcich rokov. </w:t>
      </w:r>
    </w:p>
    <w:p w:rsidR="006573DA" w:rsidP="006C0389">
      <w:pPr>
        <w:bidi w:val="0"/>
        <w:jc w:val="both"/>
        <w:rPr>
          <w:rFonts w:ascii="Times New Roman" w:hAnsi="Times New Roman"/>
        </w:rPr>
      </w:pPr>
    </w:p>
    <w:p w:rsidR="006C0389" w:rsidP="00EC54F3">
      <w:pPr>
        <w:bidi w:val="0"/>
        <w:ind w:firstLine="708"/>
        <w:jc w:val="both"/>
        <w:rPr>
          <w:rFonts w:ascii="Times New Roman" w:hAnsi="Times New Roman"/>
        </w:rPr>
      </w:pPr>
      <w:r w:rsidRPr="000E26DD">
        <w:rPr>
          <w:rFonts w:ascii="Times New Roman" w:hAnsi="Times New Roman"/>
        </w:rPr>
        <w:t xml:space="preserve">V roku 2016 RTVS plánuje hotovostný prebytok vo výške 17,3 mil. eur, v roku 2017 má dosiahnuť hodnotu 17,4 mil. eur a v roku 2018 17,6  mil. eur. V metodike ESA 2010 je rozpočtovaný prebytok hospodárenia v roku 2016 vo výške 744 tis. eur,  čo predstavuje zhoršenie oproti rozpočtovanej </w:t>
      </w:r>
      <w:r>
        <w:rPr>
          <w:rFonts w:ascii="Times New Roman" w:hAnsi="Times New Roman"/>
        </w:rPr>
        <w:t>úrovni roku 2015 o 306 tis. eur.</w:t>
      </w:r>
    </w:p>
    <w:p w:rsidR="00623928" w:rsidP="00EC54F3">
      <w:pPr>
        <w:bidi w:val="0"/>
        <w:ind w:firstLine="708"/>
        <w:jc w:val="both"/>
        <w:rPr>
          <w:rFonts w:ascii="Times New Roman" w:hAnsi="Times New Roman"/>
        </w:rPr>
      </w:pPr>
    </w:p>
    <w:p w:rsidR="00623928" w:rsidP="00EC54F3">
      <w:pPr>
        <w:bidi w:val="0"/>
        <w:ind w:firstLine="708"/>
        <w:jc w:val="both"/>
        <w:rPr>
          <w:rFonts w:ascii="Times New Roman" w:hAnsi="Times New Roman"/>
        </w:rPr>
      </w:pPr>
    </w:p>
    <w:p w:rsidR="00623928" w:rsidP="00EC54F3">
      <w:pPr>
        <w:bidi w:val="0"/>
        <w:ind w:firstLine="708"/>
        <w:jc w:val="both"/>
        <w:rPr>
          <w:rFonts w:ascii="Times New Roman" w:hAnsi="Times New Roman"/>
        </w:rPr>
      </w:pPr>
    </w:p>
    <w:p w:rsidR="00623928" w:rsidP="00EC54F3">
      <w:pPr>
        <w:bidi w:val="0"/>
        <w:ind w:firstLine="708"/>
        <w:jc w:val="both"/>
        <w:rPr>
          <w:rFonts w:ascii="Times New Roman" w:hAnsi="Times New Roman"/>
        </w:rPr>
      </w:pPr>
    </w:p>
    <w:p w:rsidR="006C0389" w:rsidP="006C0389">
      <w:pPr>
        <w:bidi w:val="0"/>
        <w:jc w:val="both"/>
        <w:rPr>
          <w:rFonts w:ascii="Times New Roman" w:hAnsi="Times New Roman"/>
        </w:rPr>
      </w:pPr>
    </w:p>
    <w:p w:rsidR="006C0389" w:rsidRPr="000E26DD" w:rsidP="006C0389">
      <w:pPr>
        <w:bidi w:val="0"/>
        <w:jc w:val="both"/>
        <w:rPr>
          <w:rFonts w:ascii="Times New Roman" w:hAnsi="Times New Roman"/>
          <w:b/>
          <w:bCs/>
        </w:rPr>
      </w:pPr>
      <w:r w:rsidRPr="000E26DD">
        <w:rPr>
          <w:rFonts w:ascii="Times New Roman" w:hAnsi="Times New Roman"/>
          <w:b/>
          <w:bCs/>
        </w:rPr>
        <w:t>12. Tlačová agentúra SR</w:t>
      </w:r>
    </w:p>
    <w:p w:rsidR="006C0389" w:rsidRPr="000E26DD" w:rsidP="006C0389">
      <w:pPr>
        <w:bidi w:val="0"/>
        <w:jc w:val="both"/>
        <w:rPr>
          <w:rFonts w:ascii="Times New Roman" w:hAnsi="Times New Roman"/>
          <w:sz w:val="16"/>
          <w:szCs w:val="16"/>
        </w:rPr>
      </w:pPr>
    </w:p>
    <w:p w:rsidR="006C0389" w:rsidRPr="000E26DD" w:rsidP="006C0389">
      <w:pPr>
        <w:bidi w:val="0"/>
        <w:ind w:firstLine="708"/>
        <w:jc w:val="both"/>
        <w:rPr>
          <w:rFonts w:ascii="Times New Roman" w:hAnsi="Times New Roman"/>
        </w:rPr>
      </w:pPr>
      <w:r w:rsidRPr="000E26DD">
        <w:rPr>
          <w:rFonts w:ascii="Times New Roman" w:hAnsi="Times New Roman"/>
        </w:rPr>
        <w:t xml:space="preserve">Tlačová agentúra Slovenskej republiky (ďalej len „TASR“) je zriadená zákonom </w:t>
        <w:br/>
        <w:t xml:space="preserve">č. 385/2008 Z. z. o Tlačovej agentúre Slovenskej republiky ako verejnoprávna informačná inštitúcia, ktorá poskytuje službu verejnosti v oblasti spravodajstva od 1. januára 2009.  </w:t>
      </w:r>
    </w:p>
    <w:p w:rsidR="006C0389" w:rsidRPr="00F60DFD" w:rsidP="006C0389">
      <w:pPr>
        <w:bidi w:val="0"/>
        <w:ind w:firstLine="708"/>
        <w:jc w:val="both"/>
        <w:rPr>
          <w:rFonts w:ascii="Times New Roman" w:hAnsi="Times New Roman"/>
          <w:sz w:val="16"/>
          <w:szCs w:val="16"/>
        </w:rPr>
      </w:pPr>
      <w:r w:rsidRPr="000E26DD">
        <w:rPr>
          <w:rFonts w:ascii="Times New Roman" w:hAnsi="Times New Roman"/>
        </w:rPr>
        <w:t> </w:t>
      </w:r>
    </w:p>
    <w:p w:rsidR="006C0389" w:rsidRPr="000E26DD" w:rsidP="006C0389">
      <w:pPr>
        <w:bidi w:val="0"/>
        <w:ind w:firstLine="708"/>
        <w:jc w:val="both"/>
        <w:rPr>
          <w:rFonts w:ascii="Times New Roman" w:hAnsi="Times New Roman"/>
        </w:rPr>
      </w:pPr>
      <w:r w:rsidRPr="000E26DD">
        <w:rPr>
          <w:rFonts w:ascii="Times New Roman" w:hAnsi="Times New Roman"/>
        </w:rPr>
        <w:t>Vývoj príjmovej a výdavkovej časti rozpočtu TASR na roky 2016 až 2018 je nasledovný:</w:t>
      </w:r>
    </w:p>
    <w:p w:rsidR="006C0389" w:rsidRPr="000E26DD" w:rsidP="006C0389">
      <w:pPr>
        <w:bidi w:val="0"/>
        <w:ind w:firstLine="708"/>
        <w:jc w:val="both"/>
        <w:rPr>
          <w:rFonts w:ascii="Times New Roman" w:hAnsi="Times New Roman"/>
          <w:sz w:val="16"/>
          <w:szCs w:val="16"/>
        </w:rPr>
      </w:pPr>
    </w:p>
    <w:tbl>
      <w:tblPr>
        <w:tblStyle w:val="TableNormal"/>
        <w:tblW w:w="5000" w:type="pct"/>
        <w:tblCellMar>
          <w:left w:w="70" w:type="dxa"/>
          <w:right w:w="70" w:type="dxa"/>
        </w:tblCellMar>
        <w:tblLook w:val="04A0"/>
      </w:tblPr>
      <w:tblGrid>
        <w:gridCol w:w="3518"/>
        <w:gridCol w:w="812"/>
        <w:gridCol w:w="812"/>
        <w:gridCol w:w="812"/>
        <w:gridCol w:w="814"/>
        <w:gridCol w:w="814"/>
        <w:gridCol w:w="814"/>
        <w:gridCol w:w="814"/>
      </w:tblGrid>
      <w:tr>
        <w:tblPrEx>
          <w:tblW w:w="5000" w:type="pct"/>
          <w:tblCellMar>
            <w:left w:w="70" w:type="dxa"/>
            <w:right w:w="70" w:type="dxa"/>
          </w:tblCellMar>
          <w:tblLook w:val="04A0"/>
        </w:tblPrEx>
        <w:trPr>
          <w:trHeight w:val="227"/>
        </w:trPr>
        <w:tc>
          <w:tcPr>
            <w:tcW w:w="1909"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6C0389" w:rsidRPr="00987A71" w:rsidP="000008FE">
            <w:pPr>
              <w:bidi w:val="0"/>
              <w:rPr>
                <w:rFonts w:ascii="Times New Roman" w:hAnsi="Times New Roman"/>
                <w:b/>
                <w:bCs/>
                <w:sz w:val="16"/>
                <w:szCs w:val="16"/>
              </w:rPr>
            </w:pPr>
            <w:r w:rsidRPr="00987A71">
              <w:rPr>
                <w:rFonts w:ascii="Times New Roman" w:hAnsi="Times New Roman"/>
                <w:b/>
                <w:bCs/>
                <w:sz w:val="16"/>
                <w:szCs w:val="16"/>
              </w:rPr>
              <w:t>v tis. eur</w:t>
            </w:r>
          </w:p>
        </w:tc>
        <w:tc>
          <w:tcPr>
            <w:tcW w:w="44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0389" w:rsidRPr="00987A71" w:rsidP="000008FE">
            <w:pPr>
              <w:bidi w:val="0"/>
              <w:jc w:val="center"/>
              <w:rPr>
                <w:rFonts w:ascii="Times New Roman" w:hAnsi="Times New Roman"/>
                <w:b/>
                <w:bCs/>
                <w:sz w:val="16"/>
                <w:szCs w:val="16"/>
              </w:rPr>
            </w:pPr>
            <w:r w:rsidRPr="00987A71">
              <w:rPr>
                <w:rFonts w:ascii="Times New Roman" w:hAnsi="Times New Roman"/>
                <w:b/>
                <w:bCs/>
                <w:sz w:val="16"/>
                <w:szCs w:val="16"/>
              </w:rPr>
              <w:t>2013 S</w:t>
            </w:r>
          </w:p>
        </w:tc>
        <w:tc>
          <w:tcPr>
            <w:tcW w:w="44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0389" w:rsidRPr="00987A71" w:rsidP="000008FE">
            <w:pPr>
              <w:bidi w:val="0"/>
              <w:jc w:val="center"/>
              <w:rPr>
                <w:rFonts w:ascii="Times New Roman" w:hAnsi="Times New Roman"/>
                <w:b/>
                <w:bCs/>
                <w:sz w:val="16"/>
                <w:szCs w:val="16"/>
              </w:rPr>
            </w:pPr>
            <w:r w:rsidRPr="00987A71">
              <w:rPr>
                <w:rFonts w:ascii="Times New Roman" w:hAnsi="Times New Roman"/>
                <w:b/>
                <w:bCs/>
                <w:sz w:val="16"/>
                <w:szCs w:val="16"/>
              </w:rPr>
              <w:t>2014 S</w:t>
            </w:r>
          </w:p>
        </w:tc>
        <w:tc>
          <w:tcPr>
            <w:tcW w:w="441" w:type="pct"/>
            <w:tcBorders>
              <w:top w:val="single" w:sz="4" w:space="0" w:color="auto"/>
              <w:left w:val="nil"/>
              <w:bottom w:val="single" w:sz="4" w:space="0" w:color="auto"/>
              <w:right w:val="single" w:sz="4" w:space="0" w:color="auto"/>
            </w:tcBorders>
            <w:shd w:val="clear" w:color="000000" w:fill="A6A6A6"/>
            <w:textDirection w:val="lrTb"/>
            <w:vAlign w:val="center"/>
            <w:hideMark/>
          </w:tcPr>
          <w:p w:rsidR="006C0389" w:rsidRPr="00987A71" w:rsidP="000008FE">
            <w:pPr>
              <w:bidi w:val="0"/>
              <w:jc w:val="center"/>
              <w:rPr>
                <w:rFonts w:ascii="Times New Roman" w:hAnsi="Times New Roman"/>
                <w:b/>
                <w:bCs/>
                <w:sz w:val="16"/>
                <w:szCs w:val="16"/>
              </w:rPr>
            </w:pPr>
            <w:r w:rsidRPr="00987A71">
              <w:rPr>
                <w:rFonts w:ascii="Times New Roman" w:hAnsi="Times New Roman"/>
                <w:b/>
                <w:bCs/>
                <w:sz w:val="16"/>
                <w:szCs w:val="16"/>
              </w:rPr>
              <w:t>2015 R</w:t>
            </w:r>
          </w:p>
        </w:tc>
        <w:tc>
          <w:tcPr>
            <w:tcW w:w="44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0389" w:rsidRPr="00987A71" w:rsidP="000008FE">
            <w:pPr>
              <w:bidi w:val="0"/>
              <w:jc w:val="center"/>
              <w:rPr>
                <w:rFonts w:ascii="Times New Roman" w:hAnsi="Times New Roman"/>
                <w:b/>
                <w:bCs/>
                <w:sz w:val="16"/>
                <w:szCs w:val="16"/>
              </w:rPr>
            </w:pPr>
            <w:r w:rsidRPr="00987A71">
              <w:rPr>
                <w:rFonts w:ascii="Times New Roman" w:hAnsi="Times New Roman"/>
                <w:b/>
                <w:bCs/>
                <w:sz w:val="16"/>
                <w:szCs w:val="16"/>
              </w:rPr>
              <w:t>2015 OS</w:t>
            </w:r>
          </w:p>
        </w:tc>
        <w:tc>
          <w:tcPr>
            <w:tcW w:w="44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0389" w:rsidRPr="00987A71" w:rsidP="00705199">
            <w:pPr>
              <w:bidi w:val="0"/>
              <w:jc w:val="center"/>
              <w:rPr>
                <w:rFonts w:ascii="Times New Roman" w:hAnsi="Times New Roman"/>
                <w:b/>
                <w:bCs/>
                <w:sz w:val="16"/>
                <w:szCs w:val="16"/>
              </w:rPr>
            </w:pPr>
            <w:r w:rsidRPr="00987A71">
              <w:rPr>
                <w:rFonts w:ascii="Times New Roman" w:hAnsi="Times New Roman"/>
                <w:b/>
                <w:bCs/>
                <w:sz w:val="16"/>
                <w:szCs w:val="16"/>
              </w:rPr>
              <w:t xml:space="preserve">2016 </w:t>
            </w:r>
            <w:r w:rsidRPr="00987A71" w:rsidR="00705199">
              <w:rPr>
                <w:rFonts w:ascii="Times New Roman" w:hAnsi="Times New Roman"/>
                <w:b/>
                <w:bCs/>
                <w:sz w:val="16"/>
                <w:szCs w:val="16"/>
              </w:rPr>
              <w:t>N</w:t>
            </w:r>
          </w:p>
        </w:tc>
        <w:tc>
          <w:tcPr>
            <w:tcW w:w="44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0389" w:rsidRPr="00987A71" w:rsidP="000008FE">
            <w:pPr>
              <w:bidi w:val="0"/>
              <w:jc w:val="center"/>
              <w:rPr>
                <w:rFonts w:ascii="Times New Roman" w:hAnsi="Times New Roman"/>
                <w:b/>
                <w:bCs/>
                <w:sz w:val="16"/>
                <w:szCs w:val="16"/>
              </w:rPr>
            </w:pPr>
            <w:r w:rsidRPr="00987A71">
              <w:rPr>
                <w:rFonts w:ascii="Times New Roman" w:hAnsi="Times New Roman"/>
                <w:b/>
                <w:bCs/>
                <w:sz w:val="16"/>
                <w:szCs w:val="16"/>
              </w:rPr>
              <w:t>2017 N</w:t>
            </w:r>
          </w:p>
        </w:tc>
        <w:tc>
          <w:tcPr>
            <w:tcW w:w="44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0389" w:rsidRPr="00987A71" w:rsidP="000008FE">
            <w:pPr>
              <w:bidi w:val="0"/>
              <w:jc w:val="center"/>
              <w:rPr>
                <w:rFonts w:ascii="Times New Roman" w:hAnsi="Times New Roman"/>
                <w:b/>
                <w:bCs/>
                <w:sz w:val="16"/>
                <w:szCs w:val="16"/>
              </w:rPr>
            </w:pPr>
            <w:r w:rsidRPr="00987A71">
              <w:rPr>
                <w:rFonts w:ascii="Times New Roman" w:hAnsi="Times New Roman"/>
                <w:b/>
                <w:bCs/>
                <w:sz w:val="16"/>
                <w:szCs w:val="16"/>
              </w:rPr>
              <w:t>2018 N</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nil"/>
            </w:tcBorders>
            <w:shd w:val="clear" w:color="auto" w:fill="BFBFBF"/>
            <w:noWrap/>
            <w:textDirection w:val="lrTb"/>
            <w:vAlign w:val="center"/>
            <w:hideMark/>
          </w:tcPr>
          <w:p w:rsidR="006C0389" w:rsidRPr="00987A71" w:rsidP="000008FE">
            <w:pPr>
              <w:bidi w:val="0"/>
              <w:rPr>
                <w:rFonts w:ascii="Times New Roman" w:hAnsi="Times New Roman"/>
                <w:b/>
                <w:bCs/>
                <w:sz w:val="16"/>
                <w:szCs w:val="16"/>
              </w:rPr>
            </w:pPr>
            <w:r w:rsidRPr="00987A71">
              <w:rPr>
                <w:rFonts w:ascii="Times New Roman" w:hAnsi="Times New Roman"/>
                <w:b/>
                <w:bCs/>
                <w:sz w:val="16"/>
                <w:szCs w:val="16"/>
              </w:rPr>
              <w:t xml:space="preserve">Príjmy TASR spolu </w:t>
            </w:r>
          </w:p>
        </w:tc>
        <w:tc>
          <w:tcPr>
            <w:tcW w:w="441" w:type="pct"/>
            <w:tcBorders>
              <w:top w:val="nil"/>
              <w:left w:val="single" w:sz="4" w:space="0" w:color="auto"/>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4 049</w:t>
            </w:r>
          </w:p>
        </w:tc>
        <w:tc>
          <w:tcPr>
            <w:tcW w:w="441" w:type="pct"/>
            <w:tcBorders>
              <w:top w:val="nil"/>
              <w:left w:val="nil"/>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5 739</w:t>
            </w:r>
          </w:p>
        </w:tc>
        <w:tc>
          <w:tcPr>
            <w:tcW w:w="441" w:type="pct"/>
            <w:tcBorders>
              <w:top w:val="nil"/>
              <w:left w:val="nil"/>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4 403</w:t>
            </w:r>
          </w:p>
        </w:tc>
        <w:tc>
          <w:tcPr>
            <w:tcW w:w="442" w:type="pct"/>
            <w:tcBorders>
              <w:top w:val="nil"/>
              <w:left w:val="nil"/>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6 581</w:t>
            </w:r>
          </w:p>
        </w:tc>
        <w:tc>
          <w:tcPr>
            <w:tcW w:w="442" w:type="pct"/>
            <w:tcBorders>
              <w:top w:val="nil"/>
              <w:left w:val="nil"/>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4 688</w:t>
            </w:r>
          </w:p>
        </w:tc>
        <w:tc>
          <w:tcPr>
            <w:tcW w:w="442" w:type="pct"/>
            <w:tcBorders>
              <w:top w:val="nil"/>
              <w:left w:val="nil"/>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4 935</w:t>
            </w:r>
          </w:p>
        </w:tc>
        <w:tc>
          <w:tcPr>
            <w:tcW w:w="442" w:type="pct"/>
            <w:tcBorders>
              <w:top w:val="nil"/>
              <w:left w:val="nil"/>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5 176</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rPr>
                <w:rFonts w:ascii="Times New Roman" w:hAnsi="Times New Roman"/>
                <w:sz w:val="16"/>
                <w:szCs w:val="16"/>
              </w:rPr>
            </w:pPr>
            <w:r w:rsidRPr="00987A71">
              <w:rPr>
                <w:rFonts w:ascii="Times New Roman" w:hAnsi="Times New Roman"/>
                <w:sz w:val="16"/>
                <w:szCs w:val="16"/>
              </w:rPr>
              <w:t>▪ nedaňové príjmy, z toho:</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1 882</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2 287</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2 001</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2 313</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2 435</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2 535</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2 635</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príjmy z podnikania a z vlastníctva majetku</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46</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23</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23</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23</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administratívne a iné poplatky a platby</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1 793</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2 226</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2 000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2 312</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2 412</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2 512</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2 612</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single" w:sz="4" w:space="0" w:color="auto"/>
            </w:tcBorders>
            <w:noWrap/>
            <w:textDirection w:val="lrTb"/>
            <w:vAlign w:val="center"/>
            <w:hideMark/>
          </w:tcPr>
          <w:p w:rsidR="006C0389" w:rsidRPr="00987A71" w:rsidP="000008FE">
            <w:pPr>
              <w:bidi w:val="0"/>
              <w:rPr>
                <w:rFonts w:ascii="Times New Roman" w:hAnsi="Times New Roman"/>
                <w:sz w:val="16"/>
                <w:szCs w:val="16"/>
              </w:rPr>
            </w:pPr>
            <w:r w:rsidRPr="00987A71">
              <w:rPr>
                <w:rFonts w:ascii="Times New Roman" w:hAnsi="Times New Roman"/>
                <w:sz w:val="16"/>
                <w:szCs w:val="16"/>
              </w:rPr>
              <w:t xml:space="preserve">        poplatky a platby z nepriem. a náh. predaja a sl.</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1 791</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2 225</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1 999</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1 999</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2 410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2 510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2 610</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kapitálové príjmy</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89</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 xml:space="preserve">úroky z tuzem.  úverov, pôžičiek, NFV,  </w:t>
              <w:br/>
              <w:t xml:space="preserve">        vkladov</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iné nedaňové príjmy</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15</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rPr>
                <w:rFonts w:ascii="Times New Roman" w:hAnsi="Times New Roman"/>
                <w:sz w:val="16"/>
                <w:szCs w:val="16"/>
              </w:rPr>
            </w:pPr>
            <w:r w:rsidRPr="00987A71">
              <w:rPr>
                <w:rFonts w:ascii="Times New Roman" w:hAnsi="Times New Roman"/>
                <w:sz w:val="16"/>
                <w:szCs w:val="16"/>
              </w:rPr>
              <w:t>▪ granty a transfery, z toho:</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2 015</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3 302</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2 200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4 148</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2 200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2 200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2 200</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single" w:sz="4" w:space="0" w:color="auto"/>
            </w:tcBorders>
            <w:noWrap/>
            <w:textDirection w:val="lrTb"/>
            <w:vAlign w:val="center"/>
            <w:hideMark/>
          </w:tcPr>
          <w:p w:rsidR="006C0389" w:rsidRPr="00987A71" w:rsidP="000008FE">
            <w:pPr>
              <w:bidi w:val="0"/>
              <w:rPr>
                <w:rFonts w:ascii="Times New Roman" w:hAnsi="Times New Roman"/>
                <w:sz w:val="16"/>
                <w:szCs w:val="16"/>
              </w:rPr>
            </w:pPr>
            <w:r w:rsidRPr="00987A71">
              <w:rPr>
                <w:rFonts w:ascii="Times New Roman" w:hAnsi="Times New Roman"/>
                <w:sz w:val="16"/>
                <w:szCs w:val="16"/>
              </w:rPr>
              <w:t xml:space="preserve"> ▪ príjmy z transakcií s fin. akt. a pas. (FO), v tom: </w:t>
            </w:r>
          </w:p>
        </w:tc>
        <w:tc>
          <w:tcPr>
            <w:tcW w:w="441"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152</w:t>
            </w:r>
          </w:p>
        </w:tc>
        <w:tc>
          <w:tcPr>
            <w:tcW w:w="441"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150</w:t>
            </w:r>
          </w:p>
        </w:tc>
        <w:tc>
          <w:tcPr>
            <w:tcW w:w="441"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202</w:t>
            </w:r>
          </w:p>
        </w:tc>
        <w:tc>
          <w:tcPr>
            <w:tcW w:w="4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120</w:t>
            </w:r>
          </w:p>
        </w:tc>
        <w:tc>
          <w:tcPr>
            <w:tcW w:w="4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52</w:t>
            </w:r>
          </w:p>
        </w:tc>
        <w:tc>
          <w:tcPr>
            <w:tcW w:w="4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199</w:t>
            </w:r>
          </w:p>
        </w:tc>
        <w:tc>
          <w:tcPr>
            <w:tcW w:w="4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340</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rPr>
                <w:rFonts w:ascii="Times New Roman" w:hAnsi="Times New Roman"/>
                <w:sz w:val="16"/>
                <w:szCs w:val="16"/>
              </w:rPr>
            </w:pPr>
            <w:r w:rsidRPr="00987A71">
              <w:rPr>
                <w:rFonts w:ascii="Times New Roman" w:hAnsi="Times New Roman"/>
                <w:sz w:val="16"/>
                <w:szCs w:val="16"/>
              </w:rPr>
              <w:t xml:space="preserve">       zostatok prostriedkov z predch. rokov (FO)</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152</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150</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202</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120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52</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199</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340</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nil"/>
            </w:tcBorders>
            <w:shd w:val="clear" w:color="auto" w:fill="BFBFBF"/>
            <w:noWrap/>
            <w:textDirection w:val="lrTb"/>
            <w:vAlign w:val="center"/>
            <w:hideMark/>
          </w:tcPr>
          <w:p w:rsidR="006C0389" w:rsidRPr="00987A71" w:rsidP="000008FE">
            <w:pPr>
              <w:bidi w:val="0"/>
              <w:rPr>
                <w:rFonts w:ascii="Times New Roman" w:hAnsi="Times New Roman"/>
                <w:b/>
                <w:bCs/>
                <w:sz w:val="16"/>
                <w:szCs w:val="16"/>
              </w:rPr>
            </w:pPr>
            <w:r w:rsidRPr="00987A71">
              <w:rPr>
                <w:rFonts w:ascii="Times New Roman" w:hAnsi="Times New Roman"/>
                <w:b/>
                <w:bCs/>
                <w:sz w:val="16"/>
                <w:szCs w:val="16"/>
              </w:rPr>
              <w:t xml:space="preserve">Výdavky TASR spolu </w:t>
            </w:r>
          </w:p>
        </w:tc>
        <w:tc>
          <w:tcPr>
            <w:tcW w:w="441" w:type="pct"/>
            <w:tcBorders>
              <w:top w:val="nil"/>
              <w:left w:val="single" w:sz="4" w:space="0" w:color="auto"/>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3 899</w:t>
            </w:r>
          </w:p>
        </w:tc>
        <w:tc>
          <w:tcPr>
            <w:tcW w:w="441" w:type="pct"/>
            <w:tcBorders>
              <w:top w:val="nil"/>
              <w:left w:val="nil"/>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5 617</w:t>
            </w:r>
          </w:p>
        </w:tc>
        <w:tc>
          <w:tcPr>
            <w:tcW w:w="441" w:type="pct"/>
            <w:tcBorders>
              <w:top w:val="nil"/>
              <w:left w:val="nil"/>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4 076</w:t>
            </w:r>
          </w:p>
        </w:tc>
        <w:tc>
          <w:tcPr>
            <w:tcW w:w="442" w:type="pct"/>
            <w:tcBorders>
              <w:top w:val="nil"/>
              <w:left w:val="nil"/>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6 529</w:t>
            </w:r>
          </w:p>
        </w:tc>
        <w:tc>
          <w:tcPr>
            <w:tcW w:w="442" w:type="pct"/>
            <w:tcBorders>
              <w:top w:val="nil"/>
              <w:left w:val="nil"/>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4 488</w:t>
            </w:r>
          </w:p>
        </w:tc>
        <w:tc>
          <w:tcPr>
            <w:tcW w:w="442" w:type="pct"/>
            <w:tcBorders>
              <w:top w:val="nil"/>
              <w:left w:val="nil"/>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4 595</w:t>
            </w:r>
          </w:p>
        </w:tc>
        <w:tc>
          <w:tcPr>
            <w:tcW w:w="442" w:type="pct"/>
            <w:tcBorders>
              <w:top w:val="nil"/>
              <w:left w:val="nil"/>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4 705</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single" w:sz="4" w:space="0" w:color="auto"/>
            </w:tcBorders>
            <w:textDirection w:val="lrTb"/>
            <w:vAlign w:val="center"/>
          </w:tcPr>
          <w:p w:rsidR="006C0389" w:rsidRPr="00987A71" w:rsidP="000008FE">
            <w:pPr>
              <w:bidi w:val="0"/>
              <w:rPr>
                <w:rFonts w:ascii="Times New Roman" w:hAnsi="Times New Roman"/>
                <w:sz w:val="16"/>
                <w:szCs w:val="16"/>
              </w:rPr>
            </w:pPr>
            <w:r w:rsidRPr="00987A71">
              <w:rPr>
                <w:rFonts w:ascii="Times New Roman" w:hAnsi="Times New Roman"/>
                <w:sz w:val="16"/>
                <w:szCs w:val="16"/>
              </w:rPr>
              <w:t xml:space="preserve"> ▪ bežné výdavky, z toho:</w:t>
            </w:r>
          </w:p>
        </w:tc>
        <w:tc>
          <w:tcPr>
            <w:tcW w:w="441" w:type="pct"/>
            <w:tcBorders>
              <w:top w:val="nil"/>
              <w:left w:val="nil"/>
              <w:bottom w:val="single" w:sz="4" w:space="0" w:color="auto"/>
              <w:right w:val="single" w:sz="4" w:space="0" w:color="auto"/>
            </w:tcBorders>
            <w:textDirection w:val="lrTb"/>
            <w:vAlign w:val="bottom"/>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3 835</w:t>
            </w:r>
          </w:p>
        </w:tc>
        <w:tc>
          <w:tcPr>
            <w:tcW w:w="441" w:type="pct"/>
            <w:tcBorders>
              <w:top w:val="nil"/>
              <w:left w:val="nil"/>
              <w:bottom w:val="single" w:sz="4" w:space="0" w:color="auto"/>
              <w:right w:val="single" w:sz="4" w:space="0" w:color="auto"/>
            </w:tcBorders>
            <w:textDirection w:val="lrTb"/>
            <w:vAlign w:val="bottom"/>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5 376</w:t>
            </w:r>
          </w:p>
        </w:tc>
        <w:tc>
          <w:tcPr>
            <w:tcW w:w="441" w:type="pct"/>
            <w:tcBorders>
              <w:top w:val="nil"/>
              <w:left w:val="nil"/>
              <w:bottom w:val="single" w:sz="4" w:space="0" w:color="auto"/>
              <w:right w:val="single" w:sz="4" w:space="0" w:color="auto"/>
            </w:tcBorders>
            <w:textDirection w:val="lrTb"/>
            <w:vAlign w:val="bottom"/>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3 946</w:t>
            </w:r>
          </w:p>
        </w:tc>
        <w:tc>
          <w:tcPr>
            <w:tcW w:w="442" w:type="pct"/>
            <w:tcBorders>
              <w:top w:val="nil"/>
              <w:left w:val="nil"/>
              <w:bottom w:val="single" w:sz="4" w:space="0" w:color="auto"/>
              <w:right w:val="single" w:sz="4" w:space="0" w:color="auto"/>
            </w:tcBorders>
            <w:textDirection w:val="lrTb"/>
            <w:vAlign w:val="bottom"/>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6 429</w:t>
            </w:r>
          </w:p>
        </w:tc>
        <w:tc>
          <w:tcPr>
            <w:tcW w:w="442" w:type="pct"/>
            <w:tcBorders>
              <w:top w:val="nil"/>
              <w:left w:val="nil"/>
              <w:bottom w:val="single" w:sz="4" w:space="0" w:color="auto"/>
              <w:right w:val="single" w:sz="4" w:space="0" w:color="auto"/>
            </w:tcBorders>
            <w:textDirection w:val="lrTb"/>
            <w:vAlign w:val="bottom"/>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4 488</w:t>
            </w:r>
          </w:p>
        </w:tc>
        <w:tc>
          <w:tcPr>
            <w:tcW w:w="442" w:type="pct"/>
            <w:tcBorders>
              <w:top w:val="nil"/>
              <w:left w:val="nil"/>
              <w:bottom w:val="single" w:sz="4" w:space="0" w:color="auto"/>
              <w:right w:val="single" w:sz="4" w:space="0" w:color="auto"/>
            </w:tcBorders>
            <w:textDirection w:val="lrTb"/>
            <w:vAlign w:val="bottom"/>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4 595</w:t>
            </w:r>
          </w:p>
        </w:tc>
        <w:tc>
          <w:tcPr>
            <w:tcW w:w="442" w:type="pct"/>
            <w:tcBorders>
              <w:top w:val="nil"/>
              <w:left w:val="nil"/>
              <w:bottom w:val="single" w:sz="4" w:space="0" w:color="auto"/>
              <w:right w:val="single" w:sz="4" w:space="0" w:color="auto"/>
            </w:tcBorders>
            <w:textDirection w:val="lrTb"/>
            <w:vAlign w:val="bottom"/>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4 705</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rPr>
                <w:rFonts w:ascii="Times New Roman" w:hAnsi="Times New Roman"/>
                <w:sz w:val="16"/>
                <w:szCs w:val="16"/>
              </w:rPr>
            </w:pPr>
            <w:r w:rsidRPr="00987A71">
              <w:rPr>
                <w:rFonts w:ascii="Times New Roman" w:hAnsi="Times New Roman"/>
                <w:sz w:val="16"/>
                <w:szCs w:val="16"/>
              </w:rPr>
              <w:t>mzdy, platy, služ. príjmy a ost. os. vyrovnania</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1 668</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1 912</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1 686</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2 081</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1 728</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1 728</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1 728</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single" w:sz="4" w:space="0" w:color="auto"/>
            </w:tcBorders>
            <w:noWrap/>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poistné a príspevok do poisťovní</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612</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688</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600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765</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615</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615</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615</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tovary a služby</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1 548</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2 765</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1 650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3 572</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2 135</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2 241</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2 352</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bežné transfery</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7</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12</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10</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ind w:firstLine="320" w:firstLineChars="200"/>
              <w:rPr>
                <w:rFonts w:ascii="Times New Roman" w:hAnsi="Times New Roman"/>
                <w:sz w:val="16"/>
                <w:szCs w:val="16"/>
              </w:rPr>
            </w:pPr>
            <w:r w:rsidRPr="00987A71">
              <w:rPr>
                <w:rFonts w:ascii="Times New Roman" w:hAnsi="Times New Roman"/>
                <w:sz w:val="16"/>
                <w:szCs w:val="16"/>
              </w:rPr>
              <w:t xml:space="preserve"> ▪ kapitálové výdavky</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64</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240</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80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100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0</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rPr>
                <w:rFonts w:ascii="Times New Roman" w:hAnsi="Times New Roman"/>
                <w:sz w:val="16"/>
                <w:szCs w:val="16"/>
              </w:rPr>
            </w:pPr>
            <w:r w:rsidRPr="00987A71">
              <w:rPr>
                <w:rFonts w:ascii="Times New Roman" w:hAnsi="Times New Roman"/>
                <w:sz w:val="16"/>
                <w:szCs w:val="16"/>
              </w:rPr>
              <w:t xml:space="preserve"> ▪ výdavky z transakcií s fin. akt. a pas. (FO)</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0</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0</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50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Cs/>
                <w:iCs/>
                <w:sz w:val="16"/>
                <w:szCs w:val="16"/>
              </w:rPr>
            </w:pPr>
            <w:r w:rsidRPr="00987A71">
              <w:rPr>
                <w:rFonts w:ascii="Times New Roman" w:hAnsi="Times New Roman"/>
                <w:bCs/>
                <w:iCs/>
                <w:sz w:val="16"/>
                <w:szCs w:val="16"/>
              </w:rPr>
              <w:t>0</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single" w:sz="4" w:space="0" w:color="auto"/>
            </w:tcBorders>
            <w:shd w:val="clear" w:color="auto" w:fill="BFBFBF"/>
            <w:textDirection w:val="lrTb"/>
            <w:vAlign w:val="center"/>
            <w:hideMark/>
          </w:tcPr>
          <w:p w:rsidR="006C0389" w:rsidRPr="00987A71" w:rsidP="000008FE">
            <w:pPr>
              <w:bidi w:val="0"/>
              <w:rPr>
                <w:rFonts w:ascii="Times New Roman" w:hAnsi="Times New Roman"/>
                <w:sz w:val="16"/>
                <w:szCs w:val="16"/>
              </w:rPr>
            </w:pPr>
            <w:r w:rsidRPr="00987A71">
              <w:rPr>
                <w:rFonts w:ascii="Times New Roman" w:hAnsi="Times New Roman"/>
                <w:b/>
                <w:bCs/>
                <w:sz w:val="16"/>
                <w:szCs w:val="16"/>
              </w:rPr>
              <w:t>Celková bilancia TASR</w:t>
            </w:r>
          </w:p>
        </w:tc>
        <w:tc>
          <w:tcPr>
            <w:tcW w:w="441" w:type="pct"/>
            <w:tcBorders>
              <w:top w:val="nil"/>
              <w:left w:val="nil"/>
              <w:bottom w:val="single" w:sz="4" w:space="0" w:color="auto"/>
              <w:right w:val="single" w:sz="4" w:space="0" w:color="auto"/>
            </w:tcBorders>
            <w:shd w:val="clear" w:color="auto" w:fill="BFBFBF"/>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150</w:t>
            </w:r>
          </w:p>
        </w:tc>
        <w:tc>
          <w:tcPr>
            <w:tcW w:w="441" w:type="pct"/>
            <w:tcBorders>
              <w:top w:val="nil"/>
              <w:left w:val="nil"/>
              <w:bottom w:val="single" w:sz="4" w:space="0" w:color="auto"/>
              <w:right w:val="single" w:sz="4" w:space="0" w:color="auto"/>
            </w:tcBorders>
            <w:shd w:val="clear" w:color="auto" w:fill="BFBFBF"/>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122</w:t>
            </w:r>
          </w:p>
        </w:tc>
        <w:tc>
          <w:tcPr>
            <w:tcW w:w="441" w:type="pct"/>
            <w:tcBorders>
              <w:top w:val="nil"/>
              <w:left w:val="nil"/>
              <w:bottom w:val="single" w:sz="4" w:space="0" w:color="auto"/>
              <w:right w:val="single" w:sz="4" w:space="0" w:color="auto"/>
            </w:tcBorders>
            <w:shd w:val="clear" w:color="auto" w:fill="BFBFBF"/>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327</w:t>
            </w:r>
          </w:p>
        </w:tc>
        <w:tc>
          <w:tcPr>
            <w:tcW w:w="442" w:type="pct"/>
            <w:tcBorders>
              <w:top w:val="nil"/>
              <w:left w:val="nil"/>
              <w:bottom w:val="single" w:sz="4" w:space="0" w:color="auto"/>
              <w:right w:val="single" w:sz="4" w:space="0" w:color="auto"/>
            </w:tcBorders>
            <w:shd w:val="clear" w:color="auto" w:fill="BFBFBF"/>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52</w:t>
            </w:r>
          </w:p>
        </w:tc>
        <w:tc>
          <w:tcPr>
            <w:tcW w:w="442" w:type="pct"/>
            <w:tcBorders>
              <w:top w:val="nil"/>
              <w:left w:val="nil"/>
              <w:bottom w:val="single" w:sz="4" w:space="0" w:color="auto"/>
              <w:right w:val="single" w:sz="4" w:space="0" w:color="auto"/>
            </w:tcBorders>
            <w:shd w:val="clear" w:color="auto" w:fill="BFBFBF"/>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199</w:t>
            </w:r>
          </w:p>
        </w:tc>
        <w:tc>
          <w:tcPr>
            <w:tcW w:w="442" w:type="pct"/>
            <w:tcBorders>
              <w:top w:val="nil"/>
              <w:left w:val="nil"/>
              <w:bottom w:val="single" w:sz="4" w:space="0" w:color="auto"/>
              <w:right w:val="single" w:sz="4" w:space="0" w:color="auto"/>
            </w:tcBorders>
            <w:shd w:val="clear" w:color="auto" w:fill="BFBFBF"/>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340</w:t>
            </w:r>
          </w:p>
        </w:tc>
        <w:tc>
          <w:tcPr>
            <w:tcW w:w="442" w:type="pct"/>
            <w:tcBorders>
              <w:top w:val="nil"/>
              <w:left w:val="nil"/>
              <w:bottom w:val="single" w:sz="4" w:space="0" w:color="auto"/>
              <w:right w:val="single" w:sz="4" w:space="0" w:color="auto"/>
            </w:tcBorders>
            <w:shd w:val="clear" w:color="auto" w:fill="BFBFBF"/>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471</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nil"/>
            </w:tcBorders>
            <w:noWrap/>
            <w:textDirection w:val="lrTb"/>
            <w:vAlign w:val="center"/>
            <w:hideMark/>
          </w:tcPr>
          <w:p w:rsidR="006C0389" w:rsidRPr="00987A71" w:rsidP="000008FE">
            <w:pPr>
              <w:bidi w:val="0"/>
              <w:rPr>
                <w:rFonts w:ascii="Times New Roman" w:hAnsi="Times New Roman"/>
                <w:b/>
                <w:bCs/>
                <w:sz w:val="16"/>
                <w:szCs w:val="16"/>
              </w:rPr>
            </w:pPr>
            <w:r w:rsidRPr="00987A71">
              <w:rPr>
                <w:rFonts w:ascii="Times New Roman" w:hAnsi="Times New Roman"/>
                <w:b/>
                <w:bCs/>
                <w:iCs/>
                <w:sz w:val="16"/>
                <w:szCs w:val="16"/>
              </w:rPr>
              <w:t>vylúčenie finančných operácií, z toho</w:t>
            </w:r>
          </w:p>
        </w:tc>
        <w:tc>
          <w:tcPr>
            <w:tcW w:w="441"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-152</w:t>
            </w:r>
          </w:p>
        </w:tc>
        <w:tc>
          <w:tcPr>
            <w:tcW w:w="441"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-150</w:t>
            </w:r>
          </w:p>
        </w:tc>
        <w:tc>
          <w:tcPr>
            <w:tcW w:w="441"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-152</w:t>
            </w:r>
          </w:p>
        </w:tc>
        <w:tc>
          <w:tcPr>
            <w:tcW w:w="4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-120</w:t>
            </w:r>
          </w:p>
        </w:tc>
        <w:tc>
          <w:tcPr>
            <w:tcW w:w="4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-52</w:t>
            </w:r>
          </w:p>
        </w:tc>
        <w:tc>
          <w:tcPr>
            <w:tcW w:w="4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-199</w:t>
            </w:r>
          </w:p>
        </w:tc>
        <w:tc>
          <w:tcPr>
            <w:tcW w:w="4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-340</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nil"/>
            </w:tcBorders>
            <w:noWrap/>
            <w:textDirection w:val="lrTb"/>
            <w:vAlign w:val="center"/>
            <w:hideMark/>
          </w:tcPr>
          <w:p w:rsidR="006C0389" w:rsidRPr="00987A71" w:rsidP="000008FE">
            <w:pPr>
              <w:bidi w:val="0"/>
              <w:rPr>
                <w:rFonts w:ascii="Times New Roman" w:hAnsi="Times New Roman"/>
                <w:b/>
                <w:bCs/>
                <w:iCs/>
                <w:sz w:val="16"/>
                <w:szCs w:val="16"/>
              </w:rPr>
            </w:pPr>
            <w:r w:rsidRPr="00987A71">
              <w:rPr>
                <w:rFonts w:ascii="Times New Roman" w:hAnsi="Times New Roman"/>
                <w:sz w:val="16"/>
                <w:szCs w:val="16"/>
              </w:rPr>
              <w:t xml:space="preserve"> ▪ vylúčenie príjmových FO</w:t>
            </w:r>
          </w:p>
        </w:tc>
        <w:tc>
          <w:tcPr>
            <w:tcW w:w="441"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-152</w:t>
            </w:r>
          </w:p>
        </w:tc>
        <w:tc>
          <w:tcPr>
            <w:tcW w:w="441"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-150</w:t>
            </w:r>
          </w:p>
        </w:tc>
        <w:tc>
          <w:tcPr>
            <w:tcW w:w="441"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-202</w:t>
            </w:r>
          </w:p>
        </w:tc>
        <w:tc>
          <w:tcPr>
            <w:tcW w:w="4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-120</w:t>
            </w:r>
          </w:p>
        </w:tc>
        <w:tc>
          <w:tcPr>
            <w:tcW w:w="4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-52</w:t>
            </w:r>
          </w:p>
        </w:tc>
        <w:tc>
          <w:tcPr>
            <w:tcW w:w="4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-199</w:t>
            </w:r>
          </w:p>
        </w:tc>
        <w:tc>
          <w:tcPr>
            <w:tcW w:w="4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-340</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nil"/>
            </w:tcBorders>
            <w:noWrap/>
            <w:textDirection w:val="lrTb"/>
            <w:vAlign w:val="center"/>
          </w:tcPr>
          <w:p w:rsidR="006C0389" w:rsidRPr="00987A71" w:rsidP="000008FE">
            <w:pPr>
              <w:bidi w:val="0"/>
              <w:rPr>
                <w:rFonts w:ascii="Times New Roman" w:hAnsi="Times New Roman"/>
                <w:sz w:val="16"/>
                <w:szCs w:val="16"/>
              </w:rPr>
            </w:pPr>
            <w:r w:rsidRPr="00987A71">
              <w:rPr>
                <w:rFonts w:ascii="Times New Roman" w:hAnsi="Times New Roman"/>
                <w:sz w:val="16"/>
                <w:szCs w:val="16"/>
              </w:rPr>
              <w:t xml:space="preserve"> ▪ vylúčenie výdavkových FO</w:t>
            </w:r>
          </w:p>
        </w:tc>
        <w:tc>
          <w:tcPr>
            <w:tcW w:w="441" w:type="pct"/>
            <w:tcBorders>
              <w:top w:val="nil"/>
              <w:left w:val="single" w:sz="4" w:space="0" w:color="auto"/>
              <w:bottom w:val="single" w:sz="4" w:space="0" w:color="auto"/>
              <w:right w:val="single" w:sz="4" w:space="0" w:color="auto"/>
            </w:tcBorders>
            <w:textDirection w:val="lrTb"/>
            <w:vAlign w:val="center"/>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1" w:type="pct"/>
            <w:tcBorders>
              <w:top w:val="nil"/>
              <w:left w:val="nil"/>
              <w:bottom w:val="single" w:sz="4" w:space="0" w:color="auto"/>
              <w:right w:val="single" w:sz="4" w:space="0" w:color="auto"/>
            </w:tcBorders>
            <w:textDirection w:val="lrTb"/>
            <w:vAlign w:val="center"/>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1" w:type="pct"/>
            <w:tcBorders>
              <w:top w:val="nil"/>
              <w:left w:val="nil"/>
              <w:bottom w:val="single" w:sz="4" w:space="0" w:color="auto"/>
              <w:right w:val="single" w:sz="4" w:space="0" w:color="auto"/>
            </w:tcBorders>
            <w:textDirection w:val="lrTb"/>
            <w:vAlign w:val="center"/>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50</w:t>
            </w:r>
          </w:p>
        </w:tc>
        <w:tc>
          <w:tcPr>
            <w:tcW w:w="442" w:type="pct"/>
            <w:tcBorders>
              <w:top w:val="nil"/>
              <w:left w:val="nil"/>
              <w:bottom w:val="single" w:sz="4" w:space="0" w:color="auto"/>
              <w:right w:val="single" w:sz="4" w:space="0" w:color="auto"/>
            </w:tcBorders>
            <w:textDirection w:val="lrTb"/>
            <w:vAlign w:val="center"/>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2" w:type="pct"/>
            <w:tcBorders>
              <w:top w:val="nil"/>
              <w:left w:val="nil"/>
              <w:bottom w:val="single" w:sz="4" w:space="0" w:color="auto"/>
              <w:right w:val="single" w:sz="4" w:space="0" w:color="auto"/>
            </w:tcBorders>
            <w:textDirection w:val="lrTb"/>
            <w:vAlign w:val="center"/>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2" w:type="pct"/>
            <w:tcBorders>
              <w:top w:val="nil"/>
              <w:left w:val="nil"/>
              <w:bottom w:val="single" w:sz="4" w:space="0" w:color="auto"/>
              <w:right w:val="single" w:sz="4" w:space="0" w:color="auto"/>
            </w:tcBorders>
            <w:textDirection w:val="lrTb"/>
            <w:vAlign w:val="center"/>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c>
          <w:tcPr>
            <w:tcW w:w="442" w:type="pct"/>
            <w:tcBorders>
              <w:top w:val="nil"/>
              <w:left w:val="nil"/>
              <w:bottom w:val="single" w:sz="4" w:space="0" w:color="auto"/>
              <w:right w:val="single" w:sz="4" w:space="0" w:color="auto"/>
            </w:tcBorders>
            <w:textDirection w:val="lrTb"/>
            <w:vAlign w:val="center"/>
          </w:tcPr>
          <w:p w:rsidR="006C0389" w:rsidRPr="00987A71" w:rsidP="000008FE">
            <w:pPr>
              <w:bidi w:val="0"/>
              <w:jc w:val="right"/>
              <w:rPr>
                <w:rFonts w:ascii="Times New Roman" w:hAnsi="Times New Roman"/>
                <w:sz w:val="16"/>
                <w:szCs w:val="16"/>
              </w:rPr>
            </w:pPr>
            <w:r w:rsidRPr="00987A71">
              <w:rPr>
                <w:rFonts w:ascii="Times New Roman" w:hAnsi="Times New Roman"/>
                <w:sz w:val="16"/>
                <w:szCs w:val="16"/>
              </w:rPr>
              <w:t>0</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nil"/>
            </w:tcBorders>
            <w:noWrap/>
            <w:textDirection w:val="lrTb"/>
            <w:vAlign w:val="center"/>
            <w:hideMark/>
          </w:tcPr>
          <w:p w:rsidR="006C0389" w:rsidRPr="00987A71" w:rsidP="000008FE">
            <w:pPr>
              <w:bidi w:val="0"/>
              <w:rPr>
                <w:rFonts w:ascii="Times New Roman" w:hAnsi="Times New Roman"/>
                <w:sz w:val="16"/>
                <w:szCs w:val="16"/>
              </w:rPr>
            </w:pPr>
            <w:r w:rsidRPr="00987A71">
              <w:rPr>
                <w:rFonts w:ascii="Times New Roman" w:hAnsi="Times New Roman"/>
                <w:b/>
                <w:bCs/>
                <w:iCs/>
                <w:sz w:val="16"/>
                <w:szCs w:val="16"/>
              </w:rPr>
              <w:t>medziročná zmena stavu pohľadávok</w:t>
            </w:r>
          </w:p>
        </w:tc>
        <w:tc>
          <w:tcPr>
            <w:tcW w:w="441" w:type="pct"/>
            <w:tcBorders>
              <w:top w:val="nil"/>
              <w:left w:val="single" w:sz="4" w:space="0" w:color="auto"/>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-21</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24</w:t>
            </w:r>
          </w:p>
        </w:tc>
        <w:tc>
          <w:tcPr>
            <w:tcW w:w="441"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442" w:type="pct"/>
            <w:tcBorders>
              <w:top w:val="nil"/>
              <w:left w:val="nil"/>
              <w:bottom w:val="single" w:sz="4" w:space="0" w:color="auto"/>
              <w:right w:val="single" w:sz="4" w:space="0" w:color="auto"/>
            </w:tcBorders>
            <w:shd w:val="clear" w:color="000000" w:fill="FFFFFF"/>
            <w:textDirection w:val="lrTb"/>
            <w:vAlign w:val="bottom"/>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164</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442" w:type="pct"/>
            <w:tcBorders>
              <w:top w:val="nil"/>
              <w:left w:val="nil"/>
              <w:bottom w:val="single" w:sz="4" w:space="0" w:color="auto"/>
              <w:right w:val="single" w:sz="4" w:space="0" w:color="auto"/>
            </w:tcBorders>
            <w:textDirection w:val="lrTb"/>
            <w:vAlign w:val="bottom"/>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nil"/>
            </w:tcBorders>
            <w:noWrap/>
            <w:textDirection w:val="lrTb"/>
            <w:vAlign w:val="center"/>
            <w:hideMark/>
          </w:tcPr>
          <w:p w:rsidR="006C0389" w:rsidRPr="00987A71" w:rsidP="000008FE">
            <w:pPr>
              <w:bidi w:val="0"/>
              <w:rPr>
                <w:rFonts w:ascii="Times New Roman" w:hAnsi="Times New Roman"/>
                <w:sz w:val="16"/>
                <w:szCs w:val="16"/>
              </w:rPr>
            </w:pPr>
            <w:r w:rsidRPr="00987A71">
              <w:rPr>
                <w:rFonts w:ascii="Times New Roman" w:hAnsi="Times New Roman"/>
                <w:b/>
                <w:bCs/>
                <w:iCs/>
                <w:sz w:val="16"/>
                <w:szCs w:val="16"/>
              </w:rPr>
              <w:t>medziročná zmena stavu záväzkov</w:t>
            </w:r>
          </w:p>
        </w:tc>
        <w:tc>
          <w:tcPr>
            <w:tcW w:w="441" w:type="pct"/>
            <w:tcBorders>
              <w:top w:val="nil"/>
              <w:left w:val="single" w:sz="4" w:space="0" w:color="auto"/>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20</w:t>
            </w:r>
          </w:p>
        </w:tc>
        <w:tc>
          <w:tcPr>
            <w:tcW w:w="441"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-627</w:t>
            </w:r>
          </w:p>
        </w:tc>
        <w:tc>
          <w:tcPr>
            <w:tcW w:w="441"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442" w:type="pct"/>
            <w:tcBorders>
              <w:top w:val="nil"/>
              <w:left w:val="nil"/>
              <w:bottom w:val="single" w:sz="4" w:space="0" w:color="auto"/>
              <w:right w:val="single" w:sz="4" w:space="0" w:color="auto"/>
            </w:tcBorders>
            <w:shd w:val="clear" w:color="000000" w:fill="FFFFFF"/>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126</w:t>
            </w:r>
          </w:p>
        </w:tc>
        <w:tc>
          <w:tcPr>
            <w:tcW w:w="4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4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c>
          <w:tcPr>
            <w:tcW w:w="4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
                <w:iCs/>
                <w:sz w:val="16"/>
                <w:szCs w:val="16"/>
              </w:rPr>
            </w:pPr>
            <w:r w:rsidRPr="00987A71">
              <w:rPr>
                <w:rFonts w:ascii="Times New Roman" w:hAnsi="Times New Roman"/>
                <w:b/>
                <w:bCs/>
                <w:i/>
                <w:iCs/>
                <w:sz w:val="16"/>
                <w:szCs w:val="16"/>
              </w:rPr>
              <w:t>0</w:t>
            </w:r>
          </w:p>
        </w:tc>
      </w:tr>
      <w:tr>
        <w:tblPrEx>
          <w:tblW w:w="5000" w:type="pct"/>
          <w:tblCellMar>
            <w:left w:w="70" w:type="dxa"/>
            <w:right w:w="70" w:type="dxa"/>
          </w:tblCellMar>
          <w:tblLook w:val="04A0"/>
        </w:tblPrEx>
        <w:trPr>
          <w:trHeight w:val="227"/>
        </w:trPr>
        <w:tc>
          <w:tcPr>
            <w:tcW w:w="1909" w:type="pct"/>
            <w:tcBorders>
              <w:top w:val="nil"/>
              <w:left w:val="single" w:sz="4" w:space="0" w:color="auto"/>
              <w:bottom w:val="single" w:sz="4" w:space="0" w:color="auto"/>
              <w:right w:val="nil"/>
            </w:tcBorders>
            <w:shd w:val="clear" w:color="auto" w:fill="BFBFBF"/>
            <w:noWrap/>
            <w:textDirection w:val="lrTb"/>
            <w:vAlign w:val="center"/>
            <w:hideMark/>
          </w:tcPr>
          <w:p w:rsidR="006C0389" w:rsidRPr="00987A71" w:rsidP="000008FE">
            <w:pPr>
              <w:bidi w:val="0"/>
              <w:rPr>
                <w:rFonts w:ascii="Times New Roman" w:hAnsi="Times New Roman"/>
                <w:b/>
                <w:bCs/>
                <w:iCs/>
                <w:sz w:val="16"/>
                <w:szCs w:val="16"/>
              </w:rPr>
            </w:pPr>
            <w:r w:rsidRPr="00987A71">
              <w:rPr>
                <w:rFonts w:ascii="Times New Roman" w:hAnsi="Times New Roman"/>
                <w:b/>
                <w:bCs/>
                <w:sz w:val="16"/>
                <w:szCs w:val="16"/>
              </w:rPr>
              <w:t>Prebytok (+) / schodok  (-) TASR (ESA 2010)</w:t>
            </w:r>
          </w:p>
        </w:tc>
        <w:tc>
          <w:tcPr>
            <w:tcW w:w="441" w:type="pct"/>
            <w:tcBorders>
              <w:top w:val="nil"/>
              <w:left w:val="single" w:sz="4" w:space="0" w:color="auto"/>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-2</w:t>
            </w:r>
          </w:p>
        </w:tc>
        <w:tc>
          <w:tcPr>
            <w:tcW w:w="441" w:type="pct"/>
            <w:tcBorders>
              <w:top w:val="nil"/>
              <w:left w:val="nil"/>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-630</w:t>
            </w:r>
          </w:p>
        </w:tc>
        <w:tc>
          <w:tcPr>
            <w:tcW w:w="441" w:type="pct"/>
            <w:tcBorders>
              <w:top w:val="nil"/>
              <w:left w:val="nil"/>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175</w:t>
            </w:r>
          </w:p>
        </w:tc>
        <w:tc>
          <w:tcPr>
            <w:tcW w:w="442" w:type="pct"/>
            <w:tcBorders>
              <w:top w:val="nil"/>
              <w:left w:val="nil"/>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223</w:t>
            </w:r>
          </w:p>
        </w:tc>
        <w:tc>
          <w:tcPr>
            <w:tcW w:w="442" w:type="pct"/>
            <w:tcBorders>
              <w:top w:val="nil"/>
              <w:left w:val="nil"/>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147</w:t>
            </w:r>
          </w:p>
        </w:tc>
        <w:tc>
          <w:tcPr>
            <w:tcW w:w="442" w:type="pct"/>
            <w:tcBorders>
              <w:top w:val="nil"/>
              <w:left w:val="nil"/>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141</w:t>
            </w:r>
          </w:p>
        </w:tc>
        <w:tc>
          <w:tcPr>
            <w:tcW w:w="442" w:type="pct"/>
            <w:tcBorders>
              <w:top w:val="nil"/>
              <w:left w:val="nil"/>
              <w:bottom w:val="single" w:sz="4" w:space="0" w:color="auto"/>
              <w:right w:val="single" w:sz="4" w:space="0" w:color="auto"/>
            </w:tcBorders>
            <w:shd w:val="clear" w:color="auto" w:fill="BFBFBF"/>
            <w:textDirection w:val="lrTb"/>
            <w:vAlign w:val="bottom"/>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130</w:t>
            </w:r>
          </w:p>
        </w:tc>
      </w:tr>
    </w:tbl>
    <w:p w:rsidR="006C0389" w:rsidRPr="000E26DD" w:rsidP="006C0389">
      <w:pPr>
        <w:bidi w:val="0"/>
        <w:ind w:firstLine="708"/>
        <w:jc w:val="both"/>
        <w:rPr>
          <w:rFonts w:ascii="Times New Roman" w:hAnsi="Times New Roman"/>
          <w:sz w:val="16"/>
          <w:szCs w:val="16"/>
        </w:rPr>
      </w:pPr>
    </w:p>
    <w:p w:rsidR="006C0389" w:rsidRPr="000E26DD" w:rsidP="006C0389">
      <w:pPr>
        <w:bidi w:val="0"/>
        <w:ind w:firstLine="708"/>
        <w:jc w:val="both"/>
        <w:rPr>
          <w:rFonts w:ascii="Times New Roman" w:hAnsi="Times New Roman"/>
        </w:rPr>
      </w:pPr>
      <w:r w:rsidRPr="000E26DD">
        <w:rPr>
          <w:rFonts w:ascii="Times New Roman" w:hAnsi="Times New Roman"/>
        </w:rPr>
        <w:t>Celkové príjmy TASR sú rozpočtované v objeme 4,</w:t>
      </w:r>
      <w:r>
        <w:rPr>
          <w:rFonts w:ascii="Times New Roman" w:hAnsi="Times New Roman"/>
        </w:rPr>
        <w:t>69</w:t>
      </w:r>
      <w:r w:rsidRPr="000E26DD">
        <w:rPr>
          <w:rFonts w:ascii="Times New Roman" w:hAnsi="Times New Roman"/>
        </w:rPr>
        <w:t xml:space="preserve"> mil. eur. Oproti schválenému rozpočtu na rok 2015 rastú o 285 tis. eur, t. j. o 6,47 %.  </w:t>
      </w:r>
    </w:p>
    <w:p w:rsidR="006C0389" w:rsidRPr="000E26DD" w:rsidP="006C0389">
      <w:pPr>
        <w:bidi w:val="0"/>
        <w:ind w:firstLine="708"/>
        <w:jc w:val="both"/>
        <w:rPr>
          <w:rFonts w:ascii="Times New Roman" w:hAnsi="Times New Roman"/>
          <w:sz w:val="16"/>
          <w:szCs w:val="16"/>
        </w:rPr>
      </w:pPr>
    </w:p>
    <w:p w:rsidR="006C0389" w:rsidRPr="000E26DD" w:rsidP="006C0389">
      <w:pPr>
        <w:bidi w:val="0"/>
        <w:ind w:firstLine="708"/>
        <w:jc w:val="both"/>
        <w:rPr>
          <w:rFonts w:ascii="Times New Roman" w:hAnsi="Times New Roman"/>
        </w:rPr>
      </w:pPr>
      <w:r w:rsidRPr="000E26DD">
        <w:rPr>
          <w:rFonts w:ascii="Times New Roman" w:hAnsi="Times New Roman"/>
        </w:rPr>
        <w:t>Príjmová časť rozpočtu TASR sa skladá z dvoch hlavných zdrojov príjmov, a to sú príjmy z predaja spravodajstva a príjmy zo štátneho rozpočtu. Do celkovej výšky príjmov vstupuje tiež zostatok prostriedkov z predchádzajúceho roku, ďalej úroky a iné nedaňové príjmy.</w:t>
      </w:r>
    </w:p>
    <w:p w:rsidR="006C0389" w:rsidRPr="000E26DD" w:rsidP="006C0389">
      <w:pPr>
        <w:bidi w:val="0"/>
        <w:ind w:firstLine="708"/>
        <w:jc w:val="both"/>
        <w:rPr>
          <w:rFonts w:ascii="Times New Roman" w:hAnsi="Times New Roman"/>
          <w:sz w:val="16"/>
          <w:szCs w:val="16"/>
        </w:rPr>
      </w:pPr>
    </w:p>
    <w:p w:rsidR="006C0389" w:rsidP="006C0389">
      <w:pPr>
        <w:bidi w:val="0"/>
        <w:ind w:firstLine="708"/>
        <w:jc w:val="both"/>
        <w:rPr>
          <w:rFonts w:ascii="Times New Roman" w:hAnsi="Times New Roman"/>
        </w:rPr>
      </w:pPr>
      <w:r w:rsidRPr="000E26DD">
        <w:rPr>
          <w:rFonts w:ascii="Times New Roman" w:hAnsi="Times New Roman"/>
        </w:rPr>
        <w:t>Na rok 2016 sa rozpočtujú nedaňové príjmy subjektu vo výške 2,4</w:t>
      </w:r>
      <w:r>
        <w:rPr>
          <w:rFonts w:ascii="Times New Roman" w:hAnsi="Times New Roman"/>
        </w:rPr>
        <w:t>4</w:t>
      </w:r>
      <w:r w:rsidRPr="000E26DD">
        <w:rPr>
          <w:rFonts w:ascii="Times New Roman" w:hAnsi="Times New Roman"/>
        </w:rPr>
        <w:t xml:space="preserve"> mil. eur, čo </w:t>
      </w:r>
      <w:r>
        <w:rPr>
          <w:rFonts w:ascii="Times New Roman" w:hAnsi="Times New Roman"/>
        </w:rPr>
        <w:t xml:space="preserve">predstavuje zvýšenie o 435 tis. eur, t. j. o 21,7 %. Zvýšenie vlastných príjmov zohľadňuje skutočný vývoj z  predchádzajúceho obdobia ako aj  plánované nové aktivity agentúry, na základe ktorých sa očakávajú vyššie príjmy z predaja spravodajstva. </w:t>
      </w:r>
    </w:p>
    <w:p w:rsidR="006C0389" w:rsidRPr="000E26DD" w:rsidP="006C0389">
      <w:pPr>
        <w:bidi w:val="0"/>
        <w:ind w:firstLine="708"/>
        <w:jc w:val="both"/>
        <w:rPr>
          <w:rFonts w:ascii="Times New Roman" w:hAnsi="Times New Roman"/>
          <w:sz w:val="16"/>
          <w:szCs w:val="16"/>
        </w:rPr>
      </w:pPr>
    </w:p>
    <w:p w:rsidR="006C0389" w:rsidP="006C0389">
      <w:pPr>
        <w:bidi w:val="0"/>
        <w:ind w:firstLine="708"/>
        <w:jc w:val="both"/>
        <w:rPr>
          <w:rFonts w:ascii="Times New Roman" w:hAnsi="Times New Roman"/>
        </w:rPr>
      </w:pPr>
      <w:r>
        <w:rPr>
          <w:rFonts w:ascii="Times New Roman" w:hAnsi="Times New Roman"/>
        </w:rPr>
        <w:t xml:space="preserve">Navrhovaná </w:t>
      </w:r>
      <w:r w:rsidRPr="000E26DD">
        <w:rPr>
          <w:rFonts w:ascii="Times New Roman" w:hAnsi="Times New Roman"/>
        </w:rPr>
        <w:t xml:space="preserve">výška transferu zo štátneho rozpočtu v objeme 2,2 mil. eur zachováva úroveň schváleného rozpočtu roku 2015. Finančné prostriedky určené na realizáciu služieb vo verejnom záujme sa poskytujú na základe zmluvy uzavretej medzi Ministerstvom kultúry SR a TASR. </w:t>
      </w:r>
    </w:p>
    <w:p w:rsidR="006C0389" w:rsidRPr="006B53D9" w:rsidP="006C0389">
      <w:pPr>
        <w:bidi w:val="0"/>
        <w:ind w:firstLine="708"/>
        <w:jc w:val="both"/>
        <w:rPr>
          <w:rFonts w:ascii="Times New Roman" w:hAnsi="Times New Roman"/>
          <w:sz w:val="16"/>
          <w:szCs w:val="16"/>
        </w:rPr>
      </w:pPr>
    </w:p>
    <w:p w:rsidR="006C0389" w:rsidRPr="000E26DD" w:rsidP="006C0389">
      <w:pPr>
        <w:bidi w:val="0"/>
        <w:ind w:firstLine="708"/>
        <w:jc w:val="both"/>
        <w:rPr>
          <w:rFonts w:ascii="Times New Roman" w:hAnsi="Times New Roman"/>
        </w:rPr>
      </w:pPr>
      <w:r w:rsidRPr="000E26DD">
        <w:rPr>
          <w:rFonts w:ascii="Times New Roman" w:hAnsi="Times New Roman"/>
          <w:color w:val="000000"/>
        </w:rPr>
        <w:t>Celkové výdavky sa na rok 2016 rozpočtujú v objeme 4,49 mil. eur, oproti schválenému rozpočtu na rok 2015 zaznamenávajú nárast o 412 tis. eur, t. j. o 10,1 %. </w:t>
      </w:r>
    </w:p>
    <w:p w:rsidR="006C0389" w:rsidRPr="000E26DD" w:rsidP="006C0389">
      <w:pPr>
        <w:bidi w:val="0"/>
        <w:ind w:firstLine="708"/>
        <w:jc w:val="both"/>
        <w:rPr>
          <w:rFonts w:ascii="Times New Roman" w:hAnsi="Times New Roman"/>
          <w:color w:val="000000"/>
          <w:sz w:val="16"/>
          <w:szCs w:val="16"/>
        </w:rPr>
      </w:pPr>
    </w:p>
    <w:p w:rsidR="006C0389" w:rsidRPr="000E26DD" w:rsidP="006C0389">
      <w:pPr>
        <w:bidi w:val="0"/>
        <w:ind w:firstLine="708"/>
        <w:jc w:val="both"/>
        <w:rPr>
          <w:rFonts w:ascii="Times New Roman" w:hAnsi="Times New Roman"/>
          <w:color w:val="000000"/>
        </w:rPr>
      </w:pPr>
      <w:r w:rsidRPr="000E26DD">
        <w:rPr>
          <w:rFonts w:ascii="Times New Roman" w:hAnsi="Times New Roman"/>
          <w:color w:val="000000"/>
        </w:rPr>
        <w:t>Bežné výdavky TASR sa navrhujú v objeme 4,49 mil. eur, čo znamená, že ich hodnota je oproti schválenému rozpočtu na rok 2015 vyššia o 542 tis. eur, t. j. o 13,74 %, pričom osobné výdavky rastú oproti roku 2015 o 57,5 tis. eur, t. j. o 2,51 % z dôvodu rozhodnutia subjektu o potrebe vyššieho počtu zamestnancov. Výdavky na tovary a služby medziročne rastú o 484 tis. eur, t. j. o 29,4 %.</w:t>
      </w:r>
    </w:p>
    <w:p w:rsidR="006C0389" w:rsidRPr="000E26DD" w:rsidP="006C0389">
      <w:pPr>
        <w:bidi w:val="0"/>
        <w:ind w:firstLine="708"/>
        <w:jc w:val="both"/>
        <w:rPr>
          <w:rFonts w:ascii="Times New Roman" w:hAnsi="Times New Roman"/>
          <w:color w:val="000000"/>
          <w:sz w:val="16"/>
          <w:szCs w:val="16"/>
        </w:rPr>
      </w:pPr>
      <w:r w:rsidRPr="000E26DD">
        <w:rPr>
          <w:rFonts w:ascii="Times New Roman" w:hAnsi="Times New Roman"/>
          <w:color w:val="000000"/>
          <w:sz w:val="16"/>
          <w:szCs w:val="16"/>
        </w:rPr>
        <w:t> </w:t>
      </w:r>
    </w:p>
    <w:p w:rsidR="006C0389" w:rsidP="006B53D9">
      <w:pPr>
        <w:bidi w:val="0"/>
        <w:ind w:firstLine="708"/>
        <w:jc w:val="both"/>
        <w:rPr>
          <w:rFonts w:ascii="Times New Roman" w:hAnsi="Times New Roman"/>
        </w:rPr>
      </w:pPr>
      <w:r w:rsidRPr="000E26DD">
        <w:rPr>
          <w:rFonts w:ascii="Times New Roman" w:hAnsi="Times New Roman"/>
        </w:rPr>
        <w:t xml:space="preserve">Celkový hotovostný prebytok TASR sa v roku 2016 predpokladá vo výške </w:t>
        <w:br/>
        <w:t>199 tis. eur, v roku 2017 sa predpokladá celkový prebytok na úrovni 340 tis. eur a v roku 2018 vo výške 471 tis. eur. V metodike ESA 2010 je predpokladaný prebytok hospodárenia TASR v roku 2016 vo výške 147 tis. eur, v roku 2017 vo výške 141 tis. eur a v roku 2018 vo výške 130 tis. eur.</w:t>
      </w:r>
    </w:p>
    <w:p w:rsidR="006C0389" w:rsidP="006C0389">
      <w:pPr>
        <w:bidi w:val="0"/>
        <w:jc w:val="both"/>
        <w:rPr>
          <w:rFonts w:ascii="Times New Roman" w:hAnsi="Times New Roman"/>
        </w:rPr>
      </w:pPr>
    </w:p>
    <w:p w:rsidR="006C0389" w:rsidRPr="00994288" w:rsidP="006C0389">
      <w:pPr>
        <w:bidi w:val="0"/>
        <w:rPr>
          <w:rFonts w:ascii="Times New Roman" w:hAnsi="Times New Roman"/>
        </w:rPr>
      </w:pPr>
      <w:r w:rsidRPr="00994288">
        <w:rPr>
          <w:rFonts w:ascii="Times New Roman" w:hAnsi="Times New Roman"/>
          <w:b/>
          <w:bCs/>
        </w:rPr>
        <w:t>1</w:t>
      </w:r>
      <w:r>
        <w:rPr>
          <w:rFonts w:ascii="Times New Roman" w:hAnsi="Times New Roman"/>
          <w:b/>
          <w:bCs/>
        </w:rPr>
        <w:t>3</w:t>
      </w:r>
      <w:r w:rsidRPr="00994288">
        <w:rPr>
          <w:rFonts w:ascii="Times New Roman" w:hAnsi="Times New Roman"/>
          <w:b/>
          <w:bCs/>
        </w:rPr>
        <w:t>. Úrad pre dohľad nad výkonom auditu</w:t>
      </w:r>
    </w:p>
    <w:p w:rsidR="006C0389" w:rsidRPr="00BC31DD" w:rsidP="006C0389">
      <w:pPr>
        <w:bidi w:val="0"/>
        <w:ind w:firstLine="708"/>
        <w:jc w:val="both"/>
        <w:rPr>
          <w:rFonts w:ascii="Times New Roman" w:hAnsi="Times New Roman"/>
          <w:sz w:val="16"/>
          <w:szCs w:val="16"/>
        </w:rPr>
      </w:pPr>
    </w:p>
    <w:p w:rsidR="006C0389" w:rsidP="006C0389">
      <w:pPr>
        <w:bidi w:val="0"/>
        <w:ind w:firstLine="708"/>
        <w:jc w:val="both"/>
        <w:rPr>
          <w:rFonts w:ascii="Times New Roman" w:hAnsi="Times New Roman"/>
        </w:rPr>
      </w:pPr>
      <w:r>
        <w:rPr>
          <w:rFonts w:ascii="Times New Roman" w:hAnsi="Times New Roman"/>
        </w:rPr>
        <w:t>Vývoj príjmovej a výdavkovej časti rozpočtu úradu na roky 2016 až 2018 je nasledovný:</w:t>
      </w:r>
    </w:p>
    <w:p w:rsidR="006C0389" w:rsidRPr="00626E9E" w:rsidP="006C0389">
      <w:pPr>
        <w:bidi w:val="0"/>
        <w:ind w:firstLine="708"/>
        <w:jc w:val="both"/>
        <w:rPr>
          <w:rFonts w:ascii="Times New Roman" w:hAnsi="Times New Roman"/>
          <w:sz w:val="16"/>
          <w:szCs w:val="16"/>
        </w:rPr>
      </w:pPr>
    </w:p>
    <w:tbl>
      <w:tblPr>
        <w:tblStyle w:val="TableNormal"/>
        <w:tblW w:w="5017" w:type="pct"/>
        <w:tblCellMar>
          <w:left w:w="70" w:type="dxa"/>
          <w:right w:w="70" w:type="dxa"/>
        </w:tblCellMar>
        <w:tblLook w:val="04A0"/>
      </w:tblPr>
      <w:tblGrid>
        <w:gridCol w:w="3632"/>
        <w:gridCol w:w="824"/>
        <w:gridCol w:w="780"/>
        <w:gridCol w:w="824"/>
        <w:gridCol w:w="839"/>
        <w:gridCol w:w="780"/>
        <w:gridCol w:w="782"/>
        <w:gridCol w:w="780"/>
      </w:tblGrid>
      <w:tr>
        <w:tblPrEx>
          <w:tblW w:w="5017" w:type="pct"/>
          <w:tblCellMar>
            <w:left w:w="70" w:type="dxa"/>
            <w:right w:w="70" w:type="dxa"/>
          </w:tblCellMar>
          <w:tblLook w:val="04A0"/>
        </w:tblPrEx>
        <w:trPr>
          <w:trHeight w:val="255"/>
        </w:trPr>
        <w:tc>
          <w:tcPr>
            <w:tcW w:w="1965" w:type="pct"/>
            <w:tcBorders>
              <w:top w:val="single" w:sz="4" w:space="0" w:color="auto"/>
              <w:left w:val="single" w:sz="4" w:space="0" w:color="auto"/>
              <w:bottom w:val="single" w:sz="4" w:space="0" w:color="auto"/>
              <w:right w:val="single" w:sz="4" w:space="0" w:color="auto"/>
            </w:tcBorders>
            <w:shd w:val="clear" w:color="auto" w:fill="A6A6A6"/>
            <w:textDirection w:val="lrTb"/>
            <w:vAlign w:val="center"/>
            <w:hideMark/>
          </w:tcPr>
          <w:p w:rsidR="006C0389" w:rsidRPr="000F11A8" w:rsidP="000008FE">
            <w:pPr>
              <w:bidi w:val="0"/>
              <w:rPr>
                <w:rFonts w:ascii="Times New Roman" w:hAnsi="Times New Roman"/>
                <w:b/>
                <w:sz w:val="16"/>
                <w:szCs w:val="16"/>
              </w:rPr>
            </w:pPr>
            <w:r w:rsidRPr="000F11A8">
              <w:rPr>
                <w:rFonts w:ascii="Times New Roman" w:hAnsi="Times New Roman"/>
                <w:b/>
                <w:sz w:val="16"/>
                <w:szCs w:val="16"/>
              </w:rPr>
              <w:t>v tis. eur</w:t>
            </w:r>
          </w:p>
        </w:tc>
        <w:tc>
          <w:tcPr>
            <w:tcW w:w="446" w:type="pct"/>
            <w:tcBorders>
              <w:top w:val="single" w:sz="4" w:space="0" w:color="auto"/>
              <w:left w:val="nil"/>
              <w:bottom w:val="single" w:sz="4" w:space="0" w:color="auto"/>
              <w:right w:val="single" w:sz="4" w:space="0" w:color="auto"/>
            </w:tcBorders>
            <w:shd w:val="clear" w:color="auto" w:fill="A6A6A6"/>
            <w:textDirection w:val="lrTb"/>
            <w:vAlign w:val="center"/>
            <w:hideMark/>
          </w:tcPr>
          <w:p w:rsidR="006C0389" w:rsidRPr="000F11A8" w:rsidP="000008FE">
            <w:pPr>
              <w:bidi w:val="0"/>
              <w:jc w:val="center"/>
              <w:rPr>
                <w:rFonts w:ascii="Times New Roman" w:hAnsi="Times New Roman"/>
                <w:b/>
                <w:bCs/>
                <w:sz w:val="16"/>
                <w:szCs w:val="16"/>
              </w:rPr>
            </w:pPr>
            <w:r w:rsidRPr="000F11A8">
              <w:rPr>
                <w:rFonts w:ascii="Times New Roman" w:hAnsi="Times New Roman"/>
                <w:b/>
                <w:bCs/>
                <w:sz w:val="16"/>
                <w:szCs w:val="16"/>
              </w:rPr>
              <w:t>2013 S</w:t>
            </w:r>
          </w:p>
        </w:tc>
        <w:tc>
          <w:tcPr>
            <w:tcW w:w="422" w:type="pct"/>
            <w:tcBorders>
              <w:top w:val="single" w:sz="4" w:space="0" w:color="auto"/>
              <w:left w:val="nil"/>
              <w:bottom w:val="single" w:sz="4" w:space="0" w:color="auto"/>
              <w:right w:val="single" w:sz="4" w:space="0" w:color="auto"/>
            </w:tcBorders>
            <w:shd w:val="clear" w:color="auto" w:fill="A6A6A6"/>
            <w:textDirection w:val="lrTb"/>
            <w:vAlign w:val="center"/>
            <w:hideMark/>
          </w:tcPr>
          <w:p w:rsidR="006C0389" w:rsidRPr="000F11A8" w:rsidP="000008FE">
            <w:pPr>
              <w:bidi w:val="0"/>
              <w:jc w:val="center"/>
              <w:rPr>
                <w:rFonts w:ascii="Times New Roman" w:hAnsi="Times New Roman"/>
                <w:b/>
                <w:bCs/>
                <w:sz w:val="16"/>
                <w:szCs w:val="16"/>
              </w:rPr>
            </w:pPr>
            <w:r w:rsidRPr="000F11A8">
              <w:rPr>
                <w:rFonts w:ascii="Times New Roman" w:hAnsi="Times New Roman"/>
                <w:b/>
                <w:bCs/>
                <w:sz w:val="16"/>
                <w:szCs w:val="16"/>
              </w:rPr>
              <w:t>2014 S</w:t>
            </w:r>
          </w:p>
        </w:tc>
        <w:tc>
          <w:tcPr>
            <w:tcW w:w="446" w:type="pct"/>
            <w:tcBorders>
              <w:top w:val="single" w:sz="4" w:space="0" w:color="auto"/>
              <w:left w:val="nil"/>
              <w:bottom w:val="single" w:sz="4" w:space="0" w:color="auto"/>
              <w:right w:val="single" w:sz="4" w:space="0" w:color="auto"/>
            </w:tcBorders>
            <w:shd w:val="clear" w:color="auto" w:fill="A6A6A6"/>
            <w:textDirection w:val="lrTb"/>
            <w:vAlign w:val="center"/>
            <w:hideMark/>
          </w:tcPr>
          <w:p w:rsidR="006C0389" w:rsidRPr="000F11A8" w:rsidP="000008FE">
            <w:pPr>
              <w:bidi w:val="0"/>
              <w:jc w:val="center"/>
              <w:rPr>
                <w:rFonts w:ascii="Times New Roman" w:hAnsi="Times New Roman"/>
                <w:b/>
                <w:bCs/>
                <w:sz w:val="16"/>
                <w:szCs w:val="16"/>
              </w:rPr>
            </w:pPr>
            <w:r w:rsidRPr="000F11A8">
              <w:rPr>
                <w:rFonts w:ascii="Times New Roman" w:hAnsi="Times New Roman"/>
                <w:b/>
                <w:bCs/>
                <w:sz w:val="16"/>
                <w:szCs w:val="16"/>
              </w:rPr>
              <w:t>2015 R</w:t>
            </w:r>
          </w:p>
        </w:tc>
        <w:tc>
          <w:tcPr>
            <w:tcW w:w="454" w:type="pct"/>
            <w:tcBorders>
              <w:top w:val="single" w:sz="4" w:space="0" w:color="auto"/>
              <w:left w:val="nil"/>
              <w:bottom w:val="single" w:sz="4" w:space="0" w:color="auto"/>
              <w:right w:val="single" w:sz="4" w:space="0" w:color="auto"/>
            </w:tcBorders>
            <w:shd w:val="clear" w:color="auto" w:fill="A6A6A6"/>
            <w:textDirection w:val="lrTb"/>
            <w:vAlign w:val="center"/>
            <w:hideMark/>
          </w:tcPr>
          <w:p w:rsidR="006C0389" w:rsidRPr="000F11A8" w:rsidP="000008FE">
            <w:pPr>
              <w:bidi w:val="0"/>
              <w:jc w:val="center"/>
              <w:rPr>
                <w:rFonts w:ascii="Times New Roman" w:hAnsi="Times New Roman"/>
                <w:b/>
                <w:bCs/>
                <w:sz w:val="16"/>
                <w:szCs w:val="16"/>
              </w:rPr>
            </w:pPr>
            <w:r w:rsidRPr="000F11A8">
              <w:rPr>
                <w:rFonts w:ascii="Times New Roman" w:hAnsi="Times New Roman"/>
                <w:b/>
                <w:bCs/>
                <w:sz w:val="16"/>
                <w:szCs w:val="16"/>
              </w:rPr>
              <w:t>OS 2015</w:t>
            </w:r>
          </w:p>
        </w:tc>
        <w:tc>
          <w:tcPr>
            <w:tcW w:w="422" w:type="pct"/>
            <w:tcBorders>
              <w:top w:val="single" w:sz="4" w:space="0" w:color="auto"/>
              <w:left w:val="nil"/>
              <w:bottom w:val="single" w:sz="4" w:space="0" w:color="auto"/>
              <w:right w:val="single" w:sz="4" w:space="0" w:color="auto"/>
            </w:tcBorders>
            <w:shd w:val="clear" w:color="auto" w:fill="A6A6A6"/>
            <w:textDirection w:val="lrTb"/>
            <w:vAlign w:val="center"/>
            <w:hideMark/>
          </w:tcPr>
          <w:p w:rsidR="006C0389" w:rsidRPr="000F11A8" w:rsidP="000008FE">
            <w:pPr>
              <w:bidi w:val="0"/>
              <w:jc w:val="center"/>
              <w:rPr>
                <w:rFonts w:ascii="Times New Roman" w:hAnsi="Times New Roman"/>
                <w:b/>
                <w:bCs/>
                <w:sz w:val="16"/>
                <w:szCs w:val="16"/>
              </w:rPr>
            </w:pPr>
            <w:r w:rsidRPr="000F11A8">
              <w:rPr>
                <w:rFonts w:ascii="Times New Roman" w:hAnsi="Times New Roman"/>
                <w:b/>
                <w:bCs/>
                <w:sz w:val="16"/>
                <w:szCs w:val="16"/>
              </w:rPr>
              <w:t>2016 N</w:t>
            </w:r>
          </w:p>
        </w:tc>
        <w:tc>
          <w:tcPr>
            <w:tcW w:w="423" w:type="pct"/>
            <w:tcBorders>
              <w:top w:val="single" w:sz="4" w:space="0" w:color="auto"/>
              <w:left w:val="nil"/>
              <w:bottom w:val="single" w:sz="4" w:space="0" w:color="auto"/>
              <w:right w:val="single" w:sz="4" w:space="0" w:color="auto"/>
            </w:tcBorders>
            <w:shd w:val="clear" w:color="auto" w:fill="A6A6A6"/>
            <w:textDirection w:val="lrTb"/>
            <w:vAlign w:val="center"/>
            <w:hideMark/>
          </w:tcPr>
          <w:p w:rsidR="006C0389" w:rsidRPr="000F11A8" w:rsidP="000008FE">
            <w:pPr>
              <w:bidi w:val="0"/>
              <w:jc w:val="center"/>
              <w:rPr>
                <w:rFonts w:ascii="Times New Roman" w:hAnsi="Times New Roman"/>
                <w:b/>
                <w:bCs/>
                <w:sz w:val="16"/>
                <w:szCs w:val="16"/>
              </w:rPr>
            </w:pPr>
            <w:r w:rsidRPr="000F11A8">
              <w:rPr>
                <w:rFonts w:ascii="Times New Roman" w:hAnsi="Times New Roman"/>
                <w:b/>
                <w:bCs/>
                <w:sz w:val="16"/>
                <w:szCs w:val="16"/>
              </w:rPr>
              <w:t>2017 N</w:t>
            </w:r>
          </w:p>
        </w:tc>
        <w:tc>
          <w:tcPr>
            <w:tcW w:w="422" w:type="pct"/>
            <w:tcBorders>
              <w:top w:val="single" w:sz="4" w:space="0" w:color="auto"/>
              <w:left w:val="nil"/>
              <w:bottom w:val="single" w:sz="4" w:space="0" w:color="auto"/>
              <w:right w:val="single" w:sz="4" w:space="0" w:color="auto"/>
            </w:tcBorders>
            <w:shd w:val="clear" w:color="auto" w:fill="A6A6A6"/>
            <w:textDirection w:val="lrTb"/>
            <w:vAlign w:val="center"/>
            <w:hideMark/>
          </w:tcPr>
          <w:p w:rsidR="006C0389" w:rsidRPr="000F11A8" w:rsidP="000008FE">
            <w:pPr>
              <w:bidi w:val="0"/>
              <w:jc w:val="center"/>
              <w:rPr>
                <w:rFonts w:ascii="Times New Roman" w:hAnsi="Times New Roman"/>
                <w:b/>
                <w:bCs/>
                <w:sz w:val="16"/>
                <w:szCs w:val="16"/>
              </w:rPr>
            </w:pPr>
            <w:r w:rsidRPr="000F11A8">
              <w:rPr>
                <w:rFonts w:ascii="Times New Roman" w:hAnsi="Times New Roman"/>
                <w:b/>
                <w:bCs/>
                <w:sz w:val="16"/>
                <w:szCs w:val="16"/>
              </w:rPr>
              <w:t>2018 N</w:t>
            </w:r>
          </w:p>
        </w:tc>
      </w:tr>
      <w:tr>
        <w:tblPrEx>
          <w:tblW w:w="5017" w:type="pct"/>
          <w:tblCellMar>
            <w:left w:w="70" w:type="dxa"/>
            <w:right w:w="70" w:type="dxa"/>
          </w:tblCellMar>
          <w:tblLook w:val="04A0"/>
        </w:tblPrEx>
        <w:trPr>
          <w:trHeight w:val="255"/>
        </w:trPr>
        <w:tc>
          <w:tcPr>
            <w:tcW w:w="196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6C0389" w:rsidRPr="000F11A8" w:rsidP="000008FE">
            <w:pPr>
              <w:bidi w:val="0"/>
              <w:rPr>
                <w:rFonts w:ascii="Times New Roman" w:hAnsi="Times New Roman"/>
                <w:b/>
                <w:bCs/>
                <w:iCs/>
                <w:sz w:val="16"/>
                <w:szCs w:val="16"/>
              </w:rPr>
            </w:pPr>
            <w:r w:rsidRPr="000F11A8">
              <w:rPr>
                <w:rFonts w:ascii="Times New Roman" w:hAnsi="Times New Roman"/>
                <w:b/>
                <w:bCs/>
                <w:iCs/>
                <w:sz w:val="16"/>
                <w:szCs w:val="16"/>
              </w:rPr>
              <w:t>Príjmy ÚDVA spolu</w:t>
            </w:r>
          </w:p>
        </w:tc>
        <w:tc>
          <w:tcPr>
            <w:tcW w:w="446"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1 207</w:t>
            </w:r>
          </w:p>
        </w:tc>
        <w:tc>
          <w:tcPr>
            <w:tcW w:w="422"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1 334</w:t>
            </w:r>
          </w:p>
        </w:tc>
        <w:tc>
          <w:tcPr>
            <w:tcW w:w="446"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1 310</w:t>
            </w:r>
          </w:p>
        </w:tc>
        <w:tc>
          <w:tcPr>
            <w:tcW w:w="454"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1 417</w:t>
            </w:r>
          </w:p>
        </w:tc>
        <w:tc>
          <w:tcPr>
            <w:tcW w:w="422"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1 420</w:t>
            </w:r>
          </w:p>
        </w:tc>
        <w:tc>
          <w:tcPr>
            <w:tcW w:w="42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1 424</w:t>
            </w:r>
          </w:p>
        </w:tc>
        <w:tc>
          <w:tcPr>
            <w:tcW w:w="422"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1 427</w:t>
            </w:r>
          </w:p>
        </w:tc>
      </w:tr>
      <w:tr>
        <w:tblPrEx>
          <w:tblW w:w="5017" w:type="pct"/>
          <w:tblCellMar>
            <w:left w:w="70" w:type="dxa"/>
            <w:right w:w="70" w:type="dxa"/>
          </w:tblCellMar>
          <w:tblLook w:val="04A0"/>
        </w:tblPrEx>
        <w:trPr>
          <w:trHeight w:val="255"/>
        </w:trPr>
        <w:tc>
          <w:tcPr>
            <w:tcW w:w="4578" w:type="pct"/>
            <w:gridSpan w:val="7"/>
            <w:tcBorders>
              <w:top w:val="single" w:sz="4" w:space="0" w:color="auto"/>
              <w:left w:val="single" w:sz="4" w:space="0" w:color="auto"/>
              <w:bottom w:val="single" w:sz="4" w:space="0" w:color="auto"/>
              <w:right w:val="nil"/>
            </w:tcBorders>
            <w:noWrap/>
            <w:textDirection w:val="lrTb"/>
            <w:vAlign w:val="bottom"/>
            <w:hideMark/>
          </w:tcPr>
          <w:p w:rsidR="006C0389" w:rsidRPr="000F11A8" w:rsidP="000008FE">
            <w:pPr>
              <w:bidi w:val="0"/>
              <w:rPr>
                <w:rFonts w:ascii="Times New Roman" w:hAnsi="Times New Roman"/>
                <w:b/>
                <w:bCs/>
                <w:iCs/>
                <w:sz w:val="16"/>
                <w:szCs w:val="16"/>
              </w:rPr>
            </w:pPr>
            <w:r w:rsidRPr="000F11A8">
              <w:rPr>
                <w:rFonts w:ascii="Times New Roman" w:hAnsi="Times New Roman"/>
                <w:b/>
                <w:bCs/>
                <w:iCs/>
                <w:sz w:val="16"/>
                <w:szCs w:val="16"/>
              </w:rPr>
              <w:t>z toho:</w:t>
            </w:r>
          </w:p>
        </w:tc>
        <w:tc>
          <w:tcPr>
            <w:tcW w:w="422" w:type="pct"/>
            <w:tcBorders>
              <w:top w:val="nil"/>
              <w:left w:val="nil"/>
              <w:bottom w:val="single" w:sz="4" w:space="0" w:color="auto"/>
              <w:right w:val="single" w:sz="4" w:space="0" w:color="auto"/>
            </w:tcBorders>
            <w:noWrap/>
            <w:textDirection w:val="lrTb"/>
            <w:vAlign w:val="center"/>
            <w:hideMark/>
          </w:tcPr>
          <w:p w:rsidR="006C0389" w:rsidRPr="000F11A8" w:rsidP="000008FE">
            <w:pPr>
              <w:bidi w:val="0"/>
              <w:rPr>
                <w:rFonts w:ascii="Times New Roman" w:hAnsi="Times New Roman"/>
                <w:sz w:val="16"/>
                <w:szCs w:val="16"/>
              </w:rPr>
            </w:pP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textDirection w:val="lrTb"/>
            <w:vAlign w:val="bottom"/>
            <w:hideMark/>
          </w:tcPr>
          <w:p w:rsidR="006C0389" w:rsidRPr="000F11A8" w:rsidP="000008FE">
            <w:pPr>
              <w:bidi w:val="0"/>
              <w:rPr>
                <w:rFonts w:ascii="Times New Roman" w:hAnsi="Times New Roman"/>
                <w:sz w:val="16"/>
                <w:szCs w:val="16"/>
              </w:rPr>
            </w:pPr>
            <w:r w:rsidRPr="000F11A8">
              <w:rPr>
                <w:rFonts w:ascii="Times New Roman" w:hAnsi="Times New Roman"/>
                <w:sz w:val="16"/>
                <w:szCs w:val="16"/>
              </w:rPr>
              <w:t>▪   nedaňové príjmy, z toho:</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529</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556</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512</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528</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520</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520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520</w:t>
            </w: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textDirection w:val="lrTb"/>
            <w:vAlign w:val="bottom"/>
            <w:hideMark/>
          </w:tcPr>
          <w:p w:rsidR="006C0389" w:rsidRPr="000F11A8" w:rsidP="000008FE">
            <w:pPr>
              <w:bidi w:val="0"/>
              <w:rPr>
                <w:rFonts w:ascii="Times New Roman" w:hAnsi="Times New Roman"/>
                <w:sz w:val="16"/>
                <w:szCs w:val="16"/>
              </w:rPr>
            </w:pPr>
            <w:r w:rsidRPr="000F11A8">
              <w:rPr>
                <w:rFonts w:ascii="Times New Roman" w:hAnsi="Times New Roman"/>
                <w:sz w:val="16"/>
                <w:szCs w:val="16"/>
              </w:rPr>
              <w:t xml:space="preserve">         administratívne a iné poplatky</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49</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41</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52</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52</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55</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55</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55</w:t>
            </w: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textDirection w:val="lrTb"/>
            <w:vAlign w:val="bottom"/>
            <w:hideMark/>
          </w:tcPr>
          <w:p w:rsidR="006C0389" w:rsidRPr="000F11A8" w:rsidP="000008FE">
            <w:pPr>
              <w:bidi w:val="0"/>
              <w:rPr>
                <w:rFonts w:ascii="Times New Roman" w:hAnsi="Times New Roman"/>
                <w:sz w:val="16"/>
                <w:szCs w:val="16"/>
              </w:rPr>
            </w:pPr>
            <w:r w:rsidRPr="000F11A8">
              <w:rPr>
                <w:rFonts w:ascii="Times New Roman" w:hAnsi="Times New Roman"/>
                <w:sz w:val="16"/>
                <w:szCs w:val="16"/>
              </w:rPr>
              <w:t xml:space="preserve">         kapitálové príjmy</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textDirection w:val="lrTb"/>
            <w:vAlign w:val="bottom"/>
            <w:hideMark/>
          </w:tcPr>
          <w:p w:rsidR="006C0389" w:rsidRPr="000F11A8" w:rsidP="000008FE">
            <w:pPr>
              <w:bidi w:val="0"/>
              <w:rPr>
                <w:rFonts w:ascii="Times New Roman" w:hAnsi="Times New Roman"/>
                <w:sz w:val="16"/>
                <w:szCs w:val="16"/>
              </w:rPr>
            </w:pPr>
            <w:r w:rsidRPr="000F11A8">
              <w:rPr>
                <w:rFonts w:ascii="Times New Roman" w:hAnsi="Times New Roman"/>
                <w:sz w:val="16"/>
                <w:szCs w:val="16"/>
              </w:rPr>
              <w:t xml:space="preserve">         ostatné nedaňové príjmy</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480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515</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460</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476</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465</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465</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465</w:t>
            </w: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textDirection w:val="lrTb"/>
            <w:vAlign w:val="bottom"/>
            <w:hideMark/>
          </w:tcPr>
          <w:p w:rsidR="006C0389" w:rsidRPr="000F11A8" w:rsidP="000008FE">
            <w:pPr>
              <w:bidi w:val="0"/>
              <w:rPr>
                <w:rFonts w:ascii="Times New Roman" w:hAnsi="Times New Roman"/>
                <w:sz w:val="16"/>
                <w:szCs w:val="16"/>
              </w:rPr>
            </w:pPr>
            <w:r w:rsidRPr="000F11A8">
              <w:rPr>
                <w:rFonts w:ascii="Times New Roman" w:hAnsi="Times New Roman"/>
                <w:sz w:val="16"/>
                <w:szCs w:val="16"/>
              </w:rPr>
              <w:t>▪   granty a transfery, z toho</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textDirection w:val="lrTb"/>
            <w:vAlign w:val="bottom"/>
            <w:hideMark/>
          </w:tcPr>
          <w:p w:rsidR="006C0389" w:rsidRPr="000F11A8" w:rsidP="000008FE">
            <w:pPr>
              <w:bidi w:val="0"/>
              <w:rPr>
                <w:rFonts w:ascii="Times New Roman" w:hAnsi="Times New Roman"/>
                <w:sz w:val="16"/>
                <w:szCs w:val="16"/>
              </w:rPr>
            </w:pPr>
            <w:r w:rsidRPr="000F11A8">
              <w:rPr>
                <w:rFonts w:ascii="Times New Roman" w:hAnsi="Times New Roman"/>
                <w:sz w:val="16"/>
                <w:szCs w:val="16"/>
              </w:rPr>
              <w:t xml:space="preserve">         tuzemské bežné transfery a granty</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textDirection w:val="lrTb"/>
            <w:vAlign w:val="bottom"/>
            <w:hideMark/>
          </w:tcPr>
          <w:p w:rsidR="006C0389" w:rsidRPr="000F11A8" w:rsidP="000008FE">
            <w:pPr>
              <w:bidi w:val="0"/>
              <w:ind w:firstLine="320" w:firstLineChars="200"/>
              <w:rPr>
                <w:rFonts w:ascii="Times New Roman" w:hAnsi="Times New Roman"/>
                <w:sz w:val="16"/>
                <w:szCs w:val="16"/>
              </w:rPr>
            </w:pPr>
            <w:r w:rsidRPr="000F11A8">
              <w:rPr>
                <w:rFonts w:ascii="Times New Roman" w:hAnsi="Times New Roman"/>
                <w:sz w:val="16"/>
                <w:szCs w:val="16"/>
              </w:rPr>
              <w:t xml:space="preserve">       zo štátneho rozpočtu</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268</w:t>
            </w: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textDirection w:val="lrTb"/>
            <w:vAlign w:val="bottom"/>
            <w:hideMark/>
          </w:tcPr>
          <w:p w:rsidR="006C0389" w:rsidRPr="000F11A8" w:rsidP="000008FE">
            <w:pPr>
              <w:bidi w:val="0"/>
              <w:rPr>
                <w:rFonts w:ascii="Times New Roman" w:hAnsi="Times New Roman"/>
                <w:sz w:val="16"/>
                <w:szCs w:val="16"/>
              </w:rPr>
            </w:pPr>
            <w:r w:rsidRPr="000F11A8">
              <w:rPr>
                <w:rFonts w:ascii="Times New Roman" w:hAnsi="Times New Roman"/>
                <w:sz w:val="16"/>
                <w:szCs w:val="16"/>
              </w:rPr>
              <w:t>▪   príjmové finančné operácie, z toho:</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410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509</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530</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621</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632</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636</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639</w:t>
            </w: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textDirection w:val="lrTb"/>
            <w:vAlign w:val="bottom"/>
            <w:hideMark/>
          </w:tcPr>
          <w:p w:rsidR="006C0389" w:rsidRPr="000F11A8" w:rsidP="000008FE">
            <w:pPr>
              <w:bidi w:val="0"/>
              <w:ind w:firstLine="160" w:firstLineChars="100"/>
              <w:rPr>
                <w:rFonts w:ascii="Times New Roman" w:hAnsi="Times New Roman"/>
                <w:sz w:val="16"/>
                <w:szCs w:val="16"/>
              </w:rPr>
            </w:pPr>
            <w:r w:rsidRPr="000F11A8">
              <w:rPr>
                <w:rFonts w:ascii="Times New Roman" w:hAnsi="Times New Roman"/>
                <w:sz w:val="16"/>
                <w:szCs w:val="16"/>
              </w:rPr>
              <w:t xml:space="preserve">     prevod prostriedkov z predchádzajúcich rokov</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410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509</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530</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621</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632</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636</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639</w:t>
            </w:r>
          </w:p>
        </w:tc>
      </w:tr>
      <w:tr>
        <w:tblPrEx>
          <w:tblW w:w="5017" w:type="pct"/>
          <w:tblCellMar>
            <w:left w:w="70" w:type="dxa"/>
            <w:right w:w="70" w:type="dxa"/>
          </w:tblCellMar>
          <w:tblLook w:val="04A0"/>
        </w:tblPrEx>
        <w:trPr>
          <w:trHeight w:val="255"/>
        </w:trPr>
        <w:tc>
          <w:tcPr>
            <w:tcW w:w="196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6C0389" w:rsidRPr="000F11A8" w:rsidP="000008FE">
            <w:pPr>
              <w:bidi w:val="0"/>
              <w:rPr>
                <w:rFonts w:ascii="Times New Roman" w:hAnsi="Times New Roman"/>
                <w:b/>
                <w:bCs/>
                <w:iCs/>
                <w:sz w:val="16"/>
                <w:szCs w:val="16"/>
              </w:rPr>
            </w:pPr>
            <w:r w:rsidRPr="000F11A8">
              <w:rPr>
                <w:rFonts w:ascii="Times New Roman" w:hAnsi="Times New Roman"/>
                <w:b/>
                <w:bCs/>
                <w:iCs/>
                <w:sz w:val="16"/>
                <w:szCs w:val="16"/>
              </w:rPr>
              <w:t>Výdavky ÚDVA spolu</w:t>
            </w:r>
          </w:p>
        </w:tc>
        <w:tc>
          <w:tcPr>
            <w:tcW w:w="446"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697</w:t>
            </w:r>
          </w:p>
        </w:tc>
        <w:tc>
          <w:tcPr>
            <w:tcW w:w="422"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712</w:t>
            </w:r>
          </w:p>
        </w:tc>
        <w:tc>
          <w:tcPr>
            <w:tcW w:w="446"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785</w:t>
            </w:r>
          </w:p>
        </w:tc>
        <w:tc>
          <w:tcPr>
            <w:tcW w:w="454"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785</w:t>
            </w:r>
          </w:p>
        </w:tc>
        <w:tc>
          <w:tcPr>
            <w:tcW w:w="422"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785</w:t>
            </w:r>
          </w:p>
        </w:tc>
        <w:tc>
          <w:tcPr>
            <w:tcW w:w="42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785</w:t>
            </w:r>
          </w:p>
        </w:tc>
        <w:tc>
          <w:tcPr>
            <w:tcW w:w="422"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785</w:t>
            </w:r>
          </w:p>
        </w:tc>
      </w:tr>
      <w:tr>
        <w:tblPrEx>
          <w:tblW w:w="5017" w:type="pct"/>
          <w:tblCellMar>
            <w:left w:w="70" w:type="dxa"/>
            <w:right w:w="70" w:type="dxa"/>
          </w:tblCellMar>
          <w:tblLook w:val="04A0"/>
        </w:tblPrEx>
        <w:trPr>
          <w:trHeight w:val="255"/>
        </w:trPr>
        <w:tc>
          <w:tcPr>
            <w:tcW w:w="4578" w:type="pct"/>
            <w:gridSpan w:val="7"/>
            <w:tcBorders>
              <w:top w:val="single" w:sz="4" w:space="0" w:color="auto"/>
              <w:left w:val="single" w:sz="4" w:space="0" w:color="auto"/>
              <w:bottom w:val="single" w:sz="4" w:space="0" w:color="auto"/>
              <w:right w:val="nil"/>
            </w:tcBorders>
            <w:noWrap/>
            <w:textDirection w:val="lrTb"/>
            <w:vAlign w:val="bottom"/>
            <w:hideMark/>
          </w:tcPr>
          <w:p w:rsidR="006C0389" w:rsidRPr="000F11A8" w:rsidP="000008FE">
            <w:pPr>
              <w:bidi w:val="0"/>
              <w:rPr>
                <w:rFonts w:ascii="Times New Roman" w:hAnsi="Times New Roman"/>
                <w:b/>
                <w:bCs/>
                <w:iCs/>
                <w:sz w:val="16"/>
                <w:szCs w:val="16"/>
              </w:rPr>
            </w:pPr>
            <w:r w:rsidRPr="000F11A8">
              <w:rPr>
                <w:rFonts w:ascii="Times New Roman" w:hAnsi="Times New Roman"/>
                <w:b/>
                <w:bCs/>
                <w:iCs/>
                <w:sz w:val="16"/>
                <w:szCs w:val="16"/>
              </w:rPr>
              <w:t>z toho:</w:t>
            </w:r>
          </w:p>
        </w:tc>
        <w:tc>
          <w:tcPr>
            <w:tcW w:w="422" w:type="pct"/>
            <w:tcBorders>
              <w:top w:val="nil"/>
              <w:left w:val="nil"/>
              <w:bottom w:val="single" w:sz="4" w:space="0" w:color="auto"/>
              <w:right w:val="single" w:sz="4" w:space="0" w:color="auto"/>
            </w:tcBorders>
            <w:noWrap/>
            <w:textDirection w:val="lrTb"/>
            <w:vAlign w:val="center"/>
            <w:hideMark/>
          </w:tcPr>
          <w:p w:rsidR="006C0389" w:rsidRPr="000F11A8" w:rsidP="000008FE">
            <w:pPr>
              <w:bidi w:val="0"/>
              <w:rPr>
                <w:rFonts w:ascii="Times New Roman" w:hAnsi="Times New Roman"/>
                <w:sz w:val="16"/>
                <w:szCs w:val="16"/>
              </w:rPr>
            </w:pP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textDirection w:val="lrTb"/>
            <w:vAlign w:val="bottom"/>
            <w:hideMark/>
          </w:tcPr>
          <w:p w:rsidR="006C0389" w:rsidRPr="000F11A8" w:rsidP="000008FE">
            <w:pPr>
              <w:bidi w:val="0"/>
              <w:rPr>
                <w:rFonts w:ascii="Times New Roman" w:hAnsi="Times New Roman"/>
                <w:sz w:val="16"/>
                <w:szCs w:val="16"/>
              </w:rPr>
            </w:pPr>
            <w:r w:rsidRPr="000F11A8">
              <w:rPr>
                <w:rFonts w:ascii="Times New Roman" w:hAnsi="Times New Roman"/>
                <w:sz w:val="16"/>
                <w:szCs w:val="16"/>
              </w:rPr>
              <w:t>▪   bežné výdavky, z toho:</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697</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698</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780</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780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780</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780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780</w:t>
            </w: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shd w:val="clear" w:color="auto" w:fill="FFFFFF"/>
            <w:textDirection w:val="lrTb"/>
            <w:vAlign w:val="bottom"/>
            <w:hideMark/>
          </w:tcPr>
          <w:p w:rsidR="006C0389" w:rsidRPr="000F11A8" w:rsidP="000008FE">
            <w:pPr>
              <w:bidi w:val="0"/>
              <w:ind w:firstLine="160" w:firstLineChars="100"/>
              <w:rPr>
                <w:rFonts w:ascii="Times New Roman" w:hAnsi="Times New Roman"/>
                <w:sz w:val="16"/>
                <w:szCs w:val="16"/>
              </w:rPr>
            </w:pPr>
            <w:r w:rsidRPr="000F11A8">
              <w:rPr>
                <w:rFonts w:ascii="Times New Roman" w:hAnsi="Times New Roman"/>
                <w:sz w:val="16"/>
                <w:szCs w:val="16"/>
              </w:rPr>
              <w:t xml:space="preserve">      mzdy </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417</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395</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420</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420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420</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420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420</w:t>
            </w: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shd w:val="clear" w:color="auto" w:fill="FFFFFF"/>
            <w:textDirection w:val="lrTb"/>
            <w:vAlign w:val="bottom"/>
            <w:hideMark/>
          </w:tcPr>
          <w:p w:rsidR="006C0389" w:rsidRPr="000F11A8" w:rsidP="000008FE">
            <w:pPr>
              <w:bidi w:val="0"/>
              <w:ind w:firstLine="160" w:firstLineChars="100"/>
              <w:rPr>
                <w:rFonts w:ascii="Times New Roman" w:hAnsi="Times New Roman"/>
                <w:sz w:val="16"/>
                <w:szCs w:val="16"/>
              </w:rPr>
            </w:pPr>
            <w:r w:rsidRPr="000F11A8">
              <w:rPr>
                <w:rFonts w:ascii="Times New Roman" w:hAnsi="Times New Roman"/>
                <w:sz w:val="16"/>
                <w:szCs w:val="16"/>
              </w:rPr>
              <w:t xml:space="preserve">      odvody</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137</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133</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150</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150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150</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150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150</w:t>
            </w: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shd w:val="clear" w:color="auto" w:fill="FFFFFF"/>
            <w:textDirection w:val="lrTb"/>
            <w:vAlign w:val="bottom"/>
            <w:hideMark/>
          </w:tcPr>
          <w:p w:rsidR="006C0389" w:rsidRPr="000F11A8" w:rsidP="000008FE">
            <w:pPr>
              <w:bidi w:val="0"/>
              <w:ind w:firstLine="160" w:firstLineChars="100"/>
              <w:rPr>
                <w:rFonts w:ascii="Times New Roman" w:hAnsi="Times New Roman"/>
                <w:sz w:val="16"/>
                <w:szCs w:val="16"/>
              </w:rPr>
            </w:pPr>
            <w:r w:rsidRPr="000F11A8">
              <w:rPr>
                <w:rFonts w:ascii="Times New Roman" w:hAnsi="Times New Roman"/>
                <w:sz w:val="16"/>
                <w:szCs w:val="16"/>
              </w:rPr>
              <w:t xml:space="preserve">      tovary a služby</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144</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171</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210</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210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210</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210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210</w:t>
            </w: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textDirection w:val="lrTb"/>
            <w:vAlign w:val="bottom"/>
            <w:hideMark/>
          </w:tcPr>
          <w:p w:rsidR="006C0389" w:rsidRPr="000F11A8" w:rsidP="000008FE">
            <w:pPr>
              <w:bidi w:val="0"/>
              <w:rPr>
                <w:rFonts w:ascii="Times New Roman" w:hAnsi="Times New Roman"/>
                <w:sz w:val="16"/>
                <w:szCs w:val="16"/>
              </w:rPr>
            </w:pPr>
            <w:r w:rsidRPr="000F11A8">
              <w:rPr>
                <w:rFonts w:ascii="Times New Roman" w:hAnsi="Times New Roman"/>
                <w:sz w:val="16"/>
                <w:szCs w:val="16"/>
              </w:rPr>
              <w:t>▪   kapitálové výdavky</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14</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w:t>
            </w: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textDirection w:val="lrTb"/>
            <w:vAlign w:val="bottom"/>
            <w:hideMark/>
          </w:tcPr>
          <w:p w:rsidR="006C0389" w:rsidRPr="000F11A8" w:rsidP="000008FE">
            <w:pPr>
              <w:bidi w:val="0"/>
              <w:rPr>
                <w:rFonts w:ascii="Times New Roman" w:hAnsi="Times New Roman"/>
                <w:sz w:val="16"/>
                <w:szCs w:val="16"/>
              </w:rPr>
            </w:pPr>
            <w:r w:rsidRPr="000F11A8">
              <w:rPr>
                <w:rFonts w:ascii="Times New Roman" w:hAnsi="Times New Roman"/>
                <w:sz w:val="16"/>
                <w:szCs w:val="16"/>
              </w:rPr>
              <w:t xml:space="preserve">▪   výdavky z transakcií s fin. akt. a pas. (FO) </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r>
      <w:tr>
        <w:tblPrEx>
          <w:tblW w:w="5017" w:type="pct"/>
          <w:tblCellMar>
            <w:left w:w="70" w:type="dxa"/>
            <w:right w:w="70" w:type="dxa"/>
          </w:tblCellMar>
          <w:tblLook w:val="04A0"/>
        </w:tblPrEx>
        <w:trPr>
          <w:trHeight w:val="255"/>
        </w:trPr>
        <w:tc>
          <w:tcPr>
            <w:tcW w:w="196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6C0389" w:rsidRPr="000F11A8" w:rsidP="000008FE">
            <w:pPr>
              <w:bidi w:val="0"/>
              <w:rPr>
                <w:rFonts w:ascii="Times New Roman" w:hAnsi="Times New Roman"/>
                <w:b/>
                <w:bCs/>
                <w:iCs/>
                <w:sz w:val="16"/>
                <w:szCs w:val="16"/>
              </w:rPr>
            </w:pPr>
            <w:r w:rsidRPr="000F11A8">
              <w:rPr>
                <w:rFonts w:ascii="Times New Roman" w:hAnsi="Times New Roman"/>
                <w:b/>
                <w:bCs/>
                <w:iCs/>
                <w:sz w:val="16"/>
                <w:szCs w:val="16"/>
              </w:rPr>
              <w:t>Celkový prebytok ÚDVA</w:t>
            </w:r>
          </w:p>
        </w:tc>
        <w:tc>
          <w:tcPr>
            <w:tcW w:w="446"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509</w:t>
            </w:r>
          </w:p>
        </w:tc>
        <w:tc>
          <w:tcPr>
            <w:tcW w:w="422"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621</w:t>
            </w:r>
          </w:p>
        </w:tc>
        <w:tc>
          <w:tcPr>
            <w:tcW w:w="446"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525</w:t>
            </w:r>
          </w:p>
        </w:tc>
        <w:tc>
          <w:tcPr>
            <w:tcW w:w="454"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632</w:t>
            </w:r>
          </w:p>
        </w:tc>
        <w:tc>
          <w:tcPr>
            <w:tcW w:w="422"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636</w:t>
            </w:r>
          </w:p>
        </w:tc>
        <w:tc>
          <w:tcPr>
            <w:tcW w:w="42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639</w:t>
            </w:r>
          </w:p>
        </w:tc>
        <w:tc>
          <w:tcPr>
            <w:tcW w:w="422"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643</w:t>
            </w: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noWrap/>
            <w:textDirection w:val="lrTb"/>
            <w:vAlign w:val="bottom"/>
            <w:hideMark/>
          </w:tcPr>
          <w:p w:rsidR="006C0389" w:rsidRPr="000F11A8" w:rsidP="000008FE">
            <w:pPr>
              <w:bidi w:val="0"/>
              <w:rPr>
                <w:rFonts w:ascii="Times New Roman" w:hAnsi="Times New Roman"/>
                <w:b/>
                <w:bCs/>
                <w:iCs/>
                <w:sz w:val="16"/>
                <w:szCs w:val="16"/>
              </w:rPr>
            </w:pPr>
            <w:r w:rsidRPr="000F11A8">
              <w:rPr>
                <w:rFonts w:ascii="Times New Roman" w:hAnsi="Times New Roman"/>
                <w:b/>
                <w:bCs/>
                <w:iCs/>
                <w:sz w:val="16"/>
                <w:szCs w:val="16"/>
              </w:rPr>
              <w:t>vylúčenie finančných operácií</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-410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-509</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-530</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-621</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-632</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-636</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-639</w:t>
            </w:r>
          </w:p>
        </w:tc>
      </w:tr>
      <w:tr>
        <w:tblPrEx>
          <w:tblW w:w="5017" w:type="pct"/>
          <w:tblCellMar>
            <w:left w:w="70" w:type="dxa"/>
            <w:right w:w="70" w:type="dxa"/>
          </w:tblCellMar>
          <w:tblLook w:val="04A0"/>
        </w:tblPrEx>
        <w:trPr>
          <w:trHeight w:val="255"/>
        </w:trPr>
        <w:tc>
          <w:tcPr>
            <w:tcW w:w="4578" w:type="pct"/>
            <w:gridSpan w:val="7"/>
            <w:tcBorders>
              <w:top w:val="single" w:sz="4" w:space="0" w:color="auto"/>
              <w:left w:val="single" w:sz="4" w:space="0" w:color="auto"/>
              <w:bottom w:val="single" w:sz="4" w:space="0" w:color="auto"/>
              <w:right w:val="nil"/>
            </w:tcBorders>
            <w:noWrap/>
            <w:textDirection w:val="lrTb"/>
            <w:vAlign w:val="bottom"/>
            <w:hideMark/>
          </w:tcPr>
          <w:p w:rsidR="006C0389" w:rsidRPr="000F11A8" w:rsidP="000008FE">
            <w:pPr>
              <w:bidi w:val="0"/>
              <w:rPr>
                <w:rFonts w:ascii="Times New Roman" w:hAnsi="Times New Roman"/>
                <w:bCs/>
                <w:iCs/>
                <w:sz w:val="16"/>
                <w:szCs w:val="16"/>
              </w:rPr>
            </w:pPr>
            <w:r w:rsidRPr="000F11A8">
              <w:rPr>
                <w:rFonts w:ascii="Times New Roman" w:hAnsi="Times New Roman"/>
                <w:b/>
                <w:bCs/>
                <w:iCs/>
                <w:sz w:val="16"/>
                <w:szCs w:val="16"/>
              </w:rPr>
              <w:t>z toho:</w:t>
            </w:r>
          </w:p>
        </w:tc>
        <w:tc>
          <w:tcPr>
            <w:tcW w:w="422" w:type="pct"/>
            <w:tcBorders>
              <w:top w:val="nil"/>
              <w:left w:val="nil"/>
              <w:bottom w:val="single" w:sz="4" w:space="0" w:color="auto"/>
              <w:right w:val="single" w:sz="4" w:space="0" w:color="auto"/>
            </w:tcBorders>
            <w:noWrap/>
            <w:textDirection w:val="lrTb"/>
            <w:vAlign w:val="center"/>
            <w:hideMark/>
          </w:tcPr>
          <w:p w:rsidR="006C0389" w:rsidRPr="000F11A8" w:rsidP="000008FE">
            <w:pPr>
              <w:bidi w:val="0"/>
              <w:rPr>
                <w:rFonts w:ascii="Times New Roman" w:hAnsi="Times New Roman"/>
                <w:sz w:val="16"/>
                <w:szCs w:val="16"/>
              </w:rPr>
            </w:pP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noWrap/>
            <w:textDirection w:val="lrTb"/>
            <w:vAlign w:val="bottom"/>
            <w:hideMark/>
          </w:tcPr>
          <w:p w:rsidR="006C0389" w:rsidRPr="000F11A8" w:rsidP="000008FE">
            <w:pPr>
              <w:bidi w:val="0"/>
              <w:rPr>
                <w:rFonts w:ascii="Times New Roman" w:hAnsi="Times New Roman"/>
                <w:sz w:val="16"/>
                <w:szCs w:val="16"/>
              </w:rPr>
            </w:pPr>
            <w:r w:rsidRPr="000F11A8">
              <w:rPr>
                <w:rFonts w:ascii="Times New Roman" w:hAnsi="Times New Roman"/>
                <w:sz w:val="16"/>
                <w:szCs w:val="16"/>
              </w:rPr>
              <w:t xml:space="preserve">    ▪   vylúčenie príjmových finančných operácií</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-410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-509</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-530</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-621</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-632</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-636</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-639</w:t>
            </w: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noWrap/>
            <w:textDirection w:val="lrTb"/>
            <w:vAlign w:val="bottom"/>
            <w:hideMark/>
          </w:tcPr>
          <w:p w:rsidR="006C0389" w:rsidRPr="000F11A8" w:rsidP="000008FE">
            <w:pPr>
              <w:bidi w:val="0"/>
              <w:rPr>
                <w:rFonts w:ascii="Times New Roman" w:hAnsi="Times New Roman"/>
                <w:sz w:val="16"/>
                <w:szCs w:val="16"/>
              </w:rPr>
            </w:pPr>
            <w:r w:rsidRPr="000F11A8">
              <w:rPr>
                <w:rFonts w:ascii="Times New Roman" w:hAnsi="Times New Roman"/>
                <w:sz w:val="16"/>
                <w:szCs w:val="16"/>
              </w:rPr>
              <w:t xml:space="preserve">    ▪   vylúčenie výdavkových finančných operácií</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sz w:val="16"/>
                <w:szCs w:val="16"/>
              </w:rPr>
            </w:pPr>
            <w:r w:rsidRPr="000F11A8">
              <w:rPr>
                <w:rFonts w:ascii="Times New Roman" w:hAnsi="Times New Roman"/>
                <w:sz w:val="16"/>
                <w:szCs w:val="16"/>
              </w:rPr>
              <w:t>0</w:t>
            </w:r>
          </w:p>
        </w:tc>
      </w:tr>
      <w:tr>
        <w:tblPrEx>
          <w:tblW w:w="5017" w:type="pct"/>
          <w:tblCellMar>
            <w:left w:w="70" w:type="dxa"/>
            <w:right w:w="70" w:type="dxa"/>
          </w:tblCellMar>
          <w:tblLook w:val="04A0"/>
        </w:tblPrEx>
        <w:trPr>
          <w:trHeight w:val="255"/>
        </w:trPr>
        <w:tc>
          <w:tcPr>
            <w:tcW w:w="1965" w:type="pct"/>
            <w:tcBorders>
              <w:top w:val="nil"/>
              <w:left w:val="single" w:sz="4" w:space="0" w:color="auto"/>
              <w:bottom w:val="single" w:sz="4" w:space="0" w:color="auto"/>
              <w:right w:val="single" w:sz="4" w:space="0" w:color="auto"/>
            </w:tcBorders>
            <w:noWrap/>
            <w:textDirection w:val="lrTb"/>
            <w:vAlign w:val="bottom"/>
            <w:hideMark/>
          </w:tcPr>
          <w:p w:rsidR="006C0389" w:rsidRPr="000F11A8" w:rsidP="000008FE">
            <w:pPr>
              <w:bidi w:val="0"/>
              <w:rPr>
                <w:rFonts w:ascii="Times New Roman" w:hAnsi="Times New Roman"/>
                <w:b/>
                <w:sz w:val="16"/>
                <w:szCs w:val="16"/>
              </w:rPr>
            </w:pPr>
            <w:r w:rsidRPr="000F11A8">
              <w:rPr>
                <w:rFonts w:ascii="Times New Roman" w:hAnsi="Times New Roman"/>
                <w:b/>
                <w:sz w:val="16"/>
                <w:szCs w:val="16"/>
              </w:rPr>
              <w:t>ostatné úpravy</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-22</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20</w:t>
            </w:r>
          </w:p>
        </w:tc>
        <w:tc>
          <w:tcPr>
            <w:tcW w:w="446"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0</w:t>
            </w:r>
          </w:p>
        </w:tc>
        <w:tc>
          <w:tcPr>
            <w:tcW w:w="454"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40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0</w:t>
            </w:r>
          </w:p>
        </w:tc>
        <w:tc>
          <w:tcPr>
            <w:tcW w:w="423"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0</w:t>
            </w:r>
          </w:p>
        </w:tc>
        <w:tc>
          <w:tcPr>
            <w:tcW w:w="422" w:type="pct"/>
            <w:tcBorders>
              <w:top w:val="nil"/>
              <w:left w:val="nil"/>
              <w:bottom w:val="single" w:sz="4" w:space="0" w:color="auto"/>
              <w:right w:val="single" w:sz="4" w:space="0" w:color="auto"/>
            </w:tcBorders>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0</w:t>
            </w:r>
          </w:p>
        </w:tc>
      </w:tr>
      <w:tr>
        <w:tblPrEx>
          <w:tblW w:w="5017" w:type="pct"/>
          <w:tblCellMar>
            <w:left w:w="70" w:type="dxa"/>
            <w:right w:w="70" w:type="dxa"/>
          </w:tblCellMar>
          <w:tblLook w:val="04A0"/>
        </w:tblPrEx>
        <w:trPr>
          <w:trHeight w:val="255"/>
        </w:trPr>
        <w:tc>
          <w:tcPr>
            <w:tcW w:w="1965"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bottom"/>
            <w:hideMark/>
          </w:tcPr>
          <w:p w:rsidR="006C0389" w:rsidRPr="000F11A8" w:rsidP="000008FE">
            <w:pPr>
              <w:bidi w:val="0"/>
              <w:rPr>
                <w:rFonts w:ascii="Times New Roman" w:hAnsi="Times New Roman"/>
                <w:b/>
                <w:bCs/>
                <w:iCs/>
                <w:sz w:val="16"/>
                <w:szCs w:val="16"/>
              </w:rPr>
            </w:pPr>
            <w:r w:rsidRPr="000F11A8">
              <w:rPr>
                <w:rFonts w:ascii="Times New Roman" w:hAnsi="Times New Roman"/>
                <w:b/>
                <w:bCs/>
                <w:iCs/>
                <w:sz w:val="16"/>
                <w:szCs w:val="16"/>
              </w:rPr>
              <w:t>Prebytok</w:t>
            </w:r>
            <w:r w:rsidRPr="003679CA" w:rsidR="00A74905">
              <w:rPr>
                <w:rFonts w:ascii="Times New Roman" w:hAnsi="Times New Roman"/>
                <w:b/>
                <w:bCs/>
                <w:iCs/>
                <w:sz w:val="16"/>
                <w:szCs w:val="16"/>
              </w:rPr>
              <w:t>(+)/schodok(-)</w:t>
            </w:r>
            <w:r w:rsidRPr="00A74905" w:rsidR="00A74905">
              <w:rPr>
                <w:rFonts w:ascii="Times New Roman" w:hAnsi="Times New Roman"/>
                <w:b/>
                <w:bCs/>
                <w:iCs/>
                <w:color w:val="FF0000"/>
                <w:sz w:val="16"/>
                <w:szCs w:val="16"/>
              </w:rPr>
              <w:t xml:space="preserve"> </w:t>
            </w:r>
            <w:r w:rsidRPr="000F11A8">
              <w:rPr>
                <w:rFonts w:ascii="Times New Roman" w:hAnsi="Times New Roman"/>
                <w:b/>
                <w:bCs/>
                <w:iCs/>
                <w:sz w:val="16"/>
                <w:szCs w:val="16"/>
              </w:rPr>
              <w:t xml:space="preserve"> ÚDVA (ESA 2010)</w:t>
            </w:r>
          </w:p>
        </w:tc>
        <w:tc>
          <w:tcPr>
            <w:tcW w:w="446"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77</w:t>
            </w:r>
          </w:p>
        </w:tc>
        <w:tc>
          <w:tcPr>
            <w:tcW w:w="422"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132</w:t>
            </w:r>
          </w:p>
        </w:tc>
        <w:tc>
          <w:tcPr>
            <w:tcW w:w="446"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-5</w:t>
            </w:r>
          </w:p>
        </w:tc>
        <w:tc>
          <w:tcPr>
            <w:tcW w:w="454"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51</w:t>
            </w:r>
          </w:p>
        </w:tc>
        <w:tc>
          <w:tcPr>
            <w:tcW w:w="422"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4</w:t>
            </w:r>
          </w:p>
        </w:tc>
        <w:tc>
          <w:tcPr>
            <w:tcW w:w="423"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4</w:t>
            </w:r>
          </w:p>
        </w:tc>
        <w:tc>
          <w:tcPr>
            <w:tcW w:w="422" w:type="pct"/>
            <w:tcBorders>
              <w:top w:val="single" w:sz="4" w:space="0" w:color="auto"/>
              <w:left w:val="nil"/>
              <w:bottom w:val="single" w:sz="4" w:space="0" w:color="auto"/>
              <w:right w:val="single" w:sz="4" w:space="0" w:color="auto"/>
            </w:tcBorders>
            <w:shd w:val="clear" w:color="auto" w:fill="BFBFBF"/>
            <w:noWrap/>
            <w:textDirection w:val="lrTb"/>
            <w:vAlign w:val="bottom"/>
            <w:hideMark/>
          </w:tcPr>
          <w:p w:rsidR="006C0389" w:rsidRPr="000F11A8" w:rsidP="000008FE">
            <w:pPr>
              <w:bidi w:val="0"/>
              <w:jc w:val="right"/>
              <w:rPr>
                <w:rFonts w:ascii="Times New Roman" w:hAnsi="Times New Roman"/>
                <w:b/>
                <w:bCs/>
                <w:sz w:val="16"/>
                <w:szCs w:val="16"/>
              </w:rPr>
            </w:pPr>
            <w:r w:rsidRPr="000F11A8">
              <w:rPr>
                <w:rFonts w:ascii="Times New Roman" w:hAnsi="Times New Roman"/>
                <w:b/>
                <w:bCs/>
                <w:sz w:val="16"/>
                <w:szCs w:val="16"/>
              </w:rPr>
              <w:t>4</w:t>
            </w:r>
          </w:p>
        </w:tc>
      </w:tr>
    </w:tbl>
    <w:p w:rsidR="006C0389" w:rsidRPr="00626E9E" w:rsidP="006C0389">
      <w:pPr>
        <w:bidi w:val="0"/>
        <w:ind w:firstLine="708"/>
        <w:jc w:val="both"/>
        <w:rPr>
          <w:rFonts w:ascii="Times New Roman" w:hAnsi="Times New Roman"/>
          <w:b/>
          <w:bCs/>
          <w:sz w:val="16"/>
          <w:szCs w:val="16"/>
        </w:rPr>
      </w:pPr>
    </w:p>
    <w:p w:rsidR="00D14404" w:rsidP="00D14404">
      <w:pPr>
        <w:bidi w:val="0"/>
        <w:ind w:firstLine="708"/>
        <w:jc w:val="both"/>
        <w:rPr>
          <w:rFonts w:ascii="Times New Roman" w:hAnsi="Times New Roman"/>
        </w:rPr>
      </w:pPr>
      <w:r>
        <w:rPr>
          <w:rFonts w:ascii="Times New Roman" w:hAnsi="Times New Roman"/>
        </w:rPr>
        <w:t xml:space="preserve">Úrad pre dohľad nad výkonom auditu (ďalej len „úrad“) je zriadený zákonom </w:t>
        <w:br/>
        <w:t>č. 540/2007 Z. z. o audítoroch, audite a dohľade nad výkonom auditu a o zmene a doplnení zákona č. 431/2002 Z. z. o účtovníctve v znení neskorších predpisov.</w:t>
      </w:r>
    </w:p>
    <w:p w:rsidR="00D14404" w:rsidRPr="00626E9E" w:rsidP="00D14404">
      <w:pPr>
        <w:bidi w:val="0"/>
        <w:ind w:firstLine="708"/>
        <w:jc w:val="both"/>
        <w:rPr>
          <w:rFonts w:ascii="Times New Roman" w:hAnsi="Times New Roman"/>
          <w:sz w:val="16"/>
          <w:szCs w:val="16"/>
        </w:rPr>
      </w:pPr>
    </w:p>
    <w:p w:rsidR="00D14404" w:rsidP="00D14404">
      <w:pPr>
        <w:bidi w:val="0"/>
        <w:ind w:firstLine="708"/>
        <w:jc w:val="both"/>
        <w:rPr>
          <w:rFonts w:ascii="Times New Roman" w:hAnsi="Times New Roman"/>
        </w:rPr>
      </w:pPr>
      <w:r>
        <w:rPr>
          <w:rFonts w:ascii="Times New Roman" w:hAnsi="Times New Roman"/>
        </w:rPr>
        <w:t xml:space="preserve">Hlavnými cieľmi a činnosťami úradu je vytvoriť efektívny systém verejného dohľadu nad výkonom auditu, pričom dohliadanými subjektmi sú Slovenská komora audítorov, audítori a audítorské spoločnosti, vykonávať tento dohľad nestranne a nezávisle od štátnych orgánov, orgánov územnej samosprávy, iných orgánov verejnej moci a od ďalších právnických alebo fyzických osôb. </w:t>
      </w:r>
    </w:p>
    <w:p w:rsidR="00D14404" w:rsidRPr="00626E9E" w:rsidP="00D14404">
      <w:pPr>
        <w:bidi w:val="0"/>
        <w:ind w:firstLine="708"/>
        <w:jc w:val="both"/>
        <w:rPr>
          <w:rFonts w:ascii="Times New Roman" w:hAnsi="Times New Roman"/>
          <w:sz w:val="16"/>
          <w:szCs w:val="16"/>
          <w:highlight w:val="yellow"/>
        </w:rPr>
      </w:pPr>
    </w:p>
    <w:p w:rsidR="00D14404" w:rsidP="00D14404">
      <w:pPr>
        <w:bidi w:val="0"/>
        <w:ind w:firstLine="708"/>
        <w:jc w:val="both"/>
        <w:rPr>
          <w:rFonts w:ascii="Times New Roman" w:hAnsi="Times New Roman"/>
        </w:rPr>
      </w:pPr>
      <w:r>
        <w:rPr>
          <w:rFonts w:ascii="Times New Roman" w:hAnsi="Times New Roman"/>
        </w:rPr>
        <w:t>Príjmy úradu na rok 2016 sú rozpočtované vo výške 1,42 mil. eur a ich súčasťou je príspevok zo štátneho rozpočtu prostredníctvom kapitoly Ministerstva financií Slovenskej republiky vo výške 268 tis. eur. Ďalšími príjmami sú ročné príspevky subjektov verejného záujmu rozpočtované v roku 2016 vo výške 465 tis. eur a ostatné (napr. poplatky za skúšky a preskúšanie, poplatky za úkony na úrade) v celkovej výške 55 tis. eur. Súčasťou príjmov úradu sú aj prostriedky z predchádzajúcich rokov vo výške 632 tis. eur, ktoré budú použité hlavne na výkon dohľadov. Príjmy úradu v roku 2016 v porovnaní so schváleným rozpočtom roka 2015 rastú o 8,45 %, najmä z dôvodu rastu prostriedkov z predchádzajúcich rokov.</w:t>
      </w:r>
    </w:p>
    <w:p w:rsidR="00D14404" w:rsidRPr="00626E9E" w:rsidP="00D14404">
      <w:pPr>
        <w:bidi w:val="0"/>
        <w:ind w:firstLine="708"/>
        <w:jc w:val="both"/>
        <w:rPr>
          <w:rFonts w:ascii="Times New Roman" w:hAnsi="Times New Roman"/>
          <w:sz w:val="16"/>
          <w:szCs w:val="16"/>
        </w:rPr>
      </w:pPr>
    </w:p>
    <w:p w:rsidR="00D14404" w:rsidP="00D14404">
      <w:pPr>
        <w:bidi w:val="0"/>
        <w:ind w:firstLine="709"/>
        <w:jc w:val="both"/>
        <w:rPr>
          <w:rFonts w:ascii="Times New Roman" w:hAnsi="Times New Roman"/>
        </w:rPr>
      </w:pPr>
      <w:r>
        <w:rPr>
          <w:rFonts w:ascii="Times New Roman" w:hAnsi="Times New Roman"/>
        </w:rPr>
        <w:t>Výdavky úradu v roku 2016 sú rozpočtované vo výške 785 tis. eur, medziročne sa nemenia. Výdavky sú určené na mzdy, odmeny externým spolupracovníkom zabezpečujúcich základné úlohy úradu (hlavne dohľady) a s tým súvisiace odvody, nájomné, náklady na preklady, náklady na audítorské skúšky, cestovné, kancelárske potreby a iné.</w:t>
      </w:r>
    </w:p>
    <w:p w:rsidR="00D14404" w:rsidRPr="00626E9E" w:rsidP="00D14404">
      <w:pPr>
        <w:bidi w:val="0"/>
        <w:rPr>
          <w:rFonts w:ascii="Times New Roman" w:hAnsi="Times New Roman"/>
          <w:sz w:val="16"/>
          <w:szCs w:val="16"/>
        </w:rPr>
      </w:pPr>
    </w:p>
    <w:p w:rsidR="00D14404" w:rsidRPr="00572158" w:rsidP="00D14404">
      <w:pPr>
        <w:bidi w:val="0"/>
        <w:ind w:firstLine="708"/>
        <w:jc w:val="both"/>
        <w:rPr>
          <w:rFonts w:ascii="Times New Roman" w:hAnsi="Times New Roman"/>
          <w:color w:val="FF0000"/>
        </w:rPr>
      </w:pPr>
      <w:r w:rsidRPr="00330609">
        <w:rPr>
          <w:rFonts w:ascii="Times New Roman" w:hAnsi="Times New Roman"/>
        </w:rPr>
        <w:t xml:space="preserve">Celkový hotovostný prebytok </w:t>
      </w:r>
      <w:r>
        <w:rPr>
          <w:rFonts w:ascii="Times New Roman" w:hAnsi="Times New Roman"/>
        </w:rPr>
        <w:t>úradu sa rozpočtuje v roku 2016</w:t>
      </w:r>
      <w:r w:rsidRPr="00330609">
        <w:rPr>
          <w:rFonts w:ascii="Times New Roman" w:hAnsi="Times New Roman"/>
        </w:rPr>
        <w:t xml:space="preserve"> v sume </w:t>
      </w:r>
      <w:r>
        <w:rPr>
          <w:rFonts w:ascii="Times New Roman" w:hAnsi="Times New Roman"/>
        </w:rPr>
        <w:t>636 tis</w:t>
      </w:r>
      <w:r w:rsidRPr="00330609">
        <w:rPr>
          <w:rFonts w:ascii="Times New Roman" w:hAnsi="Times New Roman"/>
        </w:rPr>
        <w:t>. eur</w:t>
      </w:r>
      <w:r>
        <w:rPr>
          <w:rFonts w:ascii="Times New Roman" w:hAnsi="Times New Roman"/>
        </w:rPr>
        <w:t>, čo je v porovnaní so schváleným rozpočtom na rok 2015</w:t>
      </w:r>
      <w:r w:rsidRPr="00330609">
        <w:rPr>
          <w:rFonts w:ascii="Times New Roman" w:hAnsi="Times New Roman"/>
        </w:rPr>
        <w:t xml:space="preserve"> rast</w:t>
      </w:r>
      <w:r>
        <w:rPr>
          <w:rFonts w:ascii="Times New Roman" w:hAnsi="Times New Roman"/>
        </w:rPr>
        <w:t xml:space="preserve"> o 111 tis. eur, t. j. rast o 21,1 %. </w:t>
        <w:br/>
        <w:t>V roku 2016 sa predpokladá, že ú</w:t>
      </w:r>
      <w:r w:rsidRPr="00330609">
        <w:rPr>
          <w:rFonts w:ascii="Times New Roman" w:hAnsi="Times New Roman"/>
        </w:rPr>
        <w:t>ra</w:t>
      </w:r>
      <w:r>
        <w:rPr>
          <w:rFonts w:ascii="Times New Roman" w:hAnsi="Times New Roman"/>
        </w:rPr>
        <w:t>d dosiahne podľa metodiky ESA 2010</w:t>
      </w:r>
      <w:r w:rsidRPr="00330609">
        <w:rPr>
          <w:rFonts w:ascii="Times New Roman" w:hAnsi="Times New Roman"/>
        </w:rPr>
        <w:t xml:space="preserve"> </w:t>
      </w:r>
      <w:r>
        <w:rPr>
          <w:rFonts w:ascii="Times New Roman" w:hAnsi="Times New Roman"/>
        </w:rPr>
        <w:t>prebytok</w:t>
      </w:r>
      <w:r w:rsidRPr="00330609">
        <w:rPr>
          <w:rFonts w:ascii="Times New Roman" w:hAnsi="Times New Roman"/>
        </w:rPr>
        <w:t xml:space="preserve"> vo výške </w:t>
      </w:r>
      <w:r>
        <w:rPr>
          <w:rFonts w:ascii="Times New Roman" w:hAnsi="Times New Roman"/>
        </w:rPr>
        <w:br/>
        <w:t>4,00</w:t>
      </w:r>
      <w:r w:rsidRPr="00330609">
        <w:rPr>
          <w:rFonts w:ascii="Times New Roman" w:hAnsi="Times New Roman"/>
        </w:rPr>
        <w:t xml:space="preserve"> tis</w:t>
      </w:r>
      <w:r>
        <w:rPr>
          <w:rFonts w:ascii="Times New Roman" w:hAnsi="Times New Roman"/>
        </w:rPr>
        <w:t>. eur.</w:t>
      </w:r>
    </w:p>
    <w:p w:rsidR="006C0389" w:rsidP="006C0389">
      <w:pPr>
        <w:bidi w:val="0"/>
        <w:jc w:val="both"/>
        <w:rPr>
          <w:rFonts w:ascii="Times New Roman" w:hAnsi="Times New Roman"/>
        </w:rPr>
      </w:pPr>
    </w:p>
    <w:p w:rsidR="006C0389" w:rsidRPr="000E26DD" w:rsidP="006C0389">
      <w:pPr>
        <w:bidi w:val="0"/>
        <w:rPr>
          <w:rFonts w:ascii="Times New Roman" w:hAnsi="Times New Roman"/>
        </w:rPr>
      </w:pPr>
      <w:r w:rsidRPr="000E26DD">
        <w:rPr>
          <w:rFonts w:ascii="Times New Roman" w:hAnsi="Times New Roman"/>
          <w:b/>
          <w:bCs/>
        </w:rPr>
        <w:t xml:space="preserve">14. Audiovizuálny fond </w:t>
      </w:r>
    </w:p>
    <w:p w:rsidR="006C0389" w:rsidRPr="000E26DD" w:rsidP="006C0389">
      <w:pPr>
        <w:bidi w:val="0"/>
        <w:rPr>
          <w:rFonts w:ascii="Times New Roman" w:hAnsi="Times New Roman"/>
          <w:b/>
          <w:bCs/>
          <w:sz w:val="16"/>
          <w:szCs w:val="16"/>
          <w:shd w:val="clear" w:color="auto" w:fill="FFFF00"/>
        </w:rPr>
      </w:pPr>
    </w:p>
    <w:p w:rsidR="006C0389" w:rsidRPr="000E26DD" w:rsidP="006C0389">
      <w:pPr>
        <w:bidi w:val="0"/>
        <w:ind w:firstLine="708"/>
        <w:jc w:val="both"/>
        <w:rPr>
          <w:rFonts w:ascii="Times New Roman" w:hAnsi="Times New Roman"/>
        </w:rPr>
      </w:pPr>
      <w:r w:rsidRPr="000E26DD">
        <w:rPr>
          <w:rFonts w:ascii="Times New Roman" w:hAnsi="Times New Roman"/>
        </w:rPr>
        <w:t xml:space="preserve">Audiovizuálny fond (ďalej len „fond“) je verejnoprávna inštitúcia na podporu a rozvoj audiovizuálnej kultúry a priemyslu. Fond bol zriadený zákonom č. 516/2008 Z. z. </w:t>
        <w:br/>
        <w:t>o Audiovizuálnom fonde a o zmene a doplnení niektorých zákonov dňa 1. januára 2009.</w:t>
      </w:r>
    </w:p>
    <w:p w:rsidR="006C0389" w:rsidRPr="000E26DD" w:rsidP="006C0389">
      <w:pPr>
        <w:bidi w:val="0"/>
        <w:jc w:val="both"/>
        <w:rPr>
          <w:rFonts w:ascii="Times New Roman" w:hAnsi="Times New Roman"/>
          <w:sz w:val="16"/>
          <w:szCs w:val="16"/>
        </w:rPr>
      </w:pPr>
    </w:p>
    <w:p w:rsidR="006C0389" w:rsidP="006C0389">
      <w:pPr>
        <w:autoSpaceDE w:val="0"/>
        <w:autoSpaceDN w:val="0"/>
        <w:bidi w:val="0"/>
        <w:adjustRightInd w:val="0"/>
        <w:ind w:firstLine="708"/>
        <w:jc w:val="both"/>
        <w:rPr>
          <w:rFonts w:ascii="Times New Roman" w:hAnsi="Times New Roman"/>
          <w:color w:val="000000"/>
        </w:rPr>
      </w:pPr>
      <w:r w:rsidRPr="000E26DD">
        <w:rPr>
          <w:rFonts w:ascii="Times New Roman" w:hAnsi="Times New Roman"/>
          <w:color w:val="000000"/>
        </w:rPr>
        <w:t>Vývoj príjmovej a výdavkovej časti rozpočtu fondu na roky 2016 až 2018</w:t>
      </w:r>
      <w:r>
        <w:rPr>
          <w:rFonts w:ascii="Times New Roman" w:hAnsi="Times New Roman"/>
          <w:color w:val="000000"/>
        </w:rPr>
        <w:t xml:space="preserve"> je nasledovný:</w:t>
      </w:r>
    </w:p>
    <w:p w:rsidR="00B103BF" w:rsidP="006C0389">
      <w:pPr>
        <w:autoSpaceDE w:val="0"/>
        <w:autoSpaceDN w:val="0"/>
        <w:bidi w:val="0"/>
        <w:adjustRightInd w:val="0"/>
        <w:ind w:firstLine="708"/>
        <w:jc w:val="both"/>
        <w:rPr>
          <w:rFonts w:ascii="Times New Roman" w:hAnsi="Times New Roman"/>
          <w:color w:val="000000"/>
        </w:rPr>
      </w:pPr>
    </w:p>
    <w:p w:rsidR="00B103BF" w:rsidP="006C0389">
      <w:pPr>
        <w:autoSpaceDE w:val="0"/>
        <w:autoSpaceDN w:val="0"/>
        <w:bidi w:val="0"/>
        <w:adjustRightInd w:val="0"/>
        <w:ind w:firstLine="708"/>
        <w:jc w:val="both"/>
        <w:rPr>
          <w:rFonts w:ascii="Times New Roman" w:hAnsi="Times New Roman"/>
          <w:color w:val="000000"/>
        </w:rPr>
      </w:pPr>
    </w:p>
    <w:p w:rsidR="00B103BF" w:rsidP="006C0389">
      <w:pPr>
        <w:autoSpaceDE w:val="0"/>
        <w:autoSpaceDN w:val="0"/>
        <w:bidi w:val="0"/>
        <w:adjustRightInd w:val="0"/>
        <w:ind w:firstLine="708"/>
        <w:jc w:val="both"/>
        <w:rPr>
          <w:rFonts w:ascii="Times New Roman" w:hAnsi="Times New Roman"/>
          <w:color w:val="000000"/>
        </w:rPr>
      </w:pPr>
    </w:p>
    <w:p w:rsidR="00B103BF" w:rsidP="006C0389">
      <w:pPr>
        <w:autoSpaceDE w:val="0"/>
        <w:autoSpaceDN w:val="0"/>
        <w:bidi w:val="0"/>
        <w:adjustRightInd w:val="0"/>
        <w:ind w:firstLine="708"/>
        <w:jc w:val="both"/>
        <w:rPr>
          <w:rFonts w:ascii="Times New Roman" w:hAnsi="Times New Roman"/>
          <w:color w:val="000000"/>
        </w:rPr>
      </w:pPr>
    </w:p>
    <w:p w:rsidR="00B103BF" w:rsidP="006C0389">
      <w:pPr>
        <w:autoSpaceDE w:val="0"/>
        <w:autoSpaceDN w:val="0"/>
        <w:bidi w:val="0"/>
        <w:adjustRightInd w:val="0"/>
        <w:ind w:firstLine="708"/>
        <w:jc w:val="both"/>
        <w:rPr>
          <w:rFonts w:ascii="Times New Roman" w:hAnsi="Times New Roman"/>
          <w:color w:val="000000"/>
        </w:rPr>
      </w:pPr>
    </w:p>
    <w:p w:rsidR="00B103BF" w:rsidP="006C0389">
      <w:pPr>
        <w:autoSpaceDE w:val="0"/>
        <w:autoSpaceDN w:val="0"/>
        <w:bidi w:val="0"/>
        <w:adjustRightInd w:val="0"/>
        <w:ind w:firstLine="708"/>
        <w:jc w:val="both"/>
        <w:rPr>
          <w:rFonts w:ascii="Times New Roman" w:hAnsi="Times New Roman"/>
          <w:color w:val="000000"/>
        </w:rPr>
      </w:pPr>
    </w:p>
    <w:p w:rsidR="00B103BF" w:rsidP="006C0389">
      <w:pPr>
        <w:autoSpaceDE w:val="0"/>
        <w:autoSpaceDN w:val="0"/>
        <w:bidi w:val="0"/>
        <w:adjustRightInd w:val="0"/>
        <w:ind w:firstLine="708"/>
        <w:jc w:val="both"/>
        <w:rPr>
          <w:rFonts w:ascii="Times New Roman" w:hAnsi="Times New Roman"/>
          <w:color w:val="000000"/>
        </w:rPr>
      </w:pPr>
    </w:p>
    <w:p w:rsidR="00B103BF" w:rsidP="006C0389">
      <w:pPr>
        <w:autoSpaceDE w:val="0"/>
        <w:autoSpaceDN w:val="0"/>
        <w:bidi w:val="0"/>
        <w:adjustRightInd w:val="0"/>
        <w:ind w:firstLine="708"/>
        <w:jc w:val="both"/>
        <w:rPr>
          <w:rFonts w:ascii="Times New Roman" w:hAnsi="Times New Roman"/>
          <w:color w:val="000000"/>
        </w:rPr>
      </w:pPr>
    </w:p>
    <w:p w:rsidR="00B103BF" w:rsidP="006C0389">
      <w:pPr>
        <w:autoSpaceDE w:val="0"/>
        <w:autoSpaceDN w:val="0"/>
        <w:bidi w:val="0"/>
        <w:adjustRightInd w:val="0"/>
        <w:ind w:firstLine="708"/>
        <w:jc w:val="both"/>
        <w:rPr>
          <w:rFonts w:ascii="Times New Roman" w:hAnsi="Times New Roman"/>
          <w:color w:val="000000"/>
        </w:rPr>
      </w:pPr>
    </w:p>
    <w:p w:rsidR="00B103BF" w:rsidP="006C0389">
      <w:pPr>
        <w:autoSpaceDE w:val="0"/>
        <w:autoSpaceDN w:val="0"/>
        <w:bidi w:val="0"/>
        <w:adjustRightInd w:val="0"/>
        <w:ind w:firstLine="708"/>
        <w:jc w:val="both"/>
        <w:rPr>
          <w:rFonts w:ascii="Times New Roman" w:hAnsi="Times New Roman"/>
          <w:color w:val="000000"/>
        </w:rPr>
      </w:pPr>
    </w:p>
    <w:p w:rsidR="00B103BF" w:rsidP="006C0389">
      <w:pPr>
        <w:autoSpaceDE w:val="0"/>
        <w:autoSpaceDN w:val="0"/>
        <w:bidi w:val="0"/>
        <w:adjustRightInd w:val="0"/>
        <w:ind w:firstLine="708"/>
        <w:jc w:val="both"/>
        <w:rPr>
          <w:rFonts w:ascii="Times New Roman" w:hAnsi="Times New Roman"/>
          <w:color w:val="000000"/>
        </w:rPr>
      </w:pPr>
    </w:p>
    <w:p w:rsidR="00B103BF" w:rsidP="006C0389">
      <w:pPr>
        <w:autoSpaceDE w:val="0"/>
        <w:autoSpaceDN w:val="0"/>
        <w:bidi w:val="0"/>
        <w:adjustRightInd w:val="0"/>
        <w:ind w:firstLine="708"/>
        <w:jc w:val="both"/>
        <w:rPr>
          <w:rFonts w:ascii="Times New Roman" w:hAnsi="Times New Roman"/>
          <w:color w:val="000000"/>
        </w:rPr>
      </w:pPr>
    </w:p>
    <w:p w:rsidR="00B103BF" w:rsidP="006C0389">
      <w:pPr>
        <w:autoSpaceDE w:val="0"/>
        <w:autoSpaceDN w:val="0"/>
        <w:bidi w:val="0"/>
        <w:adjustRightInd w:val="0"/>
        <w:ind w:firstLine="708"/>
        <w:jc w:val="both"/>
        <w:rPr>
          <w:rFonts w:ascii="Times New Roman" w:hAnsi="Times New Roman"/>
          <w:color w:val="000000"/>
        </w:rPr>
      </w:pPr>
    </w:p>
    <w:p w:rsidR="00B103BF" w:rsidP="006C0389">
      <w:pPr>
        <w:autoSpaceDE w:val="0"/>
        <w:autoSpaceDN w:val="0"/>
        <w:bidi w:val="0"/>
        <w:adjustRightInd w:val="0"/>
        <w:ind w:firstLine="708"/>
        <w:jc w:val="both"/>
        <w:rPr>
          <w:rFonts w:ascii="Times New Roman" w:hAnsi="Times New Roman"/>
          <w:color w:val="000000"/>
        </w:rPr>
      </w:pPr>
    </w:p>
    <w:p w:rsidR="00B103BF" w:rsidP="006C0389">
      <w:pPr>
        <w:autoSpaceDE w:val="0"/>
        <w:autoSpaceDN w:val="0"/>
        <w:bidi w:val="0"/>
        <w:adjustRightInd w:val="0"/>
        <w:ind w:firstLine="708"/>
        <w:jc w:val="both"/>
        <w:rPr>
          <w:rFonts w:ascii="Times New Roman" w:hAnsi="Times New Roman"/>
          <w:color w:val="000000"/>
        </w:rPr>
      </w:pPr>
    </w:p>
    <w:p w:rsidR="00B103BF" w:rsidP="006C0389">
      <w:pPr>
        <w:autoSpaceDE w:val="0"/>
        <w:autoSpaceDN w:val="0"/>
        <w:bidi w:val="0"/>
        <w:adjustRightInd w:val="0"/>
        <w:ind w:firstLine="708"/>
        <w:jc w:val="both"/>
        <w:rPr>
          <w:rFonts w:ascii="Times New Roman" w:hAnsi="Times New Roman"/>
          <w:color w:val="000000"/>
        </w:rPr>
      </w:pPr>
    </w:p>
    <w:p w:rsidR="00B103BF" w:rsidP="006C0389">
      <w:pPr>
        <w:autoSpaceDE w:val="0"/>
        <w:autoSpaceDN w:val="0"/>
        <w:bidi w:val="0"/>
        <w:adjustRightInd w:val="0"/>
        <w:ind w:firstLine="708"/>
        <w:jc w:val="both"/>
        <w:rPr>
          <w:rFonts w:ascii="Times New Roman" w:hAnsi="Times New Roman"/>
          <w:color w:val="000000"/>
        </w:rPr>
      </w:pPr>
    </w:p>
    <w:p w:rsidR="00B103BF" w:rsidP="006C0389">
      <w:pPr>
        <w:autoSpaceDE w:val="0"/>
        <w:autoSpaceDN w:val="0"/>
        <w:bidi w:val="0"/>
        <w:adjustRightInd w:val="0"/>
        <w:ind w:firstLine="708"/>
        <w:jc w:val="both"/>
        <w:rPr>
          <w:rFonts w:ascii="Times New Roman" w:hAnsi="Times New Roman"/>
          <w:color w:val="000000"/>
        </w:rPr>
      </w:pPr>
    </w:p>
    <w:p w:rsidR="00B103BF" w:rsidP="006C0389">
      <w:pPr>
        <w:autoSpaceDE w:val="0"/>
        <w:autoSpaceDN w:val="0"/>
        <w:bidi w:val="0"/>
        <w:adjustRightInd w:val="0"/>
        <w:ind w:firstLine="708"/>
        <w:jc w:val="both"/>
        <w:rPr>
          <w:rFonts w:ascii="Times New Roman" w:hAnsi="Times New Roman"/>
          <w:color w:val="000000"/>
        </w:rPr>
      </w:pPr>
    </w:p>
    <w:p w:rsidR="006C0389" w:rsidRPr="006B53D9" w:rsidP="006C0389">
      <w:pPr>
        <w:autoSpaceDE w:val="0"/>
        <w:autoSpaceDN w:val="0"/>
        <w:bidi w:val="0"/>
        <w:adjustRightInd w:val="0"/>
        <w:ind w:firstLine="708"/>
        <w:jc w:val="both"/>
        <w:rPr>
          <w:rFonts w:ascii="Times New Roman" w:hAnsi="Times New Roman"/>
          <w:color w:val="000000"/>
          <w:sz w:val="16"/>
          <w:szCs w:val="16"/>
        </w:rPr>
      </w:pPr>
    </w:p>
    <w:tbl>
      <w:tblPr>
        <w:tblStyle w:val="TableNormal"/>
        <w:tblW w:w="5000" w:type="pct"/>
        <w:tblCellMar>
          <w:left w:w="70" w:type="dxa"/>
          <w:right w:w="70" w:type="dxa"/>
        </w:tblCellMar>
        <w:tblLook w:val="04A0"/>
      </w:tblPr>
      <w:tblGrid>
        <w:gridCol w:w="4627"/>
        <w:gridCol w:w="628"/>
        <w:gridCol w:w="659"/>
        <w:gridCol w:w="693"/>
        <w:gridCol w:w="715"/>
        <w:gridCol w:w="630"/>
        <w:gridCol w:w="630"/>
        <w:gridCol w:w="628"/>
      </w:tblGrid>
      <w:tr>
        <w:tblPrEx>
          <w:tblW w:w="5000" w:type="pct"/>
          <w:tblCellMar>
            <w:left w:w="70" w:type="dxa"/>
            <w:right w:w="70" w:type="dxa"/>
          </w:tblCellMar>
          <w:tblLook w:val="04A0"/>
        </w:tblPrEx>
        <w:trPr>
          <w:trHeight w:val="210"/>
        </w:trPr>
        <w:tc>
          <w:tcPr>
            <w:tcW w:w="2512" w:type="pct"/>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6C0389" w:rsidRPr="000E26DD" w:rsidP="000008FE">
            <w:pPr>
              <w:bidi w:val="0"/>
              <w:rPr>
                <w:rFonts w:ascii="Times New Roman" w:hAnsi="Times New Roman"/>
                <w:b/>
                <w:bCs/>
                <w:sz w:val="16"/>
                <w:szCs w:val="16"/>
              </w:rPr>
            </w:pPr>
            <w:r w:rsidRPr="000E26DD">
              <w:rPr>
                <w:rFonts w:ascii="Times New Roman" w:hAnsi="Times New Roman"/>
                <w:b/>
                <w:bCs/>
                <w:sz w:val="16"/>
                <w:szCs w:val="16"/>
              </w:rPr>
              <w:t xml:space="preserve">v tis. eur </w:t>
            </w:r>
          </w:p>
        </w:tc>
        <w:tc>
          <w:tcPr>
            <w:tcW w:w="34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0389" w:rsidRPr="000E26DD" w:rsidP="000008FE">
            <w:pPr>
              <w:bidi w:val="0"/>
              <w:jc w:val="center"/>
              <w:rPr>
                <w:rFonts w:ascii="Times New Roman" w:hAnsi="Times New Roman"/>
                <w:b/>
                <w:bCs/>
                <w:sz w:val="16"/>
                <w:szCs w:val="16"/>
              </w:rPr>
            </w:pPr>
            <w:r w:rsidRPr="000E26DD">
              <w:rPr>
                <w:rFonts w:ascii="Times New Roman" w:hAnsi="Times New Roman"/>
                <w:b/>
                <w:bCs/>
                <w:sz w:val="16"/>
                <w:szCs w:val="16"/>
              </w:rPr>
              <w:t>2013 S</w:t>
            </w:r>
          </w:p>
        </w:tc>
        <w:tc>
          <w:tcPr>
            <w:tcW w:w="35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0389" w:rsidRPr="000E26DD" w:rsidP="000008FE">
            <w:pPr>
              <w:bidi w:val="0"/>
              <w:jc w:val="center"/>
              <w:rPr>
                <w:rFonts w:ascii="Times New Roman" w:hAnsi="Times New Roman"/>
                <w:b/>
                <w:bCs/>
                <w:sz w:val="16"/>
                <w:szCs w:val="16"/>
              </w:rPr>
            </w:pPr>
            <w:r w:rsidRPr="000E26DD">
              <w:rPr>
                <w:rFonts w:ascii="Times New Roman" w:hAnsi="Times New Roman"/>
                <w:b/>
                <w:bCs/>
                <w:sz w:val="16"/>
                <w:szCs w:val="16"/>
              </w:rPr>
              <w:t>2014 S</w:t>
            </w:r>
          </w:p>
        </w:tc>
        <w:tc>
          <w:tcPr>
            <w:tcW w:w="376"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0389" w:rsidRPr="000E26DD" w:rsidP="000008FE">
            <w:pPr>
              <w:bidi w:val="0"/>
              <w:jc w:val="center"/>
              <w:rPr>
                <w:rFonts w:ascii="Times New Roman" w:hAnsi="Times New Roman"/>
                <w:b/>
                <w:bCs/>
                <w:sz w:val="16"/>
                <w:szCs w:val="16"/>
              </w:rPr>
            </w:pPr>
            <w:r w:rsidRPr="000E26DD">
              <w:rPr>
                <w:rFonts w:ascii="Times New Roman" w:hAnsi="Times New Roman"/>
                <w:b/>
                <w:bCs/>
                <w:sz w:val="16"/>
                <w:szCs w:val="16"/>
              </w:rPr>
              <w:t>2015 R</w:t>
            </w:r>
          </w:p>
        </w:tc>
        <w:tc>
          <w:tcPr>
            <w:tcW w:w="388"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0389" w:rsidRPr="000E26DD" w:rsidP="000008FE">
            <w:pPr>
              <w:bidi w:val="0"/>
              <w:jc w:val="center"/>
              <w:rPr>
                <w:rFonts w:ascii="Times New Roman" w:hAnsi="Times New Roman"/>
                <w:b/>
                <w:bCs/>
                <w:sz w:val="16"/>
                <w:szCs w:val="16"/>
              </w:rPr>
            </w:pPr>
            <w:r w:rsidRPr="000E26DD">
              <w:rPr>
                <w:rFonts w:ascii="Times New Roman" w:hAnsi="Times New Roman"/>
                <w:b/>
                <w:bCs/>
                <w:sz w:val="16"/>
                <w:szCs w:val="16"/>
              </w:rPr>
              <w:t>2015 OS</w:t>
            </w:r>
          </w:p>
        </w:tc>
        <w:tc>
          <w:tcPr>
            <w:tcW w:w="34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0389" w:rsidRPr="000E26DD" w:rsidP="00705199">
            <w:pPr>
              <w:bidi w:val="0"/>
              <w:jc w:val="center"/>
              <w:rPr>
                <w:rFonts w:ascii="Times New Roman" w:hAnsi="Times New Roman"/>
                <w:b/>
                <w:bCs/>
                <w:sz w:val="16"/>
                <w:szCs w:val="16"/>
              </w:rPr>
            </w:pPr>
            <w:r w:rsidRPr="000E26DD">
              <w:rPr>
                <w:rFonts w:ascii="Times New Roman" w:hAnsi="Times New Roman"/>
                <w:b/>
                <w:bCs/>
                <w:sz w:val="16"/>
                <w:szCs w:val="16"/>
              </w:rPr>
              <w:t xml:space="preserve">2016 </w:t>
            </w:r>
            <w:r w:rsidR="00705199">
              <w:rPr>
                <w:rFonts w:ascii="Times New Roman" w:hAnsi="Times New Roman"/>
                <w:b/>
                <w:bCs/>
                <w:sz w:val="16"/>
                <w:szCs w:val="16"/>
              </w:rPr>
              <w:t>N</w:t>
            </w:r>
          </w:p>
        </w:tc>
        <w:tc>
          <w:tcPr>
            <w:tcW w:w="342"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0389" w:rsidRPr="000E26DD" w:rsidP="000008FE">
            <w:pPr>
              <w:bidi w:val="0"/>
              <w:jc w:val="center"/>
              <w:rPr>
                <w:rFonts w:ascii="Times New Roman" w:hAnsi="Times New Roman"/>
                <w:b/>
                <w:bCs/>
                <w:sz w:val="16"/>
                <w:szCs w:val="16"/>
              </w:rPr>
            </w:pPr>
            <w:r w:rsidRPr="000E26DD">
              <w:rPr>
                <w:rFonts w:ascii="Times New Roman" w:hAnsi="Times New Roman"/>
                <w:b/>
                <w:bCs/>
                <w:sz w:val="16"/>
                <w:szCs w:val="16"/>
              </w:rPr>
              <w:t>2017 N</w:t>
            </w:r>
          </w:p>
        </w:tc>
        <w:tc>
          <w:tcPr>
            <w:tcW w:w="341" w:type="pct"/>
            <w:tcBorders>
              <w:top w:val="single" w:sz="4" w:space="0" w:color="auto"/>
              <w:left w:val="nil"/>
              <w:bottom w:val="single" w:sz="4" w:space="0" w:color="auto"/>
              <w:right w:val="single" w:sz="4" w:space="0" w:color="auto"/>
            </w:tcBorders>
            <w:shd w:val="clear" w:color="000000" w:fill="A6A6A6"/>
            <w:noWrap/>
            <w:textDirection w:val="lrTb"/>
            <w:vAlign w:val="center"/>
            <w:hideMark/>
          </w:tcPr>
          <w:p w:rsidR="006C0389" w:rsidRPr="000E26DD" w:rsidP="00BA181D">
            <w:pPr>
              <w:bidi w:val="0"/>
              <w:jc w:val="center"/>
              <w:rPr>
                <w:rFonts w:ascii="Times New Roman" w:hAnsi="Times New Roman"/>
                <w:b/>
                <w:bCs/>
                <w:sz w:val="16"/>
                <w:szCs w:val="16"/>
              </w:rPr>
            </w:pPr>
            <w:r w:rsidRPr="000E26DD">
              <w:rPr>
                <w:rFonts w:ascii="Times New Roman" w:hAnsi="Times New Roman"/>
                <w:b/>
                <w:bCs/>
                <w:sz w:val="16"/>
                <w:szCs w:val="16"/>
              </w:rPr>
              <w:t>201</w:t>
            </w:r>
            <w:r w:rsidR="00BA181D">
              <w:rPr>
                <w:rFonts w:ascii="Times New Roman" w:hAnsi="Times New Roman"/>
                <w:b/>
                <w:bCs/>
                <w:sz w:val="16"/>
                <w:szCs w:val="16"/>
              </w:rPr>
              <w:t>8</w:t>
            </w:r>
            <w:r w:rsidRPr="000E26DD">
              <w:rPr>
                <w:rFonts w:ascii="Times New Roman" w:hAnsi="Times New Roman"/>
                <w:b/>
                <w:bCs/>
                <w:sz w:val="16"/>
                <w:szCs w:val="16"/>
              </w:rPr>
              <w:t xml:space="preserve"> N</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6C0389" w:rsidRPr="000E26DD" w:rsidP="000008FE">
            <w:pPr>
              <w:bidi w:val="0"/>
              <w:rPr>
                <w:rFonts w:ascii="Times New Roman" w:hAnsi="Times New Roman"/>
                <w:b/>
                <w:bCs/>
                <w:sz w:val="16"/>
                <w:szCs w:val="16"/>
              </w:rPr>
            </w:pPr>
            <w:r w:rsidRPr="000E26DD">
              <w:rPr>
                <w:rFonts w:ascii="Times New Roman" w:hAnsi="Times New Roman"/>
                <w:b/>
                <w:bCs/>
                <w:sz w:val="16"/>
                <w:szCs w:val="16"/>
              </w:rPr>
              <w:t>Príjmy AVF spolu</w:t>
            </w:r>
          </w:p>
        </w:tc>
        <w:tc>
          <w:tcPr>
            <w:tcW w:w="341"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9 980</w:t>
            </w:r>
          </w:p>
        </w:tc>
        <w:tc>
          <w:tcPr>
            <w:tcW w:w="358"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10 074</w:t>
            </w:r>
          </w:p>
        </w:tc>
        <w:tc>
          <w:tcPr>
            <w:tcW w:w="376"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10 437</w:t>
            </w:r>
          </w:p>
        </w:tc>
        <w:tc>
          <w:tcPr>
            <w:tcW w:w="388"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10 132</w:t>
            </w:r>
          </w:p>
        </w:tc>
        <w:tc>
          <w:tcPr>
            <w:tcW w:w="342"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9 650</w:t>
            </w:r>
          </w:p>
        </w:tc>
        <w:tc>
          <w:tcPr>
            <w:tcW w:w="342"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9 251</w:t>
            </w:r>
          </w:p>
        </w:tc>
        <w:tc>
          <w:tcPr>
            <w:tcW w:w="341"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8 872</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rPr>
                <w:rFonts w:ascii="Times New Roman" w:hAnsi="Times New Roman"/>
                <w:sz w:val="16"/>
                <w:szCs w:val="16"/>
              </w:rPr>
            </w:pPr>
            <w:r w:rsidRPr="000E26DD">
              <w:rPr>
                <w:rFonts w:ascii="Times New Roman" w:hAnsi="Times New Roman"/>
                <w:sz w:val="16"/>
                <w:szCs w:val="16"/>
              </w:rPr>
              <w:t xml:space="preserve"> ▪ nedaňové príjmy, v tom:</w:t>
            </w:r>
          </w:p>
        </w:tc>
        <w:tc>
          <w:tcPr>
            <w:tcW w:w="341"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2 401</w:t>
            </w:r>
          </w:p>
        </w:tc>
        <w:tc>
          <w:tcPr>
            <w:tcW w:w="358"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2 683</w:t>
            </w:r>
          </w:p>
        </w:tc>
        <w:tc>
          <w:tcPr>
            <w:tcW w:w="376"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2 482</w:t>
            </w:r>
          </w:p>
        </w:tc>
        <w:tc>
          <w:tcPr>
            <w:tcW w:w="388"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2 421</w:t>
            </w:r>
          </w:p>
        </w:tc>
        <w:tc>
          <w:tcPr>
            <w:tcW w:w="3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2 854</w:t>
            </w:r>
          </w:p>
        </w:tc>
        <w:tc>
          <w:tcPr>
            <w:tcW w:w="3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2 905</w:t>
            </w:r>
          </w:p>
        </w:tc>
        <w:tc>
          <w:tcPr>
            <w:tcW w:w="341"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2 926</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320" w:firstLineChars="200"/>
              <w:rPr>
                <w:rFonts w:ascii="Times New Roman" w:hAnsi="Times New Roman"/>
                <w:sz w:val="16"/>
                <w:szCs w:val="16"/>
              </w:rPr>
            </w:pPr>
            <w:r w:rsidRPr="000E26DD">
              <w:rPr>
                <w:rFonts w:ascii="Times New Roman" w:hAnsi="Times New Roman"/>
                <w:sz w:val="16"/>
                <w:szCs w:val="16"/>
              </w:rPr>
              <w:t>administratívne a iné poplatky a platby, v tom:</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25</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24</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31</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27</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27</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27</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27</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noWrap/>
            <w:textDirection w:val="lrTb"/>
            <w:vAlign w:val="center"/>
            <w:hideMark/>
          </w:tcPr>
          <w:p w:rsidR="006C0389" w:rsidRPr="000E26DD" w:rsidP="000008FE">
            <w:pPr>
              <w:bidi w:val="0"/>
              <w:ind w:firstLine="480" w:firstLineChars="300"/>
              <w:rPr>
                <w:rFonts w:ascii="Times New Roman" w:hAnsi="Times New Roman"/>
                <w:sz w:val="16"/>
                <w:szCs w:val="16"/>
              </w:rPr>
            </w:pPr>
            <w:r w:rsidRPr="000E26DD">
              <w:rPr>
                <w:rFonts w:ascii="Times New Roman" w:hAnsi="Times New Roman"/>
                <w:sz w:val="16"/>
                <w:szCs w:val="16"/>
              </w:rPr>
              <w:t>administratívne poplatky</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23</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22</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29</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25</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25</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25</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25</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noWrap/>
            <w:textDirection w:val="lrTb"/>
            <w:vAlign w:val="center"/>
            <w:hideMark/>
          </w:tcPr>
          <w:p w:rsidR="006C0389" w:rsidRPr="000E26DD" w:rsidP="000008FE">
            <w:pPr>
              <w:bidi w:val="0"/>
              <w:ind w:firstLine="480" w:firstLineChars="300"/>
              <w:rPr>
                <w:rFonts w:ascii="Times New Roman" w:hAnsi="Times New Roman"/>
                <w:sz w:val="16"/>
                <w:szCs w:val="16"/>
              </w:rPr>
            </w:pPr>
            <w:r w:rsidRPr="000E26DD">
              <w:rPr>
                <w:rFonts w:ascii="Times New Roman" w:hAnsi="Times New Roman"/>
                <w:sz w:val="16"/>
                <w:szCs w:val="16"/>
              </w:rPr>
              <w:t>pokuty, penále a iné sankcie za porušenie predpisov</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noWrap/>
            <w:textDirection w:val="lrTb"/>
            <w:vAlign w:val="center"/>
            <w:hideMark/>
          </w:tcPr>
          <w:p w:rsidR="006C0389" w:rsidRPr="000E26DD" w:rsidP="000008FE">
            <w:pPr>
              <w:bidi w:val="0"/>
              <w:ind w:firstLine="480" w:firstLineChars="300"/>
              <w:rPr>
                <w:rFonts w:ascii="Times New Roman" w:hAnsi="Times New Roman"/>
                <w:sz w:val="16"/>
                <w:szCs w:val="16"/>
              </w:rPr>
            </w:pPr>
            <w:r w:rsidRPr="000E26DD">
              <w:rPr>
                <w:rFonts w:ascii="Times New Roman" w:hAnsi="Times New Roman"/>
                <w:sz w:val="16"/>
                <w:szCs w:val="16"/>
              </w:rPr>
              <w:t>poplatky a platby z nepriem. a náh. predaja a služieb</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320" w:firstLineChars="200"/>
              <w:rPr>
                <w:rFonts w:ascii="Times New Roman" w:hAnsi="Times New Roman"/>
                <w:sz w:val="16"/>
                <w:szCs w:val="16"/>
              </w:rPr>
            </w:pPr>
            <w:r w:rsidRPr="000E26DD">
              <w:rPr>
                <w:rFonts w:ascii="Times New Roman" w:hAnsi="Times New Roman"/>
                <w:sz w:val="16"/>
                <w:szCs w:val="16"/>
              </w:rPr>
              <w:t>úroky z tuzemských úverov, pôžičiek, návratných fin. výpomocí</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6</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7</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7</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8</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9</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320" w:firstLineChars="200"/>
              <w:rPr>
                <w:rFonts w:ascii="Times New Roman" w:hAnsi="Times New Roman"/>
                <w:sz w:val="16"/>
                <w:szCs w:val="16"/>
              </w:rPr>
            </w:pPr>
            <w:r w:rsidRPr="000E26DD">
              <w:rPr>
                <w:rFonts w:ascii="Times New Roman" w:hAnsi="Times New Roman"/>
                <w:sz w:val="16"/>
                <w:szCs w:val="16"/>
              </w:rPr>
              <w:t>iné nedaňové príjmy, v tom:</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2 375</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2 653</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2 450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2 387</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2 820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2 870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2 890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480" w:firstLineChars="300"/>
              <w:rPr>
                <w:rFonts w:ascii="Times New Roman" w:hAnsi="Times New Roman"/>
                <w:sz w:val="16"/>
                <w:szCs w:val="16"/>
              </w:rPr>
            </w:pPr>
            <w:r w:rsidRPr="000E26DD">
              <w:rPr>
                <w:rFonts w:ascii="Times New Roman" w:hAnsi="Times New Roman"/>
                <w:sz w:val="16"/>
                <w:szCs w:val="16"/>
              </w:rPr>
              <w:t>vratky z dotácií</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166</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111</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100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120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120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120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noWrap/>
            <w:textDirection w:val="lrTb"/>
            <w:vAlign w:val="center"/>
            <w:hideMark/>
          </w:tcPr>
          <w:p w:rsidR="006C0389" w:rsidRPr="000E26DD" w:rsidP="000008FE">
            <w:pPr>
              <w:bidi w:val="0"/>
              <w:ind w:firstLine="480" w:firstLineChars="300"/>
              <w:rPr>
                <w:rFonts w:ascii="Times New Roman" w:hAnsi="Times New Roman"/>
                <w:sz w:val="16"/>
                <w:szCs w:val="16"/>
              </w:rPr>
            </w:pPr>
            <w:r w:rsidRPr="000E26DD">
              <w:rPr>
                <w:rFonts w:ascii="Times New Roman" w:hAnsi="Times New Roman"/>
                <w:sz w:val="16"/>
                <w:szCs w:val="16"/>
              </w:rPr>
              <w:t>iné - príspevky podľa § 25-28 zákona 516/2008 v tom:</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2 209</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2 541</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2 350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2 357</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2 700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2 750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2 770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640" w:firstLineChars="400"/>
              <w:rPr>
                <w:rFonts w:ascii="Times New Roman" w:hAnsi="Times New Roman"/>
                <w:sz w:val="16"/>
                <w:szCs w:val="16"/>
              </w:rPr>
            </w:pPr>
            <w:r w:rsidRPr="000E26DD">
              <w:rPr>
                <w:rFonts w:ascii="Times New Roman" w:hAnsi="Times New Roman"/>
                <w:sz w:val="16"/>
                <w:szCs w:val="16"/>
              </w:rPr>
              <w:t>§ 25 - vysielatelia s licenciou</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1 413</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1 679</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1 500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1 500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1 700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1 700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1 700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640" w:firstLineChars="400"/>
              <w:rPr>
                <w:rFonts w:ascii="Times New Roman" w:hAnsi="Times New Roman"/>
                <w:sz w:val="16"/>
                <w:szCs w:val="16"/>
              </w:rPr>
            </w:pPr>
            <w:r w:rsidRPr="000E26DD">
              <w:rPr>
                <w:rFonts w:ascii="Times New Roman" w:hAnsi="Times New Roman"/>
                <w:sz w:val="16"/>
                <w:szCs w:val="16"/>
              </w:rPr>
              <w:t>§ 26 - kiná</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103</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113</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100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120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180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200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200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640" w:firstLineChars="400"/>
              <w:rPr>
                <w:rFonts w:ascii="Times New Roman" w:hAnsi="Times New Roman"/>
                <w:sz w:val="16"/>
                <w:szCs w:val="16"/>
              </w:rPr>
            </w:pPr>
            <w:r w:rsidRPr="000E26DD">
              <w:rPr>
                <w:rFonts w:ascii="Times New Roman" w:hAnsi="Times New Roman"/>
                <w:sz w:val="16"/>
                <w:szCs w:val="16"/>
              </w:rPr>
              <w:t>§ 27 - retransmisia</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657</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708</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700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700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700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700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700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640" w:firstLineChars="400"/>
              <w:rPr>
                <w:rFonts w:ascii="Times New Roman" w:hAnsi="Times New Roman"/>
                <w:sz w:val="16"/>
                <w:szCs w:val="16"/>
              </w:rPr>
            </w:pPr>
            <w:r w:rsidRPr="000E26DD">
              <w:rPr>
                <w:rFonts w:ascii="Times New Roman" w:hAnsi="Times New Roman"/>
                <w:sz w:val="16"/>
                <w:szCs w:val="16"/>
              </w:rPr>
              <w:t>§ 28 - distribúcia</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37</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42</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50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45</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50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50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50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tcPr>
          <w:p w:rsidR="006C0389" w:rsidRPr="000E26DD" w:rsidP="000008FE">
            <w:pPr>
              <w:bidi w:val="0"/>
              <w:rPr>
                <w:rFonts w:ascii="Times New Roman" w:hAnsi="Times New Roman"/>
                <w:sz w:val="16"/>
                <w:szCs w:val="16"/>
              </w:rPr>
            </w:pPr>
            <w:r w:rsidRPr="000E26DD">
              <w:rPr>
                <w:rFonts w:ascii="Times New Roman" w:hAnsi="Times New Roman"/>
                <w:sz w:val="16"/>
                <w:szCs w:val="16"/>
              </w:rPr>
              <w:t xml:space="preserve">                § 28a - audiovizuálna mediálna služba na požiadanie</w:t>
            </w:r>
          </w:p>
        </w:tc>
        <w:tc>
          <w:tcPr>
            <w:tcW w:w="341" w:type="pct"/>
            <w:tcBorders>
              <w:top w:val="nil"/>
              <w:left w:val="nil"/>
              <w:bottom w:val="single" w:sz="4" w:space="0" w:color="auto"/>
              <w:right w:val="single" w:sz="4" w:space="0" w:color="auto"/>
            </w:tcBorders>
            <w:textDirection w:val="lrTb"/>
            <w:vAlign w:val="center"/>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58" w:type="pct"/>
            <w:tcBorders>
              <w:top w:val="nil"/>
              <w:left w:val="nil"/>
              <w:bottom w:val="single" w:sz="4" w:space="0" w:color="auto"/>
              <w:right w:val="single" w:sz="4" w:space="0" w:color="auto"/>
            </w:tcBorders>
            <w:textDirection w:val="lrTb"/>
            <w:vAlign w:val="center"/>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76" w:type="pct"/>
            <w:tcBorders>
              <w:top w:val="nil"/>
              <w:left w:val="nil"/>
              <w:bottom w:val="single" w:sz="4" w:space="0" w:color="auto"/>
              <w:right w:val="single" w:sz="4" w:space="0" w:color="auto"/>
            </w:tcBorders>
            <w:textDirection w:val="lrTb"/>
            <w:vAlign w:val="center"/>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88" w:type="pct"/>
            <w:tcBorders>
              <w:top w:val="nil"/>
              <w:left w:val="nil"/>
              <w:bottom w:val="single" w:sz="4" w:space="0" w:color="auto"/>
              <w:right w:val="single" w:sz="4" w:space="0" w:color="auto"/>
            </w:tcBorders>
            <w:textDirection w:val="lrTb"/>
            <w:vAlign w:val="center"/>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42" w:type="pct"/>
            <w:tcBorders>
              <w:top w:val="nil"/>
              <w:left w:val="nil"/>
              <w:bottom w:val="single" w:sz="4" w:space="0" w:color="auto"/>
              <w:right w:val="single" w:sz="4" w:space="0" w:color="auto"/>
            </w:tcBorders>
            <w:textDirection w:val="lrTb"/>
            <w:vAlign w:val="center"/>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70</w:t>
            </w:r>
          </w:p>
        </w:tc>
        <w:tc>
          <w:tcPr>
            <w:tcW w:w="342" w:type="pct"/>
            <w:tcBorders>
              <w:top w:val="nil"/>
              <w:left w:val="nil"/>
              <w:bottom w:val="single" w:sz="4" w:space="0" w:color="auto"/>
              <w:right w:val="single" w:sz="4" w:space="0" w:color="auto"/>
            </w:tcBorders>
            <w:textDirection w:val="lrTb"/>
            <w:vAlign w:val="center"/>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100</w:t>
            </w:r>
          </w:p>
        </w:tc>
        <w:tc>
          <w:tcPr>
            <w:tcW w:w="341" w:type="pct"/>
            <w:tcBorders>
              <w:top w:val="nil"/>
              <w:left w:val="nil"/>
              <w:bottom w:val="single" w:sz="4" w:space="0" w:color="auto"/>
              <w:right w:val="single" w:sz="4" w:space="0" w:color="auto"/>
            </w:tcBorders>
            <w:textDirection w:val="lrTb"/>
            <w:vAlign w:val="center"/>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120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rPr>
                <w:rFonts w:ascii="Times New Roman" w:hAnsi="Times New Roman"/>
                <w:sz w:val="16"/>
                <w:szCs w:val="16"/>
              </w:rPr>
            </w:pPr>
            <w:r w:rsidRPr="000E26DD">
              <w:rPr>
                <w:rFonts w:ascii="Times New Roman" w:hAnsi="Times New Roman"/>
                <w:sz w:val="16"/>
                <w:szCs w:val="16"/>
              </w:rPr>
              <w:t xml:space="preserve"> ▪ granty a transfery, z toho:</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4 310</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4 084</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4 650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4 615</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4 150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4 100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4 100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320" w:firstLineChars="200"/>
              <w:rPr>
                <w:rFonts w:ascii="Times New Roman" w:hAnsi="Times New Roman"/>
                <w:sz w:val="16"/>
                <w:szCs w:val="16"/>
              </w:rPr>
            </w:pPr>
            <w:r w:rsidRPr="000E26DD">
              <w:rPr>
                <w:rFonts w:ascii="Times New Roman" w:hAnsi="Times New Roman"/>
                <w:sz w:val="16"/>
                <w:szCs w:val="16"/>
              </w:rPr>
              <w:t>tuzemské bežné granty a transfery, v tom:</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3 610</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4 084</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4 650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4 615</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4 150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4 100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4 100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480" w:firstLineChars="300"/>
              <w:rPr>
                <w:rFonts w:ascii="Times New Roman" w:hAnsi="Times New Roman"/>
                <w:sz w:val="16"/>
                <w:szCs w:val="16"/>
              </w:rPr>
            </w:pPr>
            <w:r w:rsidRPr="000E26DD">
              <w:rPr>
                <w:rFonts w:ascii="Times New Roman" w:hAnsi="Times New Roman"/>
                <w:sz w:val="16"/>
                <w:szCs w:val="16"/>
              </w:rPr>
              <w:t>§ 29 - zo štátneho rozpočtu</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3 500</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4 000</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4 500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4 500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4 000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4 000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4 000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480" w:firstLineChars="300"/>
              <w:rPr>
                <w:rFonts w:ascii="Times New Roman" w:hAnsi="Times New Roman"/>
                <w:sz w:val="16"/>
                <w:szCs w:val="16"/>
              </w:rPr>
            </w:pPr>
            <w:r w:rsidRPr="000E26DD">
              <w:rPr>
                <w:rFonts w:ascii="Times New Roman" w:hAnsi="Times New Roman"/>
                <w:sz w:val="16"/>
                <w:szCs w:val="16"/>
              </w:rPr>
              <w:t>§ 24 - od ostatných subjektov verejnej správy - RTVS</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110</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84</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150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115</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150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100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100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320" w:firstLineChars="200"/>
              <w:rPr>
                <w:rFonts w:ascii="Times New Roman" w:hAnsi="Times New Roman"/>
                <w:sz w:val="16"/>
                <w:szCs w:val="16"/>
              </w:rPr>
            </w:pPr>
            <w:r w:rsidRPr="000E26DD">
              <w:rPr>
                <w:rFonts w:ascii="Times New Roman" w:hAnsi="Times New Roman"/>
                <w:sz w:val="16"/>
                <w:szCs w:val="16"/>
              </w:rPr>
              <w:t>tuzemské kapitálové transfery a granty</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700</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320" w:firstLineChars="200"/>
              <w:rPr>
                <w:rFonts w:ascii="Times New Roman" w:hAnsi="Times New Roman"/>
                <w:sz w:val="16"/>
                <w:szCs w:val="16"/>
              </w:rPr>
            </w:pPr>
            <w:r w:rsidRPr="000E26DD">
              <w:rPr>
                <w:rFonts w:ascii="Times New Roman" w:hAnsi="Times New Roman"/>
                <w:sz w:val="16"/>
                <w:szCs w:val="16"/>
              </w:rPr>
              <w:t>tuzemské kapitálové transfery zo štátneho rozpočtu</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700</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noWrap/>
            <w:textDirection w:val="lrTb"/>
            <w:vAlign w:val="center"/>
            <w:hideMark/>
          </w:tcPr>
          <w:p w:rsidR="006C0389" w:rsidRPr="000E26DD" w:rsidP="000008FE">
            <w:pPr>
              <w:bidi w:val="0"/>
              <w:rPr>
                <w:rFonts w:ascii="Times New Roman" w:hAnsi="Times New Roman"/>
                <w:sz w:val="16"/>
                <w:szCs w:val="16"/>
              </w:rPr>
            </w:pPr>
            <w:r w:rsidRPr="000E26DD">
              <w:rPr>
                <w:rFonts w:ascii="Times New Roman" w:hAnsi="Times New Roman"/>
                <w:sz w:val="16"/>
                <w:szCs w:val="16"/>
              </w:rPr>
              <w:t xml:space="preserve"> ▪ príjmy z transakcií s fin. akt. a pas., v tom: (FO)</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3 269</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3 307</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3 305</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3 096</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2 646</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2 246</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1 846</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320" w:firstLineChars="200"/>
              <w:rPr>
                <w:rFonts w:ascii="Times New Roman" w:hAnsi="Times New Roman"/>
                <w:sz w:val="16"/>
                <w:szCs w:val="16"/>
              </w:rPr>
            </w:pPr>
            <w:r w:rsidRPr="000E26DD">
              <w:rPr>
                <w:rFonts w:ascii="Times New Roman" w:hAnsi="Times New Roman"/>
                <w:sz w:val="16"/>
                <w:szCs w:val="16"/>
              </w:rPr>
              <w:t>zo splátok tuzemských úverov a pôžičiek a návratných fin. výpomocí</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35</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100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76</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100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100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100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320" w:firstLineChars="200"/>
              <w:rPr>
                <w:rFonts w:ascii="Times New Roman" w:hAnsi="Times New Roman"/>
                <w:sz w:val="16"/>
                <w:szCs w:val="16"/>
              </w:rPr>
            </w:pPr>
            <w:r w:rsidRPr="000E26DD">
              <w:rPr>
                <w:rFonts w:ascii="Times New Roman" w:hAnsi="Times New Roman"/>
                <w:sz w:val="16"/>
                <w:szCs w:val="16"/>
              </w:rPr>
              <w:t>zostatok prostriedkov z predchádzajúcich rokov</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3 269</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3 272</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3 205</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3 020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2 546</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2 146</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1 746</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6C0389" w:rsidRPr="000E26DD" w:rsidP="000008FE">
            <w:pPr>
              <w:bidi w:val="0"/>
              <w:rPr>
                <w:rFonts w:ascii="Times New Roman" w:hAnsi="Times New Roman"/>
                <w:b/>
                <w:bCs/>
                <w:sz w:val="16"/>
                <w:szCs w:val="16"/>
              </w:rPr>
            </w:pPr>
            <w:r w:rsidRPr="000E26DD">
              <w:rPr>
                <w:rFonts w:ascii="Times New Roman" w:hAnsi="Times New Roman"/>
                <w:b/>
                <w:bCs/>
                <w:sz w:val="16"/>
                <w:szCs w:val="16"/>
              </w:rPr>
              <w:t>Výdavky AVF spolu</w:t>
            </w:r>
          </w:p>
        </w:tc>
        <w:tc>
          <w:tcPr>
            <w:tcW w:w="341"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6 710</w:t>
            </w:r>
          </w:p>
        </w:tc>
        <w:tc>
          <w:tcPr>
            <w:tcW w:w="358"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7 054</w:t>
            </w:r>
          </w:p>
        </w:tc>
        <w:tc>
          <w:tcPr>
            <w:tcW w:w="376"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7 382</w:t>
            </w:r>
          </w:p>
        </w:tc>
        <w:tc>
          <w:tcPr>
            <w:tcW w:w="388"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7 586</w:t>
            </w:r>
          </w:p>
        </w:tc>
        <w:tc>
          <w:tcPr>
            <w:tcW w:w="342"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7 504</w:t>
            </w:r>
          </w:p>
        </w:tc>
        <w:tc>
          <w:tcPr>
            <w:tcW w:w="342"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7 505</w:t>
            </w:r>
          </w:p>
        </w:tc>
        <w:tc>
          <w:tcPr>
            <w:tcW w:w="341" w:type="pct"/>
            <w:tcBorders>
              <w:top w:val="nil"/>
              <w:left w:val="nil"/>
              <w:bottom w:val="single" w:sz="4" w:space="0" w:color="auto"/>
              <w:right w:val="single" w:sz="4" w:space="0" w:color="auto"/>
            </w:tcBorders>
            <w:shd w:val="clear" w:color="000000" w:fill="BFBFBF"/>
            <w:noWrap/>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7 526</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rPr>
                <w:rFonts w:ascii="Times New Roman" w:hAnsi="Times New Roman"/>
                <w:sz w:val="16"/>
                <w:szCs w:val="16"/>
              </w:rPr>
            </w:pPr>
            <w:r w:rsidRPr="000E26DD">
              <w:rPr>
                <w:rFonts w:ascii="Times New Roman" w:hAnsi="Times New Roman"/>
                <w:sz w:val="16"/>
                <w:szCs w:val="16"/>
              </w:rPr>
              <w:t xml:space="preserve"> ▪ bežné výdavky, v tom:</w:t>
            </w:r>
          </w:p>
        </w:tc>
        <w:tc>
          <w:tcPr>
            <w:tcW w:w="341"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5 932</w:t>
            </w:r>
          </w:p>
        </w:tc>
        <w:tc>
          <w:tcPr>
            <w:tcW w:w="358"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6 352</w:t>
            </w:r>
          </w:p>
        </w:tc>
        <w:tc>
          <w:tcPr>
            <w:tcW w:w="376"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6 732</w:t>
            </w:r>
          </w:p>
        </w:tc>
        <w:tc>
          <w:tcPr>
            <w:tcW w:w="388"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6 681</w:t>
            </w:r>
          </w:p>
        </w:tc>
        <w:tc>
          <w:tcPr>
            <w:tcW w:w="3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6 649</w:t>
            </w:r>
          </w:p>
        </w:tc>
        <w:tc>
          <w:tcPr>
            <w:tcW w:w="3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6 650</w:t>
            </w:r>
          </w:p>
        </w:tc>
        <w:tc>
          <w:tcPr>
            <w:tcW w:w="341"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6 671</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320" w:firstLineChars="200"/>
              <w:rPr>
                <w:rFonts w:ascii="Times New Roman" w:hAnsi="Times New Roman"/>
                <w:sz w:val="16"/>
                <w:szCs w:val="16"/>
              </w:rPr>
            </w:pPr>
            <w:r w:rsidRPr="000E26DD">
              <w:rPr>
                <w:rFonts w:ascii="Times New Roman" w:hAnsi="Times New Roman"/>
                <w:sz w:val="16"/>
                <w:szCs w:val="16"/>
              </w:rPr>
              <w:t>mzdy, platy, služobné príjmy a ostatné osobné vyrovnania</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102</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116</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130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130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130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130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130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320" w:firstLineChars="200"/>
              <w:rPr>
                <w:rFonts w:ascii="Times New Roman" w:hAnsi="Times New Roman"/>
                <w:sz w:val="16"/>
                <w:szCs w:val="16"/>
              </w:rPr>
            </w:pPr>
            <w:r w:rsidRPr="000E26DD">
              <w:rPr>
                <w:rFonts w:ascii="Times New Roman" w:hAnsi="Times New Roman"/>
                <w:sz w:val="16"/>
                <w:szCs w:val="16"/>
              </w:rPr>
              <w:t>poistné a príspevok do poisťovní</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77</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79</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87</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85</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87</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87</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87</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320" w:firstLineChars="200"/>
              <w:rPr>
                <w:rFonts w:ascii="Times New Roman" w:hAnsi="Times New Roman"/>
                <w:sz w:val="16"/>
                <w:szCs w:val="16"/>
              </w:rPr>
            </w:pPr>
            <w:r w:rsidRPr="000E26DD">
              <w:rPr>
                <w:rFonts w:ascii="Times New Roman" w:hAnsi="Times New Roman"/>
                <w:sz w:val="16"/>
                <w:szCs w:val="16"/>
              </w:rPr>
              <w:t>tovary a služby</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256</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240</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270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275</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280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290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300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320" w:firstLineChars="200"/>
              <w:rPr>
                <w:rFonts w:ascii="Times New Roman" w:hAnsi="Times New Roman"/>
                <w:sz w:val="16"/>
                <w:szCs w:val="16"/>
              </w:rPr>
            </w:pPr>
            <w:r w:rsidRPr="000E26DD">
              <w:rPr>
                <w:rFonts w:ascii="Times New Roman" w:hAnsi="Times New Roman"/>
                <w:sz w:val="16"/>
                <w:szCs w:val="16"/>
              </w:rPr>
              <w:t>bežné transfery (podporná činnosť dotácie a štipendiá), z toho:</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5 497</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5 917</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6 246</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6 191</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6 152</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6 143</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6 154</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320" w:firstLineChars="200"/>
              <w:rPr>
                <w:rFonts w:ascii="Times New Roman" w:hAnsi="Times New Roman"/>
                <w:sz w:val="16"/>
                <w:szCs w:val="16"/>
              </w:rPr>
            </w:pPr>
            <w:r w:rsidRPr="000E26DD">
              <w:rPr>
                <w:rFonts w:ascii="Times New Roman" w:hAnsi="Times New Roman"/>
                <w:sz w:val="16"/>
                <w:szCs w:val="16"/>
              </w:rPr>
              <w:t>VVŠ</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120</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85</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120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90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100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100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100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320" w:firstLineChars="200"/>
              <w:rPr>
                <w:rFonts w:ascii="Times New Roman" w:hAnsi="Times New Roman"/>
                <w:sz w:val="16"/>
                <w:szCs w:val="16"/>
              </w:rPr>
            </w:pPr>
            <w:r w:rsidRPr="000E26DD">
              <w:rPr>
                <w:rFonts w:ascii="Times New Roman" w:hAnsi="Times New Roman"/>
                <w:sz w:val="16"/>
                <w:szCs w:val="16"/>
              </w:rPr>
              <w:t xml:space="preserve">obciam </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6</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7</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320" w:firstLineChars="200"/>
              <w:rPr>
                <w:rFonts w:ascii="Times New Roman" w:hAnsi="Times New Roman"/>
                <w:sz w:val="16"/>
                <w:szCs w:val="16"/>
              </w:rPr>
            </w:pPr>
            <w:r w:rsidRPr="000E26DD">
              <w:rPr>
                <w:rFonts w:ascii="Times New Roman" w:hAnsi="Times New Roman"/>
                <w:sz w:val="16"/>
                <w:szCs w:val="16"/>
              </w:rPr>
              <w:t>VÚC</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rPr>
                <w:rFonts w:ascii="Times New Roman" w:hAnsi="Times New Roman"/>
                <w:sz w:val="16"/>
                <w:szCs w:val="16"/>
              </w:rPr>
            </w:pPr>
            <w:r w:rsidRPr="000E26DD">
              <w:rPr>
                <w:rFonts w:ascii="Times New Roman" w:hAnsi="Times New Roman"/>
                <w:sz w:val="16"/>
                <w:szCs w:val="16"/>
              </w:rPr>
              <w:t xml:space="preserve"> ▪ kapitálové výdavky, v tom:</w:t>
            </w:r>
          </w:p>
        </w:tc>
        <w:tc>
          <w:tcPr>
            <w:tcW w:w="341"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758</w:t>
            </w:r>
          </w:p>
        </w:tc>
        <w:tc>
          <w:tcPr>
            <w:tcW w:w="358"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408</w:t>
            </w:r>
          </w:p>
        </w:tc>
        <w:tc>
          <w:tcPr>
            <w:tcW w:w="376"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400</w:t>
            </w:r>
          </w:p>
        </w:tc>
        <w:tc>
          <w:tcPr>
            <w:tcW w:w="388"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355</w:t>
            </w:r>
          </w:p>
        </w:tc>
        <w:tc>
          <w:tcPr>
            <w:tcW w:w="3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355</w:t>
            </w:r>
          </w:p>
        </w:tc>
        <w:tc>
          <w:tcPr>
            <w:tcW w:w="342"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355</w:t>
            </w:r>
          </w:p>
        </w:tc>
        <w:tc>
          <w:tcPr>
            <w:tcW w:w="341" w:type="pct"/>
            <w:tcBorders>
              <w:top w:val="nil"/>
              <w:left w:val="nil"/>
              <w:bottom w:val="single" w:sz="4" w:space="0" w:color="auto"/>
              <w:right w:val="single" w:sz="4" w:space="0" w:color="auto"/>
            </w:tcBorders>
            <w:textDirection w:val="lrTb"/>
            <w:vAlign w:val="center"/>
            <w:hideMark/>
          </w:tcPr>
          <w:p w:rsidR="006C0389" w:rsidRPr="00987A71" w:rsidP="000008FE">
            <w:pPr>
              <w:bidi w:val="0"/>
              <w:jc w:val="right"/>
              <w:rPr>
                <w:rFonts w:ascii="Times New Roman" w:hAnsi="Times New Roman"/>
                <w:b/>
                <w:bCs/>
                <w:iCs/>
                <w:sz w:val="16"/>
                <w:szCs w:val="16"/>
              </w:rPr>
            </w:pPr>
            <w:r w:rsidRPr="00987A71">
              <w:rPr>
                <w:rFonts w:ascii="Times New Roman" w:hAnsi="Times New Roman"/>
                <w:b/>
                <w:bCs/>
                <w:iCs/>
                <w:sz w:val="16"/>
                <w:szCs w:val="16"/>
              </w:rPr>
              <w:t>355</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320" w:firstLineChars="200"/>
              <w:rPr>
                <w:rFonts w:ascii="Times New Roman" w:hAnsi="Times New Roman"/>
                <w:sz w:val="16"/>
                <w:szCs w:val="16"/>
              </w:rPr>
            </w:pPr>
            <w:r w:rsidRPr="000E26DD">
              <w:rPr>
                <w:rFonts w:ascii="Times New Roman" w:hAnsi="Times New Roman"/>
                <w:sz w:val="16"/>
                <w:szCs w:val="16"/>
              </w:rPr>
              <w:t>obstarávanie kapitálových aktív organizácie</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0</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5</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7</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5</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5</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5</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320" w:firstLineChars="200"/>
              <w:rPr>
                <w:rFonts w:ascii="Times New Roman" w:hAnsi="Times New Roman"/>
                <w:sz w:val="16"/>
                <w:szCs w:val="16"/>
              </w:rPr>
            </w:pPr>
            <w:r w:rsidRPr="000E26DD">
              <w:rPr>
                <w:rFonts w:ascii="Times New Roman" w:hAnsi="Times New Roman"/>
                <w:sz w:val="16"/>
                <w:szCs w:val="16"/>
              </w:rPr>
              <w:t>kapitálové transfery (podporná činnosť)</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758</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408</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395</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348</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350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350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350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rPr>
                <w:rFonts w:ascii="Times New Roman" w:hAnsi="Times New Roman"/>
                <w:sz w:val="16"/>
                <w:szCs w:val="16"/>
              </w:rPr>
            </w:pPr>
            <w:r w:rsidRPr="000E26DD">
              <w:rPr>
                <w:rFonts w:ascii="Times New Roman" w:hAnsi="Times New Roman"/>
                <w:sz w:val="16"/>
                <w:szCs w:val="16"/>
              </w:rPr>
              <w:t xml:space="preserve"> ▪ výdavkové finančné operácie</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20</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294</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250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550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500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500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500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160" w:firstLineChars="100"/>
              <w:rPr>
                <w:rFonts w:ascii="Times New Roman" w:hAnsi="Times New Roman"/>
                <w:sz w:val="16"/>
                <w:szCs w:val="16"/>
              </w:rPr>
            </w:pPr>
            <w:r w:rsidRPr="000E26DD">
              <w:rPr>
                <w:rFonts w:ascii="Times New Roman" w:hAnsi="Times New Roman"/>
                <w:sz w:val="16"/>
                <w:szCs w:val="16"/>
              </w:rPr>
              <w:t>úvery, pôžičky, návratné fin. výpomoci, účasť na majetku štátu, ostatné</w:t>
            </w:r>
          </w:p>
        </w:tc>
        <w:tc>
          <w:tcPr>
            <w:tcW w:w="341" w:type="pct"/>
            <w:tcBorders>
              <w:top w:val="nil"/>
              <w:left w:val="nil"/>
              <w:bottom w:val="single" w:sz="4" w:space="0" w:color="auto"/>
              <w:right w:val="single" w:sz="4" w:space="0" w:color="auto"/>
            </w:tcBorders>
            <w:noWrap/>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20</w:t>
            </w:r>
          </w:p>
        </w:tc>
        <w:tc>
          <w:tcPr>
            <w:tcW w:w="358" w:type="pct"/>
            <w:tcBorders>
              <w:top w:val="nil"/>
              <w:left w:val="nil"/>
              <w:bottom w:val="single" w:sz="4" w:space="0" w:color="auto"/>
              <w:right w:val="single" w:sz="4" w:space="0" w:color="auto"/>
            </w:tcBorders>
            <w:noWrap/>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294</w:t>
            </w:r>
          </w:p>
        </w:tc>
        <w:tc>
          <w:tcPr>
            <w:tcW w:w="376" w:type="pct"/>
            <w:tcBorders>
              <w:top w:val="nil"/>
              <w:left w:val="nil"/>
              <w:bottom w:val="single" w:sz="4" w:space="0" w:color="auto"/>
              <w:right w:val="single" w:sz="4" w:space="0" w:color="auto"/>
            </w:tcBorders>
            <w:noWrap/>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250</w:t>
            </w:r>
          </w:p>
        </w:tc>
        <w:tc>
          <w:tcPr>
            <w:tcW w:w="388" w:type="pct"/>
            <w:tcBorders>
              <w:top w:val="nil"/>
              <w:left w:val="nil"/>
              <w:bottom w:val="single" w:sz="4" w:space="0" w:color="auto"/>
              <w:right w:val="single" w:sz="4" w:space="0" w:color="auto"/>
            </w:tcBorders>
            <w:noWrap/>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550</w:t>
            </w:r>
          </w:p>
        </w:tc>
        <w:tc>
          <w:tcPr>
            <w:tcW w:w="342" w:type="pct"/>
            <w:tcBorders>
              <w:top w:val="nil"/>
              <w:left w:val="nil"/>
              <w:bottom w:val="single" w:sz="4" w:space="0" w:color="auto"/>
              <w:right w:val="single" w:sz="4" w:space="0" w:color="auto"/>
            </w:tcBorders>
            <w:noWrap/>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500</w:t>
            </w:r>
          </w:p>
        </w:tc>
        <w:tc>
          <w:tcPr>
            <w:tcW w:w="342" w:type="pct"/>
            <w:tcBorders>
              <w:top w:val="nil"/>
              <w:left w:val="nil"/>
              <w:bottom w:val="single" w:sz="4" w:space="0" w:color="auto"/>
              <w:right w:val="single" w:sz="4" w:space="0" w:color="auto"/>
            </w:tcBorders>
            <w:noWrap/>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500</w:t>
            </w:r>
          </w:p>
        </w:tc>
        <w:tc>
          <w:tcPr>
            <w:tcW w:w="341" w:type="pct"/>
            <w:tcBorders>
              <w:top w:val="nil"/>
              <w:left w:val="nil"/>
              <w:bottom w:val="single" w:sz="4" w:space="0" w:color="auto"/>
              <w:right w:val="single" w:sz="4" w:space="0" w:color="auto"/>
            </w:tcBorders>
            <w:noWrap/>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500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textDirection w:val="lrTb"/>
            <w:vAlign w:val="center"/>
            <w:hideMark/>
          </w:tcPr>
          <w:p w:rsidR="006C0389" w:rsidRPr="000E26DD" w:rsidP="000008FE">
            <w:pPr>
              <w:bidi w:val="0"/>
              <w:ind w:firstLine="160" w:firstLineChars="100"/>
              <w:rPr>
                <w:rFonts w:ascii="Times New Roman" w:hAnsi="Times New Roman"/>
                <w:sz w:val="16"/>
                <w:szCs w:val="16"/>
              </w:rPr>
            </w:pPr>
            <w:r w:rsidRPr="000E26DD">
              <w:rPr>
                <w:rFonts w:ascii="Times New Roman" w:hAnsi="Times New Roman"/>
                <w:sz w:val="16"/>
                <w:szCs w:val="16"/>
              </w:rPr>
              <w:t>splácanie istín</w:t>
            </w:r>
          </w:p>
        </w:tc>
        <w:tc>
          <w:tcPr>
            <w:tcW w:w="341" w:type="pct"/>
            <w:tcBorders>
              <w:top w:val="nil"/>
              <w:left w:val="nil"/>
              <w:bottom w:val="single" w:sz="4" w:space="0" w:color="auto"/>
              <w:right w:val="single" w:sz="4" w:space="0" w:color="auto"/>
            </w:tcBorders>
            <w:noWrap/>
            <w:textDirection w:val="lrTb"/>
            <w:vAlign w:val="center"/>
            <w:hideMark/>
          </w:tcPr>
          <w:p w:rsidR="006C0389" w:rsidRPr="000E26DD" w:rsidP="000008FE">
            <w:pPr>
              <w:bidi w:val="0"/>
              <w:jc w:val="right"/>
              <w:rPr>
                <w:rFonts w:ascii="Times New Roman" w:hAnsi="Times New Roman"/>
                <w:color w:val="000000"/>
                <w:sz w:val="16"/>
                <w:szCs w:val="16"/>
              </w:rPr>
            </w:pPr>
            <w:r w:rsidRPr="000E26DD">
              <w:rPr>
                <w:rFonts w:ascii="Times New Roman" w:hAnsi="Times New Roman"/>
                <w:color w:val="000000"/>
                <w:sz w:val="16"/>
                <w:szCs w:val="16"/>
              </w:rPr>
              <w:t>0</w:t>
            </w:r>
          </w:p>
        </w:tc>
        <w:tc>
          <w:tcPr>
            <w:tcW w:w="358" w:type="pct"/>
            <w:tcBorders>
              <w:top w:val="nil"/>
              <w:left w:val="nil"/>
              <w:bottom w:val="single" w:sz="4" w:space="0" w:color="auto"/>
              <w:right w:val="single" w:sz="4" w:space="0" w:color="auto"/>
            </w:tcBorders>
            <w:noWrap/>
            <w:textDirection w:val="lrTb"/>
            <w:vAlign w:val="center"/>
            <w:hideMark/>
          </w:tcPr>
          <w:p w:rsidR="006C0389" w:rsidRPr="000E26DD" w:rsidP="000008FE">
            <w:pPr>
              <w:bidi w:val="0"/>
              <w:jc w:val="right"/>
              <w:rPr>
                <w:rFonts w:ascii="Times New Roman" w:hAnsi="Times New Roman"/>
                <w:color w:val="000000"/>
                <w:sz w:val="16"/>
                <w:szCs w:val="16"/>
              </w:rPr>
            </w:pPr>
            <w:r w:rsidRPr="000E26DD">
              <w:rPr>
                <w:rFonts w:ascii="Times New Roman" w:hAnsi="Times New Roman"/>
                <w:color w:val="000000"/>
                <w:sz w:val="16"/>
                <w:szCs w:val="16"/>
              </w:rPr>
              <w:t>0</w:t>
            </w:r>
          </w:p>
        </w:tc>
        <w:tc>
          <w:tcPr>
            <w:tcW w:w="376" w:type="pct"/>
            <w:tcBorders>
              <w:top w:val="nil"/>
              <w:left w:val="nil"/>
              <w:bottom w:val="single" w:sz="4" w:space="0" w:color="auto"/>
              <w:right w:val="single" w:sz="4" w:space="0" w:color="auto"/>
            </w:tcBorders>
            <w:noWrap/>
            <w:textDirection w:val="lrTb"/>
            <w:vAlign w:val="center"/>
            <w:hideMark/>
          </w:tcPr>
          <w:p w:rsidR="006C0389" w:rsidRPr="000E26DD" w:rsidP="000008FE">
            <w:pPr>
              <w:bidi w:val="0"/>
              <w:jc w:val="right"/>
              <w:rPr>
                <w:rFonts w:ascii="Times New Roman" w:hAnsi="Times New Roman"/>
                <w:color w:val="000000"/>
                <w:sz w:val="16"/>
                <w:szCs w:val="16"/>
              </w:rPr>
            </w:pPr>
            <w:r w:rsidRPr="000E26DD">
              <w:rPr>
                <w:rFonts w:ascii="Times New Roman" w:hAnsi="Times New Roman"/>
                <w:color w:val="000000"/>
                <w:sz w:val="16"/>
                <w:szCs w:val="16"/>
              </w:rPr>
              <w:t>0</w:t>
            </w:r>
          </w:p>
        </w:tc>
        <w:tc>
          <w:tcPr>
            <w:tcW w:w="388" w:type="pct"/>
            <w:tcBorders>
              <w:top w:val="nil"/>
              <w:left w:val="nil"/>
              <w:bottom w:val="single" w:sz="4" w:space="0" w:color="auto"/>
              <w:right w:val="single" w:sz="4" w:space="0" w:color="auto"/>
            </w:tcBorders>
            <w:noWrap/>
            <w:textDirection w:val="lrTb"/>
            <w:vAlign w:val="center"/>
            <w:hideMark/>
          </w:tcPr>
          <w:p w:rsidR="006C0389" w:rsidRPr="000E26DD" w:rsidP="000008FE">
            <w:pPr>
              <w:bidi w:val="0"/>
              <w:jc w:val="right"/>
              <w:rPr>
                <w:rFonts w:ascii="Times New Roman" w:hAnsi="Times New Roman"/>
                <w:color w:val="000000"/>
                <w:sz w:val="16"/>
                <w:szCs w:val="16"/>
              </w:rPr>
            </w:pPr>
            <w:r w:rsidRPr="000E26DD">
              <w:rPr>
                <w:rFonts w:ascii="Times New Roman" w:hAnsi="Times New Roman"/>
                <w:color w:val="000000"/>
                <w:sz w:val="16"/>
                <w:szCs w:val="16"/>
              </w:rPr>
              <w:t>0</w:t>
            </w:r>
          </w:p>
        </w:tc>
        <w:tc>
          <w:tcPr>
            <w:tcW w:w="342" w:type="pct"/>
            <w:tcBorders>
              <w:top w:val="nil"/>
              <w:left w:val="nil"/>
              <w:bottom w:val="single" w:sz="4" w:space="0" w:color="auto"/>
              <w:right w:val="single" w:sz="4" w:space="0" w:color="auto"/>
            </w:tcBorders>
            <w:noWrap/>
            <w:textDirection w:val="lrTb"/>
            <w:vAlign w:val="center"/>
            <w:hideMark/>
          </w:tcPr>
          <w:p w:rsidR="006C0389" w:rsidRPr="000E26DD" w:rsidP="000008FE">
            <w:pPr>
              <w:bidi w:val="0"/>
              <w:jc w:val="right"/>
              <w:rPr>
                <w:rFonts w:ascii="Times New Roman" w:hAnsi="Times New Roman"/>
                <w:color w:val="000000"/>
                <w:sz w:val="16"/>
                <w:szCs w:val="16"/>
              </w:rPr>
            </w:pPr>
            <w:r w:rsidRPr="000E26DD">
              <w:rPr>
                <w:rFonts w:ascii="Times New Roman" w:hAnsi="Times New Roman"/>
                <w:color w:val="000000"/>
                <w:sz w:val="16"/>
                <w:szCs w:val="16"/>
              </w:rPr>
              <w:t>0</w:t>
            </w:r>
          </w:p>
        </w:tc>
        <w:tc>
          <w:tcPr>
            <w:tcW w:w="342" w:type="pct"/>
            <w:tcBorders>
              <w:top w:val="nil"/>
              <w:left w:val="nil"/>
              <w:bottom w:val="single" w:sz="4" w:space="0" w:color="auto"/>
              <w:right w:val="single" w:sz="4" w:space="0" w:color="auto"/>
            </w:tcBorders>
            <w:noWrap/>
            <w:textDirection w:val="lrTb"/>
            <w:vAlign w:val="center"/>
            <w:hideMark/>
          </w:tcPr>
          <w:p w:rsidR="006C0389" w:rsidRPr="000E26DD" w:rsidP="000008FE">
            <w:pPr>
              <w:bidi w:val="0"/>
              <w:jc w:val="right"/>
              <w:rPr>
                <w:rFonts w:ascii="Times New Roman" w:hAnsi="Times New Roman"/>
                <w:color w:val="000000"/>
                <w:sz w:val="16"/>
                <w:szCs w:val="16"/>
              </w:rPr>
            </w:pPr>
            <w:r w:rsidRPr="000E26DD">
              <w:rPr>
                <w:rFonts w:ascii="Times New Roman" w:hAnsi="Times New Roman"/>
                <w:color w:val="000000"/>
                <w:sz w:val="16"/>
                <w:szCs w:val="16"/>
              </w:rPr>
              <w:t>0</w:t>
            </w:r>
          </w:p>
        </w:tc>
        <w:tc>
          <w:tcPr>
            <w:tcW w:w="341" w:type="pct"/>
            <w:tcBorders>
              <w:top w:val="nil"/>
              <w:left w:val="nil"/>
              <w:bottom w:val="single" w:sz="4" w:space="0" w:color="auto"/>
              <w:right w:val="single" w:sz="4" w:space="0" w:color="auto"/>
            </w:tcBorders>
            <w:noWrap/>
            <w:textDirection w:val="lrTb"/>
            <w:vAlign w:val="center"/>
            <w:hideMark/>
          </w:tcPr>
          <w:p w:rsidR="006C0389" w:rsidRPr="000E26DD" w:rsidP="000008FE">
            <w:pPr>
              <w:bidi w:val="0"/>
              <w:jc w:val="right"/>
              <w:rPr>
                <w:rFonts w:ascii="Times New Roman" w:hAnsi="Times New Roman"/>
                <w:color w:val="000000"/>
                <w:sz w:val="16"/>
                <w:szCs w:val="16"/>
              </w:rPr>
            </w:pPr>
            <w:r w:rsidRPr="000E26DD">
              <w:rPr>
                <w:rFonts w:ascii="Times New Roman" w:hAnsi="Times New Roman"/>
                <w:color w:val="000000"/>
                <w:sz w:val="16"/>
                <w:szCs w:val="16"/>
              </w:rPr>
              <w:t>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6C0389" w:rsidRPr="000E26DD" w:rsidP="000008FE">
            <w:pPr>
              <w:bidi w:val="0"/>
              <w:rPr>
                <w:rFonts w:ascii="Times New Roman" w:hAnsi="Times New Roman"/>
                <w:b/>
                <w:bCs/>
                <w:sz w:val="16"/>
                <w:szCs w:val="16"/>
              </w:rPr>
            </w:pPr>
            <w:r w:rsidRPr="000E26DD">
              <w:rPr>
                <w:rFonts w:ascii="Times New Roman" w:hAnsi="Times New Roman"/>
                <w:b/>
                <w:bCs/>
                <w:sz w:val="16"/>
                <w:szCs w:val="16"/>
              </w:rPr>
              <w:t>Celková bilancia AVF</w:t>
            </w:r>
          </w:p>
        </w:tc>
        <w:tc>
          <w:tcPr>
            <w:tcW w:w="341" w:type="pct"/>
            <w:tcBorders>
              <w:top w:val="nil"/>
              <w:left w:val="nil"/>
              <w:bottom w:val="single" w:sz="4" w:space="0" w:color="auto"/>
              <w:right w:val="single" w:sz="4" w:space="0" w:color="auto"/>
            </w:tcBorders>
            <w:shd w:val="clear" w:color="000000" w:fill="BFBFBF"/>
            <w:noWrap/>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3 270</w:t>
            </w:r>
          </w:p>
        </w:tc>
        <w:tc>
          <w:tcPr>
            <w:tcW w:w="358" w:type="pct"/>
            <w:tcBorders>
              <w:top w:val="nil"/>
              <w:left w:val="nil"/>
              <w:bottom w:val="single" w:sz="4" w:space="0" w:color="auto"/>
              <w:right w:val="single" w:sz="4" w:space="0" w:color="auto"/>
            </w:tcBorders>
            <w:shd w:val="clear" w:color="000000" w:fill="BFBFBF"/>
            <w:noWrap/>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3 020</w:t>
            </w:r>
          </w:p>
        </w:tc>
        <w:tc>
          <w:tcPr>
            <w:tcW w:w="376" w:type="pct"/>
            <w:tcBorders>
              <w:top w:val="nil"/>
              <w:left w:val="nil"/>
              <w:bottom w:val="single" w:sz="4" w:space="0" w:color="auto"/>
              <w:right w:val="single" w:sz="4" w:space="0" w:color="auto"/>
            </w:tcBorders>
            <w:shd w:val="clear" w:color="000000" w:fill="BFBFBF"/>
            <w:noWrap/>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3 055</w:t>
            </w:r>
          </w:p>
        </w:tc>
        <w:tc>
          <w:tcPr>
            <w:tcW w:w="388" w:type="pct"/>
            <w:tcBorders>
              <w:top w:val="nil"/>
              <w:left w:val="nil"/>
              <w:bottom w:val="single" w:sz="4" w:space="0" w:color="auto"/>
              <w:right w:val="single" w:sz="4" w:space="0" w:color="auto"/>
            </w:tcBorders>
            <w:shd w:val="clear" w:color="000000" w:fill="BFBFBF"/>
            <w:noWrap/>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2 546</w:t>
            </w:r>
          </w:p>
        </w:tc>
        <w:tc>
          <w:tcPr>
            <w:tcW w:w="342" w:type="pct"/>
            <w:tcBorders>
              <w:top w:val="nil"/>
              <w:left w:val="nil"/>
              <w:bottom w:val="single" w:sz="4" w:space="0" w:color="auto"/>
              <w:right w:val="single" w:sz="4" w:space="0" w:color="auto"/>
            </w:tcBorders>
            <w:shd w:val="clear" w:color="000000" w:fill="BFBFBF"/>
            <w:noWrap/>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2 146</w:t>
            </w:r>
          </w:p>
        </w:tc>
        <w:tc>
          <w:tcPr>
            <w:tcW w:w="342" w:type="pct"/>
            <w:tcBorders>
              <w:top w:val="nil"/>
              <w:left w:val="nil"/>
              <w:bottom w:val="single" w:sz="4" w:space="0" w:color="auto"/>
              <w:right w:val="single" w:sz="4" w:space="0" w:color="auto"/>
            </w:tcBorders>
            <w:shd w:val="clear" w:color="000000" w:fill="BFBFBF"/>
            <w:noWrap/>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1 746</w:t>
            </w:r>
          </w:p>
        </w:tc>
        <w:tc>
          <w:tcPr>
            <w:tcW w:w="341" w:type="pct"/>
            <w:tcBorders>
              <w:top w:val="nil"/>
              <w:left w:val="nil"/>
              <w:bottom w:val="single" w:sz="4" w:space="0" w:color="auto"/>
              <w:right w:val="single" w:sz="4" w:space="0" w:color="auto"/>
            </w:tcBorders>
            <w:shd w:val="clear" w:color="000000" w:fill="BFBFBF"/>
            <w:noWrap/>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1 346</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noWrap/>
            <w:textDirection w:val="lrTb"/>
            <w:vAlign w:val="center"/>
            <w:hideMark/>
          </w:tcPr>
          <w:p w:rsidR="006C0389" w:rsidRPr="000E26DD" w:rsidP="000008FE">
            <w:pPr>
              <w:bidi w:val="0"/>
              <w:rPr>
                <w:rFonts w:ascii="Times New Roman" w:hAnsi="Times New Roman"/>
                <w:b/>
                <w:bCs/>
                <w:i/>
                <w:iCs/>
                <w:sz w:val="16"/>
                <w:szCs w:val="16"/>
              </w:rPr>
            </w:pPr>
            <w:r w:rsidR="00987A71">
              <w:rPr>
                <w:rFonts w:ascii="Times New Roman" w:hAnsi="Times New Roman"/>
                <w:b/>
                <w:bCs/>
                <w:i/>
                <w:iCs/>
                <w:sz w:val="16"/>
                <w:szCs w:val="16"/>
              </w:rPr>
              <w:t xml:space="preserve"> </w:t>
            </w:r>
            <w:r w:rsidRPr="000E26DD">
              <w:rPr>
                <w:rFonts w:ascii="Times New Roman" w:hAnsi="Times New Roman"/>
                <w:b/>
                <w:bCs/>
                <w:i/>
                <w:iCs/>
                <w:sz w:val="16"/>
                <w:szCs w:val="16"/>
              </w:rPr>
              <w:t>vylúčenie finančných operácií</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-3 249</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-3 013</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-3 055</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-2 546</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-2 146</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-1 746</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-1 346</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noWrap/>
            <w:textDirection w:val="lrTb"/>
            <w:vAlign w:val="center"/>
            <w:hideMark/>
          </w:tcPr>
          <w:p w:rsidR="006C0389" w:rsidRPr="000E26DD" w:rsidP="000008FE">
            <w:pPr>
              <w:bidi w:val="0"/>
              <w:ind w:firstLine="160" w:firstLineChars="100"/>
              <w:rPr>
                <w:rFonts w:ascii="Times New Roman" w:hAnsi="Times New Roman"/>
                <w:sz w:val="16"/>
                <w:szCs w:val="16"/>
              </w:rPr>
            </w:pPr>
            <w:r w:rsidRPr="000E26DD">
              <w:rPr>
                <w:rFonts w:ascii="Times New Roman" w:hAnsi="Times New Roman"/>
                <w:sz w:val="16"/>
                <w:szCs w:val="16"/>
              </w:rPr>
              <w:t>vylúčenie príjmových FO</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-3 269</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-3 307</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-3 305</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-3 096</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-2 646</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-2 246</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-1 846</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noWrap/>
            <w:textDirection w:val="lrTb"/>
            <w:vAlign w:val="center"/>
            <w:hideMark/>
          </w:tcPr>
          <w:p w:rsidR="006C0389" w:rsidRPr="000E26DD" w:rsidP="000008FE">
            <w:pPr>
              <w:bidi w:val="0"/>
              <w:ind w:firstLine="160" w:firstLineChars="100"/>
              <w:rPr>
                <w:rFonts w:ascii="Times New Roman" w:hAnsi="Times New Roman"/>
                <w:sz w:val="16"/>
                <w:szCs w:val="16"/>
              </w:rPr>
            </w:pPr>
            <w:r w:rsidRPr="000E26DD">
              <w:rPr>
                <w:rFonts w:ascii="Times New Roman" w:hAnsi="Times New Roman"/>
                <w:sz w:val="16"/>
                <w:szCs w:val="16"/>
              </w:rPr>
              <w:t>vylúčenie výdavkových FO</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20</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294</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250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550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500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500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sz w:val="16"/>
                <w:szCs w:val="16"/>
              </w:rPr>
            </w:pPr>
            <w:r w:rsidRPr="000E26DD">
              <w:rPr>
                <w:rFonts w:ascii="Times New Roman" w:hAnsi="Times New Roman"/>
                <w:sz w:val="16"/>
                <w:szCs w:val="16"/>
              </w:rPr>
              <w:t>500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noWrap/>
            <w:textDirection w:val="lrTb"/>
            <w:vAlign w:val="center"/>
            <w:hideMark/>
          </w:tcPr>
          <w:p w:rsidR="006C0389" w:rsidRPr="000E26DD" w:rsidP="000008FE">
            <w:pPr>
              <w:bidi w:val="0"/>
              <w:rPr>
                <w:rFonts w:ascii="Times New Roman" w:hAnsi="Times New Roman"/>
                <w:b/>
                <w:bCs/>
                <w:i/>
                <w:iCs/>
                <w:sz w:val="16"/>
                <w:szCs w:val="16"/>
              </w:rPr>
            </w:pPr>
            <w:r w:rsidRPr="000E26DD">
              <w:rPr>
                <w:rFonts w:ascii="Times New Roman" w:hAnsi="Times New Roman"/>
                <w:b/>
                <w:bCs/>
                <w:i/>
                <w:iCs/>
                <w:sz w:val="16"/>
                <w:szCs w:val="16"/>
              </w:rPr>
              <w:t>Medziročná zmena stavu pohľadávok</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-10</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267</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noWrap/>
            <w:textDirection w:val="lrTb"/>
            <w:vAlign w:val="center"/>
            <w:hideMark/>
          </w:tcPr>
          <w:p w:rsidR="006C0389" w:rsidRPr="000E26DD" w:rsidP="000008FE">
            <w:pPr>
              <w:bidi w:val="0"/>
              <w:rPr>
                <w:rFonts w:ascii="Times New Roman" w:hAnsi="Times New Roman"/>
                <w:b/>
                <w:bCs/>
                <w:i/>
                <w:iCs/>
                <w:sz w:val="16"/>
                <w:szCs w:val="16"/>
              </w:rPr>
            </w:pPr>
            <w:r w:rsidRPr="000E26DD">
              <w:rPr>
                <w:rFonts w:ascii="Times New Roman" w:hAnsi="Times New Roman"/>
                <w:b/>
                <w:bCs/>
                <w:i/>
                <w:iCs/>
                <w:sz w:val="16"/>
                <w:szCs w:val="16"/>
              </w:rPr>
              <w:t>Medziročná zmena stavu záväzkov</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-249</w:t>
            </w:r>
          </w:p>
        </w:tc>
        <w:tc>
          <w:tcPr>
            <w:tcW w:w="35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888</w:t>
            </w:r>
          </w:p>
        </w:tc>
        <w:tc>
          <w:tcPr>
            <w:tcW w:w="376"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0</w:t>
            </w:r>
          </w:p>
        </w:tc>
        <w:tc>
          <w:tcPr>
            <w:tcW w:w="388"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0</w:t>
            </w:r>
          </w:p>
        </w:tc>
        <w:tc>
          <w:tcPr>
            <w:tcW w:w="342"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0</w:t>
            </w:r>
          </w:p>
        </w:tc>
        <w:tc>
          <w:tcPr>
            <w:tcW w:w="341" w:type="pct"/>
            <w:tcBorders>
              <w:top w:val="nil"/>
              <w:left w:val="nil"/>
              <w:bottom w:val="single" w:sz="4" w:space="0" w:color="auto"/>
              <w:right w:val="single" w:sz="4" w:space="0" w:color="auto"/>
            </w:tcBorders>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0</w:t>
            </w:r>
          </w:p>
        </w:tc>
      </w:tr>
      <w:tr>
        <w:tblPrEx>
          <w:tblW w:w="5000" w:type="pct"/>
          <w:tblCellMar>
            <w:left w:w="70" w:type="dxa"/>
            <w:right w:w="70" w:type="dxa"/>
          </w:tblCellMar>
          <w:tblLook w:val="04A0"/>
        </w:tblPrEx>
        <w:trPr>
          <w:trHeight w:val="210"/>
        </w:trPr>
        <w:tc>
          <w:tcPr>
            <w:tcW w:w="2512" w:type="pct"/>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6C0389" w:rsidRPr="000E26DD" w:rsidP="00A74905">
            <w:pPr>
              <w:bidi w:val="0"/>
              <w:rPr>
                <w:rFonts w:ascii="Times New Roman" w:hAnsi="Times New Roman"/>
                <w:b/>
                <w:bCs/>
                <w:sz w:val="16"/>
                <w:szCs w:val="16"/>
              </w:rPr>
            </w:pPr>
            <w:r w:rsidRPr="000E26DD">
              <w:rPr>
                <w:rFonts w:ascii="Times New Roman" w:hAnsi="Times New Roman"/>
                <w:b/>
                <w:bCs/>
                <w:sz w:val="16"/>
                <w:szCs w:val="16"/>
              </w:rPr>
              <w:t>Prebytok</w:t>
            </w:r>
            <w:r w:rsidRPr="003679CA" w:rsidR="00A74905">
              <w:rPr>
                <w:rFonts w:ascii="Times New Roman" w:hAnsi="Times New Roman"/>
                <w:b/>
                <w:bCs/>
                <w:sz w:val="16"/>
                <w:szCs w:val="16"/>
              </w:rPr>
              <w:t xml:space="preserve">(+) / schodok </w:t>
            </w:r>
            <w:r w:rsidRPr="003679CA">
              <w:rPr>
                <w:rFonts w:ascii="Times New Roman" w:hAnsi="Times New Roman"/>
                <w:b/>
                <w:bCs/>
                <w:sz w:val="16"/>
                <w:szCs w:val="16"/>
              </w:rPr>
              <w:t>(-)</w:t>
            </w:r>
            <w:r w:rsidRPr="000E26DD">
              <w:rPr>
                <w:rFonts w:ascii="Times New Roman" w:hAnsi="Times New Roman"/>
                <w:b/>
                <w:bCs/>
                <w:sz w:val="16"/>
                <w:szCs w:val="16"/>
              </w:rPr>
              <w:t xml:space="preserve"> AVF (ESA 2010)</w:t>
            </w:r>
          </w:p>
        </w:tc>
        <w:tc>
          <w:tcPr>
            <w:tcW w:w="341" w:type="pct"/>
            <w:tcBorders>
              <w:top w:val="nil"/>
              <w:left w:val="nil"/>
              <w:bottom w:val="single" w:sz="4" w:space="0" w:color="auto"/>
              <w:right w:val="single" w:sz="4" w:space="0" w:color="auto"/>
            </w:tcBorders>
            <w:shd w:val="clear" w:color="000000" w:fill="BFBFBF"/>
            <w:noWrap/>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-238</w:t>
            </w:r>
          </w:p>
        </w:tc>
        <w:tc>
          <w:tcPr>
            <w:tcW w:w="358" w:type="pct"/>
            <w:tcBorders>
              <w:top w:val="nil"/>
              <w:left w:val="nil"/>
              <w:bottom w:val="single" w:sz="4" w:space="0" w:color="auto"/>
              <w:right w:val="single" w:sz="4" w:space="0" w:color="auto"/>
            </w:tcBorders>
            <w:shd w:val="clear" w:color="000000" w:fill="BFBFBF"/>
            <w:noWrap/>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1 162</w:t>
            </w:r>
          </w:p>
        </w:tc>
        <w:tc>
          <w:tcPr>
            <w:tcW w:w="376" w:type="pct"/>
            <w:tcBorders>
              <w:top w:val="nil"/>
              <w:left w:val="nil"/>
              <w:bottom w:val="single" w:sz="4" w:space="0" w:color="auto"/>
              <w:right w:val="single" w:sz="4" w:space="0" w:color="auto"/>
            </w:tcBorders>
            <w:shd w:val="clear" w:color="000000" w:fill="BFBFBF"/>
            <w:noWrap/>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0</w:t>
            </w:r>
          </w:p>
        </w:tc>
        <w:tc>
          <w:tcPr>
            <w:tcW w:w="388" w:type="pct"/>
            <w:tcBorders>
              <w:top w:val="nil"/>
              <w:left w:val="nil"/>
              <w:bottom w:val="single" w:sz="4" w:space="0" w:color="auto"/>
              <w:right w:val="single" w:sz="4" w:space="0" w:color="auto"/>
            </w:tcBorders>
            <w:shd w:val="clear" w:color="000000" w:fill="BFBFBF"/>
            <w:noWrap/>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0</w:t>
            </w:r>
          </w:p>
        </w:tc>
        <w:tc>
          <w:tcPr>
            <w:tcW w:w="342" w:type="pct"/>
            <w:tcBorders>
              <w:top w:val="nil"/>
              <w:left w:val="nil"/>
              <w:bottom w:val="single" w:sz="4" w:space="0" w:color="auto"/>
              <w:right w:val="single" w:sz="4" w:space="0" w:color="auto"/>
            </w:tcBorders>
            <w:shd w:val="clear" w:color="000000" w:fill="BFBFBF"/>
            <w:noWrap/>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0</w:t>
            </w:r>
          </w:p>
        </w:tc>
        <w:tc>
          <w:tcPr>
            <w:tcW w:w="342" w:type="pct"/>
            <w:tcBorders>
              <w:top w:val="nil"/>
              <w:left w:val="nil"/>
              <w:bottom w:val="single" w:sz="4" w:space="0" w:color="auto"/>
              <w:right w:val="single" w:sz="4" w:space="0" w:color="auto"/>
            </w:tcBorders>
            <w:shd w:val="clear" w:color="000000" w:fill="BFBFBF"/>
            <w:noWrap/>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0</w:t>
            </w:r>
          </w:p>
        </w:tc>
        <w:tc>
          <w:tcPr>
            <w:tcW w:w="341" w:type="pct"/>
            <w:tcBorders>
              <w:top w:val="nil"/>
              <w:left w:val="nil"/>
              <w:bottom w:val="single" w:sz="4" w:space="0" w:color="auto"/>
              <w:right w:val="single" w:sz="4" w:space="0" w:color="auto"/>
            </w:tcBorders>
            <w:shd w:val="clear" w:color="000000" w:fill="BFBFBF"/>
            <w:noWrap/>
            <w:textDirection w:val="lrTb"/>
            <w:vAlign w:val="center"/>
            <w:hideMark/>
          </w:tcPr>
          <w:p w:rsidR="006C0389" w:rsidRPr="000E26DD" w:rsidP="000008FE">
            <w:pPr>
              <w:bidi w:val="0"/>
              <w:jc w:val="right"/>
              <w:rPr>
                <w:rFonts w:ascii="Times New Roman" w:hAnsi="Times New Roman"/>
                <w:b/>
                <w:bCs/>
                <w:i/>
                <w:iCs/>
                <w:sz w:val="16"/>
                <w:szCs w:val="16"/>
              </w:rPr>
            </w:pPr>
            <w:r w:rsidRPr="000E26DD">
              <w:rPr>
                <w:rFonts w:ascii="Times New Roman" w:hAnsi="Times New Roman"/>
                <w:b/>
                <w:bCs/>
                <w:i/>
                <w:iCs/>
                <w:sz w:val="16"/>
                <w:szCs w:val="16"/>
              </w:rPr>
              <w:t>0</w:t>
            </w:r>
          </w:p>
        </w:tc>
      </w:tr>
    </w:tbl>
    <w:p w:rsidR="006C0389" w:rsidRPr="006B53D9" w:rsidP="006C0389">
      <w:pPr>
        <w:autoSpaceDE w:val="0"/>
        <w:autoSpaceDN w:val="0"/>
        <w:bidi w:val="0"/>
        <w:adjustRightInd w:val="0"/>
        <w:jc w:val="both"/>
        <w:rPr>
          <w:rFonts w:ascii="Times New Roman" w:hAnsi="Times New Roman"/>
          <w:color w:val="000000"/>
        </w:rPr>
      </w:pPr>
    </w:p>
    <w:p w:rsidR="006C0389" w:rsidRPr="000E26DD" w:rsidP="006C0389">
      <w:pPr>
        <w:bidi w:val="0"/>
        <w:ind w:firstLine="708"/>
        <w:jc w:val="both"/>
        <w:rPr>
          <w:rFonts w:ascii="Times New Roman" w:hAnsi="Times New Roman"/>
          <w:color w:val="000000"/>
        </w:rPr>
      </w:pPr>
      <w:r w:rsidRPr="000E26DD">
        <w:rPr>
          <w:rFonts w:ascii="Times New Roman" w:hAnsi="Times New Roman"/>
        </w:rPr>
        <w:t xml:space="preserve">Objem príjmov fondu na rok 2016 sa rozpočtuje v celkovej výške 9,65 mil. eur, čo predstavuje oproti schválenému rozpočtu na rok 2015 zníženie o 787 tis. eur, t. j. o 7,54 %. Rozpočet fondu je v príjmovej časti tvorený z troch základných zdrojov príjmov. Významným zdrojom príjmov fondu sú príspevky od povinných prispievateľov, ktoré by mali v roku 2016 dosiahnuť 2,70 mil. eur, čo predstavuje medziročný nárast o 350 tis. eur, t. j. </w:t>
        <w:br/>
        <w:t xml:space="preserve">o 14,9 %. </w:t>
      </w:r>
      <w:r w:rsidRPr="000E26DD">
        <w:rPr>
          <w:rFonts w:ascii="Times New Roman" w:hAnsi="Times New Roman"/>
          <w:color w:val="000000"/>
        </w:rPr>
        <w:t>Príjmy z administratívnych úhrad za spracovanie žiadostí o podporu audiovizuálnej kultúry formou dotácie alebo pôžičky podľa § 21 zákona sú rozpočtované v sume 25 tis. eur, čo je na úrovni očakávanej skutočnosti roku 2015, keďže ročný priemer počtu podaných žiadostí nevykazuje výraznejšie zmeny.</w:t>
      </w:r>
    </w:p>
    <w:p w:rsidR="006C0389" w:rsidRPr="000E26DD" w:rsidP="006C0389">
      <w:pPr>
        <w:autoSpaceDE w:val="0"/>
        <w:autoSpaceDN w:val="0"/>
        <w:bidi w:val="0"/>
        <w:adjustRightInd w:val="0"/>
        <w:ind w:firstLine="708"/>
        <w:jc w:val="both"/>
        <w:rPr>
          <w:rFonts w:ascii="Times New Roman" w:hAnsi="Times New Roman"/>
          <w:color w:val="000000"/>
          <w:sz w:val="16"/>
          <w:szCs w:val="16"/>
        </w:rPr>
      </w:pPr>
    </w:p>
    <w:p w:rsidR="006C0389" w:rsidRPr="000E26DD" w:rsidP="006C0389">
      <w:pPr>
        <w:bidi w:val="0"/>
        <w:ind w:firstLine="708"/>
        <w:jc w:val="both"/>
        <w:rPr>
          <w:rFonts w:ascii="Times New Roman" w:hAnsi="Times New Roman"/>
          <w:color w:val="000000"/>
        </w:rPr>
      </w:pPr>
      <w:r w:rsidRPr="000E26DD">
        <w:rPr>
          <w:rFonts w:ascii="Times New Roman" w:hAnsi="Times New Roman"/>
          <w:color w:val="000000"/>
        </w:rPr>
        <w:t>Príspevok zo štátneho rozpočtu poskytovaný podľa § 29 zákona na podporu audiovizuálnej kultúry a podporu audiovizuálneho priemyslu na základe zmluvy medzi Ministerstvom kultúry SR a fondom sa v roku 2015 navrhuje vo výške 4 mil. eur, čím je splnená zákonom stanovená podmienka, že výška transferu nesmie byť nižšia ako sumár príspevkov od povinných prispievateľov. Rozpočtovaný transfer zo štátneho rozpočtu je o 1,30 mil. eur vyšší ako ustanovuje zákon. V rámci tuzemských bežných transferov sa príspevok od Rozhlasu a televízie Slovenska rozpočtuje v objeme 150 tis. eur.</w:t>
      </w:r>
    </w:p>
    <w:p w:rsidR="006C0389" w:rsidRPr="000E26DD" w:rsidP="006C0389">
      <w:pPr>
        <w:bidi w:val="0"/>
        <w:ind w:firstLine="708"/>
        <w:jc w:val="both"/>
        <w:rPr>
          <w:rFonts w:ascii="Times New Roman" w:hAnsi="Times New Roman"/>
          <w:color w:val="000000"/>
          <w:sz w:val="16"/>
          <w:szCs w:val="16"/>
        </w:rPr>
      </w:pPr>
    </w:p>
    <w:p w:rsidR="006C0389" w:rsidRPr="000E26DD" w:rsidP="006C0389">
      <w:pPr>
        <w:bidi w:val="0"/>
        <w:ind w:firstLine="708"/>
        <w:jc w:val="both"/>
        <w:rPr>
          <w:rFonts w:ascii="Times New Roman" w:hAnsi="Times New Roman"/>
          <w:color w:val="000000"/>
        </w:rPr>
      </w:pPr>
      <w:r w:rsidRPr="000E26DD">
        <w:rPr>
          <w:rFonts w:ascii="Times New Roman" w:hAnsi="Times New Roman"/>
          <w:color w:val="000000"/>
        </w:rPr>
        <w:t>Výdavky subjektu sa v roku 2016 navrhujú vo výške 7,50 mil. eur. Uvedené predstavuje nárast oproti schválenému rozpočtu roku 2015 o 1,65 %, v absolútnom vyjadrení o 122 tis. eur.</w:t>
      </w:r>
    </w:p>
    <w:p w:rsidR="006C0389" w:rsidRPr="000E26DD" w:rsidP="006C0389">
      <w:pPr>
        <w:bidi w:val="0"/>
        <w:ind w:firstLine="708"/>
        <w:jc w:val="both"/>
        <w:rPr>
          <w:rFonts w:ascii="Times New Roman" w:hAnsi="Times New Roman"/>
          <w:color w:val="000000"/>
          <w:sz w:val="16"/>
          <w:szCs w:val="16"/>
        </w:rPr>
      </w:pPr>
    </w:p>
    <w:p w:rsidR="006C0389" w:rsidRPr="000E26DD" w:rsidP="006C0389">
      <w:pPr>
        <w:bidi w:val="0"/>
        <w:ind w:firstLine="708"/>
        <w:jc w:val="both"/>
        <w:rPr>
          <w:rFonts w:ascii="Times New Roman" w:hAnsi="Times New Roman"/>
          <w:color w:val="000000"/>
        </w:rPr>
      </w:pPr>
      <w:r w:rsidRPr="000E26DD">
        <w:rPr>
          <w:rFonts w:ascii="Times New Roman" w:hAnsi="Times New Roman"/>
          <w:color w:val="000000"/>
        </w:rPr>
        <w:t xml:space="preserve">Bežné výdavky na zabezpečenie administratívy a prevádzky fondu sú rozpočtované v objeme 6,65 mil. eur. V porovnaní so schváleným rozpočtom roku 2015 dochádza k ich 1,24% zníženiu, čo v absolútnom vyjadrení predstavuje pokles o 83,5 tis. eur. </w:t>
      </w:r>
    </w:p>
    <w:p w:rsidR="006C0389" w:rsidRPr="000E26DD" w:rsidP="006C0389">
      <w:pPr>
        <w:bidi w:val="0"/>
        <w:ind w:firstLine="708"/>
        <w:jc w:val="both"/>
        <w:rPr>
          <w:rFonts w:ascii="Times New Roman" w:hAnsi="Times New Roman"/>
          <w:color w:val="000000"/>
          <w:sz w:val="16"/>
          <w:szCs w:val="16"/>
        </w:rPr>
      </w:pPr>
    </w:p>
    <w:p w:rsidR="006C0389" w:rsidRPr="000E26DD" w:rsidP="006C0389">
      <w:pPr>
        <w:bidi w:val="0"/>
        <w:ind w:firstLine="708"/>
        <w:jc w:val="both"/>
        <w:rPr>
          <w:rFonts w:ascii="Times New Roman" w:hAnsi="Times New Roman"/>
          <w:color w:val="000000"/>
        </w:rPr>
      </w:pPr>
      <w:r w:rsidRPr="000E26DD">
        <w:rPr>
          <w:rFonts w:ascii="Times New Roman" w:hAnsi="Times New Roman"/>
          <w:color w:val="000000"/>
        </w:rPr>
        <w:t>Osobné výdavky zachovávajú úroveň schváleného rozpočtu roku 2015.</w:t>
      </w:r>
    </w:p>
    <w:p w:rsidR="006C0389" w:rsidRPr="000E26DD" w:rsidP="006C0389">
      <w:pPr>
        <w:bidi w:val="0"/>
        <w:ind w:firstLine="708"/>
        <w:jc w:val="both"/>
        <w:rPr>
          <w:rFonts w:ascii="Times New Roman" w:hAnsi="Times New Roman"/>
          <w:color w:val="000000"/>
          <w:sz w:val="16"/>
          <w:szCs w:val="16"/>
        </w:rPr>
      </w:pPr>
    </w:p>
    <w:p w:rsidR="006C0389" w:rsidRPr="000E26DD" w:rsidP="006C0389">
      <w:pPr>
        <w:bidi w:val="0"/>
        <w:ind w:firstLine="708"/>
        <w:jc w:val="both"/>
        <w:rPr>
          <w:rFonts w:ascii="Times New Roman" w:hAnsi="Times New Roman"/>
          <w:color w:val="000000"/>
        </w:rPr>
      </w:pPr>
      <w:r w:rsidRPr="000E26DD">
        <w:rPr>
          <w:rFonts w:ascii="Times New Roman" w:hAnsi="Times New Roman"/>
          <w:color w:val="000000"/>
        </w:rPr>
        <w:t xml:space="preserve">Objem výdavkov rozpočtovaných na tovary a služby oproti roku 2015 mierne rastie </w:t>
        <w:br/>
        <w:t>o 3,70</w:t>
      </w:r>
      <w:r w:rsidR="006244B6">
        <w:rPr>
          <w:rFonts w:ascii="Times New Roman" w:hAnsi="Times New Roman"/>
          <w:color w:val="000000"/>
        </w:rPr>
        <w:t xml:space="preserve"> </w:t>
      </w:r>
      <w:r w:rsidRPr="000E26DD">
        <w:rPr>
          <w:rFonts w:ascii="Times New Roman" w:hAnsi="Times New Roman"/>
          <w:color w:val="000000"/>
        </w:rPr>
        <w:t>% , t. j. o 10 tis. eur. V rámci tovarov a služieb sú rozpočtované výdavky na prevádzku a údržbu registračných systémov, výdavky na zabezpečenie konektivity a uloženia dát. Súčasťou výdavkov sú aj pravidelné odmeny členov orgánov fondu.</w:t>
      </w:r>
    </w:p>
    <w:p w:rsidR="006C0389" w:rsidRPr="000E26DD" w:rsidP="006C0389">
      <w:pPr>
        <w:bidi w:val="0"/>
        <w:ind w:firstLine="708"/>
        <w:jc w:val="both"/>
        <w:rPr>
          <w:rFonts w:ascii="Times New Roman" w:hAnsi="Times New Roman"/>
          <w:color w:val="000000"/>
          <w:sz w:val="16"/>
          <w:szCs w:val="16"/>
        </w:rPr>
      </w:pPr>
    </w:p>
    <w:p w:rsidR="006C0389" w:rsidRPr="000E26DD" w:rsidP="006C0389">
      <w:pPr>
        <w:bidi w:val="0"/>
        <w:ind w:firstLine="708"/>
        <w:jc w:val="both"/>
        <w:rPr>
          <w:rFonts w:ascii="Times New Roman" w:hAnsi="Times New Roman"/>
          <w:color w:val="000000"/>
        </w:rPr>
      </w:pPr>
      <w:r w:rsidRPr="000E26DD">
        <w:rPr>
          <w:rFonts w:ascii="Times New Roman" w:hAnsi="Times New Roman"/>
          <w:color w:val="000000"/>
        </w:rPr>
        <w:t>Bežné transfery subjektu zaznamenávajú oproti schválenému rozpočtu roku 2015 mierny pokles o 93,5 tis. eur, teda o 1,50</w:t>
      </w:r>
      <w:r w:rsidR="006244B6">
        <w:rPr>
          <w:rFonts w:ascii="Times New Roman" w:hAnsi="Times New Roman"/>
          <w:color w:val="000000"/>
        </w:rPr>
        <w:t xml:space="preserve"> </w:t>
      </w:r>
      <w:r w:rsidRPr="000E26DD">
        <w:rPr>
          <w:rFonts w:ascii="Times New Roman" w:hAnsi="Times New Roman"/>
          <w:color w:val="000000"/>
        </w:rPr>
        <w:t>%, keďže fond vyčlenil v súvislosti s pokračovaním  Stratégie digitalizácie vyššiu sumu na dotácie a pôžičky, ktoré sa rozpočtujú v rámci výdavkových finančných operácií.</w:t>
      </w:r>
    </w:p>
    <w:p w:rsidR="006C0389" w:rsidRPr="000E26DD" w:rsidP="006C0389">
      <w:pPr>
        <w:bidi w:val="0"/>
        <w:jc w:val="both"/>
        <w:rPr>
          <w:rFonts w:ascii="Times New Roman" w:hAnsi="Times New Roman"/>
          <w:color w:val="000000"/>
          <w:sz w:val="16"/>
          <w:szCs w:val="16"/>
        </w:rPr>
      </w:pPr>
    </w:p>
    <w:p w:rsidR="006C0389" w:rsidRPr="000E26DD" w:rsidP="006C0389">
      <w:pPr>
        <w:bidi w:val="0"/>
        <w:ind w:firstLine="708"/>
        <w:jc w:val="both"/>
        <w:rPr>
          <w:rFonts w:ascii="Times New Roman" w:hAnsi="Times New Roman"/>
          <w:color w:val="000000"/>
        </w:rPr>
      </w:pPr>
      <w:r w:rsidRPr="000E26DD">
        <w:rPr>
          <w:rFonts w:ascii="Times New Roman" w:hAnsi="Times New Roman"/>
          <w:color w:val="000000"/>
        </w:rPr>
        <w:t>Kapitálové výdavky subjektu sú v roku 2016 navrhované vo výške 355 tis. eur. Ich objem oproti schválenému rozpočtu na rok 2015 poklesol o 45 tis. eur, t. j. o 11,3 % z dôvodu prehodnotenia investičných potrieb subjektu. Finančné prostriedky sa majú použiť na vlastné kapitálové potreby (nákup softvéru), ako aj na poskytovanie kapitálových transferov na zabezpečenie digitalizácie jednosálových kín.</w:t>
      </w:r>
    </w:p>
    <w:p w:rsidR="006C0389" w:rsidRPr="000E26DD" w:rsidP="006C0389">
      <w:pPr>
        <w:bidi w:val="0"/>
        <w:rPr>
          <w:rFonts w:ascii="Times New Roman" w:hAnsi="Times New Roman"/>
          <w:color w:val="000000"/>
          <w:sz w:val="16"/>
          <w:szCs w:val="16"/>
        </w:rPr>
      </w:pPr>
    </w:p>
    <w:p w:rsidR="006C0389" w:rsidRPr="000E26DD" w:rsidP="006C0389">
      <w:pPr>
        <w:bidi w:val="0"/>
        <w:ind w:firstLine="708"/>
        <w:jc w:val="both"/>
        <w:rPr>
          <w:rFonts w:ascii="Times New Roman" w:hAnsi="Times New Roman"/>
          <w:color w:val="000000"/>
        </w:rPr>
      </w:pPr>
      <w:r w:rsidRPr="000E26DD">
        <w:rPr>
          <w:rFonts w:ascii="Times New Roman" w:hAnsi="Times New Roman"/>
          <w:color w:val="000000"/>
        </w:rPr>
        <w:t xml:space="preserve">V rámci výdavkov z transakcií s finančnými aktívami a pasívami sa rozpočtujú prostriedky určené na poskytovanie pôžičiek v súvislosti s  realizáciou Stratégie digitalizácie kín. Pôžičky sú od roku 2013 poskytované v kombinácii s dotáciou a sú určené na zabezpečenie digitalizácie jednosálových kín, na podporu produkcie audiovizuálnych diel a rozvoj technologického zázemia. </w:t>
      </w:r>
    </w:p>
    <w:p w:rsidR="006C0389" w:rsidRPr="000E26DD" w:rsidP="006C0389">
      <w:pPr>
        <w:bidi w:val="0"/>
        <w:ind w:firstLine="708"/>
        <w:jc w:val="both"/>
        <w:rPr>
          <w:rFonts w:ascii="Times New Roman" w:hAnsi="Times New Roman"/>
          <w:color w:val="000000"/>
          <w:sz w:val="16"/>
          <w:szCs w:val="16"/>
        </w:rPr>
      </w:pPr>
      <w:r w:rsidRPr="000E26DD">
        <w:rPr>
          <w:rFonts w:ascii="Times New Roman" w:hAnsi="Times New Roman"/>
          <w:color w:val="000000"/>
          <w:sz w:val="16"/>
          <w:szCs w:val="16"/>
        </w:rPr>
        <w:t xml:space="preserve"> </w:t>
      </w:r>
    </w:p>
    <w:p w:rsidR="006C0389" w:rsidP="006B53D9">
      <w:pPr>
        <w:bidi w:val="0"/>
        <w:ind w:firstLine="708"/>
        <w:jc w:val="both"/>
        <w:rPr>
          <w:rFonts w:ascii="Times New Roman" w:hAnsi="Times New Roman"/>
        </w:rPr>
      </w:pPr>
      <w:r w:rsidRPr="000E26DD">
        <w:rPr>
          <w:rFonts w:ascii="Times New Roman" w:hAnsi="Times New Roman"/>
        </w:rPr>
        <w:t xml:space="preserve">Celkový hotovostný prebytok fondu sa v roku 2016 predpokladá vo výške </w:t>
        <w:br/>
      </w:r>
      <w:r w:rsidRPr="000E26DD">
        <w:rPr>
          <w:rFonts w:ascii="Times New Roman" w:hAnsi="Times New Roman"/>
          <w:color w:val="000000"/>
        </w:rPr>
        <w:t>2,1</w:t>
      </w:r>
      <w:r>
        <w:rPr>
          <w:rFonts w:ascii="Times New Roman" w:hAnsi="Times New Roman"/>
          <w:color w:val="000000"/>
        </w:rPr>
        <w:t>5</w:t>
      </w:r>
      <w:r w:rsidRPr="000E26DD">
        <w:rPr>
          <w:rFonts w:ascii="Times New Roman" w:hAnsi="Times New Roman"/>
          <w:color w:val="000000"/>
        </w:rPr>
        <w:t xml:space="preserve">  mil. eur</w:t>
      </w:r>
      <w:r w:rsidRPr="000E26DD">
        <w:rPr>
          <w:rFonts w:ascii="Times New Roman" w:hAnsi="Times New Roman"/>
        </w:rPr>
        <w:t xml:space="preserve">, v roku 2017 sa predpokladá celkový prebytok na  úrovni 1,75 mil. eur a v roku 2018 vo výške 1,35 mil. eur. </w:t>
      </w:r>
      <w:r w:rsidRPr="000E26DD">
        <w:rPr>
          <w:rFonts w:ascii="Times New Roman" w:hAnsi="Times New Roman"/>
        </w:rPr>
        <w:t>Saldo hospodárenia vyjadrené v metodike ESA 2010 sa v rokoch 2016 až 2018 predpokladá vyrovnané.</w:t>
      </w:r>
    </w:p>
    <w:p w:rsidR="006C0389" w:rsidP="006C0389">
      <w:pPr>
        <w:bidi w:val="0"/>
        <w:jc w:val="both"/>
        <w:rPr>
          <w:rFonts w:ascii="Times New Roman" w:hAnsi="Times New Roman"/>
        </w:rPr>
      </w:pPr>
    </w:p>
    <w:p w:rsidR="008225DB" w:rsidP="008225DB">
      <w:pPr>
        <w:bidi w:val="0"/>
        <w:rPr>
          <w:rFonts w:ascii="Times New Roman" w:hAnsi="Times New Roman"/>
        </w:rPr>
      </w:pPr>
      <w:r>
        <w:rPr>
          <w:rFonts w:ascii="Times New Roman" w:hAnsi="Times New Roman"/>
          <w:b/>
          <w:bCs/>
        </w:rPr>
        <w:t>15.  Kancelária Rady pre rozpočtovú zodpovednosť</w:t>
      </w:r>
    </w:p>
    <w:p w:rsidR="008225DB" w:rsidRPr="008806B0" w:rsidP="008225DB">
      <w:pPr>
        <w:bidi w:val="0"/>
        <w:rPr>
          <w:rFonts w:ascii="Times New Roman" w:hAnsi="Times New Roman"/>
          <w:sz w:val="16"/>
          <w:szCs w:val="16"/>
        </w:rPr>
      </w:pPr>
      <w:r>
        <w:rPr>
          <w:rFonts w:ascii="Times New Roman" w:hAnsi="Times New Roman"/>
        </w:rPr>
        <w:tab/>
      </w:r>
    </w:p>
    <w:p w:rsidR="008225DB" w:rsidP="008225DB">
      <w:pPr>
        <w:bidi w:val="0"/>
        <w:ind w:firstLine="708"/>
        <w:jc w:val="both"/>
        <w:rPr>
          <w:rFonts w:ascii="Times New Roman" w:hAnsi="Times New Roman"/>
        </w:rPr>
      </w:pPr>
      <w:r>
        <w:rPr>
          <w:rFonts w:ascii="Times New Roman" w:hAnsi="Times New Roman"/>
        </w:rPr>
        <w:t xml:space="preserve">Kancelária Rady pre rozpočtovú zodpovednosť (ďalej len „KRRZ“) zabezpečuje správu organizačných, administratívnych, personálnych, odborných a technických činností Rady pre rozpočtovú zodpovednosť, ktorá je nezávislou inštitúciou na monitorovanie a hodnotenie vývoja hospodárenia SR a hodnotenia plnenia pravidiel rozpočtovej zodpovednosti. Samostatne rozhoduje o rozpočte KRRZ. </w:t>
      </w:r>
    </w:p>
    <w:p w:rsidR="008225DB" w:rsidRPr="006A4968" w:rsidP="008225DB">
      <w:pPr>
        <w:pStyle w:val="FootnoteText"/>
        <w:bidi w:val="0"/>
        <w:jc w:val="both"/>
        <w:rPr>
          <w:rFonts w:ascii="Times New Roman" w:hAnsi="Times New Roman"/>
          <w:noProof/>
          <w:sz w:val="16"/>
          <w:szCs w:val="16"/>
          <w:lang w:eastAsia="sk-SK"/>
        </w:rPr>
      </w:pPr>
    </w:p>
    <w:p w:rsidR="008225DB" w:rsidP="008225DB">
      <w:pPr>
        <w:pStyle w:val="FootnoteText"/>
        <w:bidi w:val="0"/>
        <w:ind w:firstLine="708"/>
        <w:jc w:val="both"/>
        <w:rPr>
          <w:rFonts w:ascii="Times New Roman" w:hAnsi="Times New Roman"/>
          <w:noProof/>
          <w:lang w:eastAsia="sk-SK"/>
        </w:rPr>
      </w:pPr>
      <w:r>
        <w:rPr>
          <w:rFonts w:ascii="Times New Roman" w:hAnsi="Times New Roman"/>
          <w:noProof/>
          <w:lang w:eastAsia="sk-SK"/>
        </w:rPr>
        <w:t>Výdavky KRRZ sú financované z rozpočtu Národnej banky Slovenska (ďalej len „NBS“). Tieto výdavky sa NBS bezodkladne uhradia zo štátneho rozpočtu, ak o to NBS požiada Ministerstvo financií SR, v zmysle Čl. 3 ods. 8 ústavného zákona č. 493/2011 Z. z.  o rozpočtovej zodpovednosti.</w:t>
      </w:r>
    </w:p>
    <w:p w:rsidR="008225DB" w:rsidRPr="006A4968" w:rsidP="008225DB">
      <w:pPr>
        <w:bidi w:val="0"/>
        <w:jc w:val="both"/>
        <w:rPr>
          <w:rFonts w:ascii="Times New Roman" w:hAnsi="Times New Roman"/>
          <w:sz w:val="16"/>
          <w:szCs w:val="16"/>
        </w:rPr>
      </w:pPr>
    </w:p>
    <w:p w:rsidR="008225DB" w:rsidP="008225DB">
      <w:pPr>
        <w:bidi w:val="0"/>
        <w:ind w:firstLine="708"/>
        <w:jc w:val="both"/>
        <w:rPr>
          <w:rFonts w:ascii="Times New Roman" w:hAnsi="Times New Roman"/>
        </w:rPr>
      </w:pPr>
      <w:r>
        <w:rPr>
          <w:rFonts w:ascii="Times New Roman" w:hAnsi="Times New Roman"/>
        </w:rPr>
        <w:t>Celkové výdavky KRRZ na rok 2016 sú rozpočtované vo výške 1 214 tis. eur a v porovnaní so schváleným rozpočtom roku 2015 medziročne klesajú o 9 tis. eur (0,7%).</w:t>
      </w:r>
    </w:p>
    <w:p w:rsidR="008225DB" w:rsidRPr="006A4968" w:rsidP="008225DB">
      <w:pPr>
        <w:bidi w:val="0"/>
        <w:jc w:val="both"/>
        <w:rPr>
          <w:rFonts w:ascii="Times New Roman" w:hAnsi="Times New Roman"/>
          <w:sz w:val="16"/>
          <w:szCs w:val="16"/>
        </w:rPr>
      </w:pPr>
    </w:p>
    <w:p w:rsidR="008225DB" w:rsidP="008225DB">
      <w:pPr>
        <w:bidi w:val="0"/>
        <w:ind w:firstLine="708"/>
        <w:jc w:val="both"/>
        <w:rPr>
          <w:rFonts w:ascii="Times New Roman" w:hAnsi="Times New Roman"/>
        </w:rPr>
      </w:pPr>
      <w:r>
        <w:rPr>
          <w:rFonts w:ascii="Times New Roman" w:hAnsi="Times New Roman"/>
        </w:rPr>
        <w:t>Rozpočtované osobné výdavky na rok 2016 sú oproti schválené</w:t>
      </w:r>
      <w:r w:rsidR="006244B6">
        <w:rPr>
          <w:rFonts w:ascii="Times New Roman" w:hAnsi="Times New Roman"/>
        </w:rPr>
        <w:t>mu</w:t>
      </w:r>
      <w:r>
        <w:rPr>
          <w:rFonts w:ascii="Times New Roman" w:hAnsi="Times New Roman"/>
        </w:rPr>
        <w:t xml:space="preserve"> rozpočtu</w:t>
      </w:r>
      <w:r w:rsidR="006244B6">
        <w:rPr>
          <w:rFonts w:ascii="Times New Roman" w:hAnsi="Times New Roman"/>
        </w:rPr>
        <w:t xml:space="preserve"> 2015 vyššie, a to z titulu 2,5</w:t>
      </w:r>
      <w:r>
        <w:rPr>
          <w:rFonts w:ascii="Times New Roman" w:hAnsi="Times New Roman"/>
        </w:rPr>
        <w:t>% valorizácie realizovanej od 1. januára 2015. Výdavky na tovary a služby klesajú z úrovne 651 tis. eur v roku 2015 o 10 tis. eur z dôvodu nižších výdavkov na IT infraštruktúru. Bežné transfery sa v návrhu rozpočtu na rok 2016 medziročne nemenia. Alokované sú na dvoch položkách, ako je transfer na odstupné v objeme 27 tis. eur a príspevok medzinárodnej organizácii, ktorej zriadenie sa zatiaľ len pripravuje. Návrh rozpočtu nepredpokladá v roku 2016 kapitálové výdavky. Po upresnení predmetu obstarávania môže dôjsť k čiastočnému presunu bežných výdavkov na kapitálové.</w:t>
      </w:r>
    </w:p>
    <w:p w:rsidR="008225DB" w:rsidRPr="006A4968" w:rsidP="008225DB">
      <w:pPr>
        <w:bidi w:val="0"/>
        <w:jc w:val="both"/>
        <w:rPr>
          <w:rFonts w:ascii="Times New Roman" w:hAnsi="Times New Roman"/>
          <w:sz w:val="16"/>
          <w:szCs w:val="16"/>
        </w:rPr>
      </w:pPr>
    </w:p>
    <w:p w:rsidR="008225DB" w:rsidRPr="00DD0A1B" w:rsidP="008225DB">
      <w:pPr>
        <w:bidi w:val="0"/>
        <w:ind w:firstLine="708"/>
        <w:jc w:val="both"/>
        <w:rPr>
          <w:rFonts w:ascii="Times New Roman" w:hAnsi="Times New Roman"/>
        </w:rPr>
      </w:pPr>
      <w:r>
        <w:rPr>
          <w:rFonts w:ascii="Times New Roman" w:hAnsi="Times New Roman"/>
        </w:rPr>
        <w:t xml:space="preserve">Celkový prebytok KRRZ na hotovostnej báze je rozpočtovaný v roku 2016 na úrovni       214 tis. eur, v roku 2017 na úrovni 330 tis. eur a v roku 2018 na úrovni 474 tis. eur, pričom v metodike ESA 2010 sa predpokladá prebytok v roku 2016 vo výške 86 tis. eur, v roku 2017 vo výške 116 tis. eur a v roku 2018 sa predpokladá prebytok vo výške 144 tis. eur. </w:t>
      </w:r>
    </w:p>
    <w:p w:rsidR="008225DB" w:rsidRPr="006B53D9" w:rsidP="008225DB">
      <w:pPr>
        <w:bidi w:val="0"/>
        <w:ind w:firstLine="708"/>
        <w:jc w:val="both"/>
        <w:rPr>
          <w:rFonts w:ascii="Times New Roman" w:hAnsi="Times New Roman"/>
          <w:sz w:val="16"/>
          <w:szCs w:val="16"/>
        </w:rPr>
      </w:pPr>
    </w:p>
    <w:p w:rsidR="008225DB" w:rsidP="008225DB">
      <w:pPr>
        <w:bidi w:val="0"/>
        <w:ind w:firstLine="708"/>
        <w:jc w:val="both"/>
        <w:rPr>
          <w:rFonts w:ascii="Times New Roman" w:hAnsi="Times New Roman"/>
        </w:rPr>
      </w:pPr>
      <w:r>
        <w:rPr>
          <w:rFonts w:ascii="Times New Roman" w:hAnsi="Times New Roman"/>
        </w:rPr>
        <w:t>Vývoj príjmovej a výdavkovej časti rozpočtu KRRZ na roky 2016 až 2018 je nasledovný:</w:t>
      </w:r>
    </w:p>
    <w:p w:rsidR="008225DB" w:rsidRPr="006B53D9" w:rsidP="008225DB">
      <w:pPr>
        <w:bidi w:val="0"/>
        <w:ind w:firstLine="708"/>
        <w:jc w:val="both"/>
        <w:rPr>
          <w:rFonts w:ascii="Times New Roman" w:hAnsi="Times New Roman"/>
          <w:sz w:val="16"/>
          <w:szCs w:val="16"/>
        </w:rPr>
      </w:pPr>
    </w:p>
    <w:tbl>
      <w:tblPr>
        <w:tblStyle w:val="TableNormal"/>
        <w:tblW w:w="8980" w:type="dxa"/>
        <w:tblInd w:w="55" w:type="dxa"/>
        <w:tblCellMar>
          <w:left w:w="70" w:type="dxa"/>
          <w:right w:w="70" w:type="dxa"/>
        </w:tblCellMar>
        <w:tblLook w:val="04A0"/>
      </w:tblPr>
      <w:tblGrid>
        <w:gridCol w:w="3240"/>
        <w:gridCol w:w="820"/>
        <w:gridCol w:w="820"/>
        <w:gridCol w:w="820"/>
        <w:gridCol w:w="820"/>
        <w:gridCol w:w="820"/>
        <w:gridCol w:w="820"/>
        <w:gridCol w:w="820"/>
      </w:tblGrid>
      <w:tr>
        <w:tblPrEx>
          <w:tblW w:w="8980" w:type="dxa"/>
          <w:tblInd w:w="55" w:type="dxa"/>
          <w:tblCellMar>
            <w:left w:w="70" w:type="dxa"/>
            <w:right w:w="70" w:type="dxa"/>
          </w:tblCellMar>
          <w:tblLook w:val="04A0"/>
        </w:tblPrEx>
        <w:trPr>
          <w:trHeight w:val="225"/>
        </w:trPr>
        <w:tc>
          <w:tcPr>
            <w:tcW w:w="3240" w:type="dxa"/>
            <w:tcBorders>
              <w:top w:val="single" w:sz="4" w:space="0" w:color="auto"/>
              <w:left w:val="single" w:sz="4" w:space="0" w:color="auto"/>
              <w:bottom w:val="single" w:sz="4" w:space="0" w:color="auto"/>
              <w:right w:val="single" w:sz="4" w:space="0" w:color="auto"/>
            </w:tcBorders>
            <w:shd w:val="clear" w:color="000000" w:fill="A6A6A6"/>
            <w:textDirection w:val="lrTb"/>
            <w:vAlign w:val="center"/>
            <w:hideMark/>
          </w:tcPr>
          <w:p w:rsidR="008225DB" w:rsidRPr="00B9620F" w:rsidP="000008FE">
            <w:pPr>
              <w:bidi w:val="0"/>
              <w:rPr>
                <w:rFonts w:ascii="Times New Roman" w:hAnsi="Times New Roman"/>
                <w:b/>
                <w:bCs/>
                <w:sz w:val="16"/>
                <w:szCs w:val="16"/>
              </w:rPr>
            </w:pPr>
            <w:r w:rsidRPr="00B9620F">
              <w:rPr>
                <w:rFonts w:ascii="Times New Roman" w:hAnsi="Times New Roman"/>
                <w:b/>
                <w:bCs/>
                <w:sz w:val="16"/>
                <w:szCs w:val="16"/>
              </w:rPr>
              <w:t>v tis. eur</w:t>
            </w:r>
          </w:p>
        </w:tc>
        <w:tc>
          <w:tcPr>
            <w:tcW w:w="82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8225DB" w:rsidRPr="00B9620F" w:rsidP="000008FE">
            <w:pPr>
              <w:bidi w:val="0"/>
              <w:jc w:val="center"/>
              <w:rPr>
                <w:rFonts w:ascii="Times New Roman" w:hAnsi="Times New Roman"/>
                <w:b/>
                <w:bCs/>
                <w:sz w:val="16"/>
                <w:szCs w:val="16"/>
              </w:rPr>
            </w:pPr>
            <w:r w:rsidRPr="00B9620F">
              <w:rPr>
                <w:rFonts w:ascii="Times New Roman" w:hAnsi="Times New Roman"/>
                <w:b/>
                <w:bCs/>
                <w:sz w:val="16"/>
                <w:szCs w:val="16"/>
              </w:rPr>
              <w:t>2013 S</w:t>
            </w:r>
          </w:p>
        </w:tc>
        <w:tc>
          <w:tcPr>
            <w:tcW w:w="82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8225DB" w:rsidRPr="00B9620F" w:rsidP="000008FE">
            <w:pPr>
              <w:bidi w:val="0"/>
              <w:jc w:val="center"/>
              <w:rPr>
                <w:rFonts w:ascii="Times New Roman" w:hAnsi="Times New Roman"/>
                <w:b/>
                <w:bCs/>
                <w:sz w:val="16"/>
                <w:szCs w:val="16"/>
              </w:rPr>
            </w:pPr>
            <w:r w:rsidRPr="00B9620F">
              <w:rPr>
                <w:rFonts w:ascii="Times New Roman" w:hAnsi="Times New Roman"/>
                <w:b/>
                <w:bCs/>
                <w:sz w:val="16"/>
                <w:szCs w:val="16"/>
              </w:rPr>
              <w:t>2014 S</w:t>
            </w:r>
          </w:p>
        </w:tc>
        <w:tc>
          <w:tcPr>
            <w:tcW w:w="82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8225DB" w:rsidRPr="00B9620F" w:rsidP="000008FE">
            <w:pPr>
              <w:bidi w:val="0"/>
              <w:jc w:val="center"/>
              <w:rPr>
                <w:rFonts w:ascii="Times New Roman" w:hAnsi="Times New Roman"/>
                <w:b/>
                <w:bCs/>
                <w:sz w:val="16"/>
                <w:szCs w:val="16"/>
              </w:rPr>
            </w:pPr>
            <w:r w:rsidRPr="00B9620F">
              <w:rPr>
                <w:rFonts w:ascii="Times New Roman" w:hAnsi="Times New Roman"/>
                <w:b/>
                <w:bCs/>
                <w:sz w:val="16"/>
                <w:szCs w:val="16"/>
              </w:rPr>
              <w:t>2015 R</w:t>
            </w:r>
          </w:p>
        </w:tc>
        <w:tc>
          <w:tcPr>
            <w:tcW w:w="82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8225DB" w:rsidRPr="00B9620F" w:rsidP="000008FE">
            <w:pPr>
              <w:bidi w:val="0"/>
              <w:jc w:val="center"/>
              <w:rPr>
                <w:rFonts w:ascii="Times New Roman" w:hAnsi="Times New Roman"/>
                <w:b/>
                <w:bCs/>
                <w:sz w:val="16"/>
                <w:szCs w:val="16"/>
              </w:rPr>
            </w:pPr>
            <w:r w:rsidRPr="00B9620F">
              <w:rPr>
                <w:rFonts w:ascii="Times New Roman" w:hAnsi="Times New Roman"/>
                <w:b/>
                <w:bCs/>
                <w:sz w:val="16"/>
                <w:szCs w:val="16"/>
              </w:rPr>
              <w:t>2015 OS</w:t>
            </w:r>
          </w:p>
        </w:tc>
        <w:tc>
          <w:tcPr>
            <w:tcW w:w="82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8225DB" w:rsidRPr="00B9620F" w:rsidP="000008FE">
            <w:pPr>
              <w:bidi w:val="0"/>
              <w:jc w:val="center"/>
              <w:rPr>
                <w:rFonts w:ascii="Times New Roman" w:hAnsi="Times New Roman"/>
                <w:b/>
                <w:bCs/>
                <w:sz w:val="16"/>
                <w:szCs w:val="16"/>
              </w:rPr>
            </w:pPr>
            <w:r w:rsidRPr="00B9620F">
              <w:rPr>
                <w:rFonts w:ascii="Times New Roman" w:hAnsi="Times New Roman"/>
                <w:b/>
                <w:bCs/>
                <w:sz w:val="16"/>
                <w:szCs w:val="16"/>
              </w:rPr>
              <w:t>2016 N</w:t>
            </w:r>
          </w:p>
        </w:tc>
        <w:tc>
          <w:tcPr>
            <w:tcW w:w="82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8225DB" w:rsidRPr="00B9620F" w:rsidP="000008FE">
            <w:pPr>
              <w:bidi w:val="0"/>
              <w:jc w:val="center"/>
              <w:rPr>
                <w:rFonts w:ascii="Times New Roman" w:hAnsi="Times New Roman"/>
                <w:b/>
                <w:bCs/>
                <w:sz w:val="16"/>
                <w:szCs w:val="16"/>
              </w:rPr>
            </w:pPr>
            <w:r w:rsidRPr="00B9620F">
              <w:rPr>
                <w:rFonts w:ascii="Times New Roman" w:hAnsi="Times New Roman"/>
                <w:b/>
                <w:bCs/>
                <w:sz w:val="16"/>
                <w:szCs w:val="16"/>
              </w:rPr>
              <w:t>2017 N</w:t>
            </w:r>
          </w:p>
        </w:tc>
        <w:tc>
          <w:tcPr>
            <w:tcW w:w="820" w:type="dxa"/>
            <w:tcBorders>
              <w:top w:val="single" w:sz="4" w:space="0" w:color="auto"/>
              <w:left w:val="nil"/>
              <w:bottom w:val="single" w:sz="4" w:space="0" w:color="auto"/>
              <w:right w:val="single" w:sz="4" w:space="0" w:color="auto"/>
            </w:tcBorders>
            <w:shd w:val="clear" w:color="000000" w:fill="A6A6A6"/>
            <w:textDirection w:val="lrTb"/>
            <w:vAlign w:val="center"/>
            <w:hideMark/>
          </w:tcPr>
          <w:p w:rsidR="008225DB" w:rsidRPr="00B9620F" w:rsidP="000008FE">
            <w:pPr>
              <w:bidi w:val="0"/>
              <w:jc w:val="center"/>
              <w:rPr>
                <w:rFonts w:ascii="Times New Roman" w:hAnsi="Times New Roman"/>
                <w:b/>
                <w:bCs/>
                <w:sz w:val="16"/>
                <w:szCs w:val="16"/>
              </w:rPr>
            </w:pPr>
            <w:r w:rsidRPr="00B9620F">
              <w:rPr>
                <w:rFonts w:ascii="Times New Roman" w:hAnsi="Times New Roman"/>
                <w:b/>
                <w:bCs/>
                <w:sz w:val="16"/>
                <w:szCs w:val="16"/>
              </w:rPr>
              <w:t>2018 N</w:t>
            </w: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8225DB" w:rsidRPr="00B9620F" w:rsidP="000008FE">
            <w:pPr>
              <w:bidi w:val="0"/>
              <w:rPr>
                <w:rFonts w:ascii="Times New Roman" w:hAnsi="Times New Roman"/>
                <w:b/>
                <w:bCs/>
                <w:sz w:val="16"/>
                <w:szCs w:val="16"/>
              </w:rPr>
            </w:pPr>
            <w:r w:rsidRPr="00B9620F">
              <w:rPr>
                <w:rFonts w:ascii="Times New Roman" w:hAnsi="Times New Roman"/>
                <w:b/>
                <w:bCs/>
                <w:sz w:val="16"/>
                <w:szCs w:val="16"/>
              </w:rPr>
              <w:t>Príjmy KRRZ  spolu</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1 139</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1 036</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1 516</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1 420</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1 428</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1 594</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1 710</w:t>
            </w: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single" w:sz="4" w:space="0" w:color="auto"/>
              <w:right w:val="single" w:sz="4" w:space="0" w:color="auto"/>
            </w:tcBorders>
            <w:textDirection w:val="lrTb"/>
            <w:vAlign w:val="center"/>
            <w:hideMark/>
          </w:tcPr>
          <w:p w:rsidR="008225DB" w:rsidRPr="00B9620F" w:rsidP="000008FE">
            <w:pPr>
              <w:bidi w:val="0"/>
              <w:rPr>
                <w:rFonts w:ascii="Times New Roman" w:hAnsi="Times New Roman"/>
                <w:sz w:val="16"/>
                <w:szCs w:val="16"/>
              </w:rPr>
            </w:pPr>
            <w:r w:rsidRPr="00B9620F">
              <w:rPr>
                <w:rFonts w:ascii="Times New Roman" w:hAnsi="Times New Roman"/>
                <w:sz w:val="16"/>
                <w:szCs w:val="16"/>
              </w:rPr>
              <w:t xml:space="preserve">     ▪   nedaňové príjmy</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0</w:t>
            </w: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single" w:sz="4" w:space="0" w:color="auto"/>
              <w:right w:val="single" w:sz="4" w:space="0" w:color="auto"/>
            </w:tcBorders>
            <w:textDirection w:val="lrTb"/>
            <w:vAlign w:val="center"/>
            <w:hideMark/>
          </w:tcPr>
          <w:p w:rsidR="008225DB" w:rsidRPr="00B9620F" w:rsidP="000008FE">
            <w:pPr>
              <w:bidi w:val="0"/>
              <w:rPr>
                <w:rFonts w:ascii="Times New Roman" w:hAnsi="Times New Roman"/>
                <w:sz w:val="16"/>
                <w:szCs w:val="16"/>
              </w:rPr>
            </w:pPr>
            <w:r w:rsidRPr="00B9620F">
              <w:rPr>
                <w:rFonts w:ascii="Times New Roman" w:hAnsi="Times New Roman"/>
                <w:sz w:val="16"/>
                <w:szCs w:val="16"/>
              </w:rPr>
              <w:t xml:space="preserve">     ▪   transfer od NBS</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1 036</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707</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1 282</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1 300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1 300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1 380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1 380</w:t>
            </w: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nil"/>
              <w:right w:val="single" w:sz="4" w:space="0" w:color="auto"/>
            </w:tcBorders>
            <w:textDirection w:val="lrTb"/>
            <w:vAlign w:val="center"/>
            <w:hideMark/>
          </w:tcPr>
          <w:p w:rsidR="008225DB" w:rsidRPr="00B9620F" w:rsidP="000008FE">
            <w:pPr>
              <w:bidi w:val="0"/>
              <w:rPr>
                <w:rFonts w:ascii="Times New Roman" w:hAnsi="Times New Roman"/>
                <w:sz w:val="16"/>
                <w:szCs w:val="16"/>
              </w:rPr>
            </w:pPr>
            <w:r w:rsidRPr="00B9620F">
              <w:rPr>
                <w:rFonts w:ascii="Times New Roman" w:hAnsi="Times New Roman"/>
                <w:sz w:val="16"/>
                <w:szCs w:val="16"/>
              </w:rPr>
              <w:t xml:space="preserve">     ▪   zostatok prostr. z predch. rokov </w:t>
            </w:r>
          </w:p>
        </w:tc>
        <w:tc>
          <w:tcPr>
            <w:tcW w:w="820" w:type="dxa"/>
            <w:vMerge w:val="restart"/>
            <w:tcBorders>
              <w:top w:val="nil"/>
              <w:left w:val="single" w:sz="4" w:space="0" w:color="auto"/>
              <w:bottom w:val="single" w:sz="4" w:space="0" w:color="000000"/>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103</w:t>
            </w:r>
          </w:p>
        </w:tc>
        <w:tc>
          <w:tcPr>
            <w:tcW w:w="820" w:type="dxa"/>
            <w:vMerge w:val="restart"/>
            <w:tcBorders>
              <w:top w:val="nil"/>
              <w:left w:val="single" w:sz="4" w:space="0" w:color="auto"/>
              <w:bottom w:val="single" w:sz="4" w:space="0" w:color="000000"/>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329</w:t>
            </w:r>
          </w:p>
        </w:tc>
        <w:tc>
          <w:tcPr>
            <w:tcW w:w="820" w:type="dxa"/>
            <w:vMerge w:val="restart"/>
            <w:tcBorders>
              <w:top w:val="nil"/>
              <w:left w:val="single" w:sz="4" w:space="0" w:color="auto"/>
              <w:bottom w:val="single" w:sz="4" w:space="0" w:color="000000"/>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234</w:t>
            </w:r>
          </w:p>
        </w:tc>
        <w:tc>
          <w:tcPr>
            <w:tcW w:w="820" w:type="dxa"/>
            <w:vMerge w:val="restart"/>
            <w:tcBorders>
              <w:top w:val="nil"/>
              <w:left w:val="single" w:sz="4" w:space="0" w:color="auto"/>
              <w:bottom w:val="single" w:sz="4" w:space="0" w:color="000000"/>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120</w:t>
            </w:r>
          </w:p>
        </w:tc>
        <w:tc>
          <w:tcPr>
            <w:tcW w:w="820" w:type="dxa"/>
            <w:vMerge w:val="restart"/>
            <w:tcBorders>
              <w:top w:val="nil"/>
              <w:left w:val="single" w:sz="4" w:space="0" w:color="auto"/>
              <w:bottom w:val="single" w:sz="4" w:space="0" w:color="000000"/>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128</w:t>
            </w:r>
          </w:p>
        </w:tc>
        <w:tc>
          <w:tcPr>
            <w:tcW w:w="820" w:type="dxa"/>
            <w:vMerge w:val="restart"/>
            <w:tcBorders>
              <w:top w:val="nil"/>
              <w:left w:val="single" w:sz="4" w:space="0" w:color="auto"/>
              <w:bottom w:val="single" w:sz="4" w:space="0" w:color="000000"/>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214</w:t>
            </w:r>
          </w:p>
        </w:tc>
        <w:tc>
          <w:tcPr>
            <w:tcW w:w="820" w:type="dxa"/>
            <w:vMerge w:val="restart"/>
            <w:tcBorders>
              <w:top w:val="nil"/>
              <w:left w:val="single" w:sz="4" w:space="0" w:color="auto"/>
              <w:bottom w:val="single" w:sz="4" w:space="0" w:color="000000"/>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330</w:t>
            </w: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single" w:sz="4" w:space="0" w:color="auto"/>
              <w:right w:val="single" w:sz="4" w:space="0" w:color="auto"/>
            </w:tcBorders>
            <w:textDirection w:val="lrTb"/>
            <w:vAlign w:val="center"/>
            <w:hideMark/>
          </w:tcPr>
          <w:p w:rsidR="008225DB" w:rsidRPr="00B9620F" w:rsidP="000008FE">
            <w:pPr>
              <w:bidi w:val="0"/>
              <w:ind w:firstLine="320" w:firstLineChars="200"/>
              <w:rPr>
                <w:rFonts w:ascii="Times New Roman" w:hAnsi="Times New Roman"/>
                <w:sz w:val="16"/>
                <w:szCs w:val="16"/>
              </w:rPr>
            </w:pPr>
            <w:r w:rsidRPr="00B9620F">
              <w:rPr>
                <w:rFonts w:ascii="Times New Roman" w:hAnsi="Times New Roman"/>
                <w:sz w:val="16"/>
                <w:szCs w:val="16"/>
              </w:rPr>
              <w:t xml:space="preserve">  a prevod prostr. z peň. fondov (FO)</w:t>
            </w:r>
          </w:p>
        </w:tc>
        <w:tc>
          <w:tcPr>
            <w:tcW w:w="820" w:type="dxa"/>
            <w:vMerge/>
            <w:tcBorders>
              <w:top w:val="nil"/>
              <w:left w:val="single" w:sz="4" w:space="0" w:color="auto"/>
              <w:bottom w:val="single" w:sz="4" w:space="0" w:color="000000"/>
              <w:right w:val="single" w:sz="4" w:space="0" w:color="auto"/>
            </w:tcBorders>
            <w:textDirection w:val="lrTb"/>
            <w:vAlign w:val="center"/>
            <w:hideMark/>
          </w:tcPr>
          <w:p w:rsidR="008225DB" w:rsidRPr="00B9620F" w:rsidP="000008FE">
            <w:pPr>
              <w:bidi w:val="0"/>
              <w:rPr>
                <w:rFonts w:ascii="Times New Roman" w:hAnsi="Times New Roman"/>
                <w:sz w:val="16"/>
                <w:szCs w:val="16"/>
              </w:rPr>
            </w:pPr>
          </w:p>
        </w:tc>
        <w:tc>
          <w:tcPr>
            <w:tcW w:w="820" w:type="dxa"/>
            <w:vMerge/>
            <w:tcBorders>
              <w:top w:val="nil"/>
              <w:left w:val="single" w:sz="4" w:space="0" w:color="auto"/>
              <w:bottom w:val="single" w:sz="4" w:space="0" w:color="000000"/>
              <w:right w:val="single" w:sz="4" w:space="0" w:color="auto"/>
            </w:tcBorders>
            <w:textDirection w:val="lrTb"/>
            <w:vAlign w:val="center"/>
            <w:hideMark/>
          </w:tcPr>
          <w:p w:rsidR="008225DB" w:rsidRPr="00B9620F" w:rsidP="000008FE">
            <w:pPr>
              <w:bidi w:val="0"/>
              <w:rPr>
                <w:rFonts w:ascii="Times New Roman" w:hAnsi="Times New Roman"/>
                <w:sz w:val="16"/>
                <w:szCs w:val="16"/>
              </w:rPr>
            </w:pPr>
          </w:p>
        </w:tc>
        <w:tc>
          <w:tcPr>
            <w:tcW w:w="820" w:type="dxa"/>
            <w:vMerge/>
            <w:tcBorders>
              <w:top w:val="nil"/>
              <w:left w:val="single" w:sz="4" w:space="0" w:color="auto"/>
              <w:bottom w:val="single" w:sz="4" w:space="0" w:color="000000"/>
              <w:right w:val="single" w:sz="4" w:space="0" w:color="auto"/>
            </w:tcBorders>
            <w:textDirection w:val="lrTb"/>
            <w:vAlign w:val="center"/>
            <w:hideMark/>
          </w:tcPr>
          <w:p w:rsidR="008225DB" w:rsidRPr="00B9620F" w:rsidP="000008FE">
            <w:pPr>
              <w:bidi w:val="0"/>
              <w:rPr>
                <w:rFonts w:ascii="Times New Roman" w:hAnsi="Times New Roman"/>
                <w:sz w:val="16"/>
                <w:szCs w:val="16"/>
              </w:rPr>
            </w:pPr>
          </w:p>
        </w:tc>
        <w:tc>
          <w:tcPr>
            <w:tcW w:w="820" w:type="dxa"/>
            <w:vMerge/>
            <w:tcBorders>
              <w:top w:val="nil"/>
              <w:left w:val="single" w:sz="4" w:space="0" w:color="auto"/>
              <w:bottom w:val="single" w:sz="4" w:space="0" w:color="000000"/>
              <w:right w:val="single" w:sz="4" w:space="0" w:color="auto"/>
            </w:tcBorders>
            <w:textDirection w:val="lrTb"/>
            <w:vAlign w:val="center"/>
            <w:hideMark/>
          </w:tcPr>
          <w:p w:rsidR="008225DB" w:rsidRPr="00B9620F" w:rsidP="000008FE">
            <w:pPr>
              <w:bidi w:val="0"/>
              <w:rPr>
                <w:rFonts w:ascii="Times New Roman" w:hAnsi="Times New Roman"/>
                <w:sz w:val="16"/>
                <w:szCs w:val="16"/>
              </w:rPr>
            </w:pPr>
          </w:p>
        </w:tc>
        <w:tc>
          <w:tcPr>
            <w:tcW w:w="820" w:type="dxa"/>
            <w:vMerge/>
            <w:tcBorders>
              <w:top w:val="nil"/>
              <w:left w:val="single" w:sz="4" w:space="0" w:color="auto"/>
              <w:bottom w:val="single" w:sz="4" w:space="0" w:color="000000"/>
              <w:right w:val="single" w:sz="4" w:space="0" w:color="auto"/>
            </w:tcBorders>
            <w:textDirection w:val="lrTb"/>
            <w:vAlign w:val="center"/>
            <w:hideMark/>
          </w:tcPr>
          <w:p w:rsidR="008225DB" w:rsidRPr="00B9620F" w:rsidP="000008FE">
            <w:pPr>
              <w:bidi w:val="0"/>
              <w:rPr>
                <w:rFonts w:ascii="Times New Roman" w:hAnsi="Times New Roman"/>
                <w:sz w:val="16"/>
                <w:szCs w:val="16"/>
              </w:rPr>
            </w:pPr>
          </w:p>
        </w:tc>
        <w:tc>
          <w:tcPr>
            <w:tcW w:w="820" w:type="dxa"/>
            <w:vMerge/>
            <w:tcBorders>
              <w:top w:val="nil"/>
              <w:left w:val="single" w:sz="4" w:space="0" w:color="auto"/>
              <w:bottom w:val="single" w:sz="4" w:space="0" w:color="000000"/>
              <w:right w:val="single" w:sz="4" w:space="0" w:color="auto"/>
            </w:tcBorders>
            <w:textDirection w:val="lrTb"/>
            <w:vAlign w:val="center"/>
            <w:hideMark/>
          </w:tcPr>
          <w:p w:rsidR="008225DB" w:rsidRPr="00B9620F" w:rsidP="000008FE">
            <w:pPr>
              <w:bidi w:val="0"/>
              <w:rPr>
                <w:rFonts w:ascii="Times New Roman" w:hAnsi="Times New Roman"/>
                <w:sz w:val="16"/>
                <w:szCs w:val="16"/>
              </w:rPr>
            </w:pPr>
          </w:p>
        </w:tc>
        <w:tc>
          <w:tcPr>
            <w:tcW w:w="820" w:type="dxa"/>
            <w:vMerge/>
            <w:tcBorders>
              <w:top w:val="nil"/>
              <w:left w:val="single" w:sz="4" w:space="0" w:color="auto"/>
              <w:bottom w:val="single" w:sz="4" w:space="0" w:color="000000"/>
              <w:right w:val="single" w:sz="4" w:space="0" w:color="auto"/>
            </w:tcBorders>
            <w:textDirection w:val="lrTb"/>
            <w:vAlign w:val="center"/>
            <w:hideMark/>
          </w:tcPr>
          <w:p w:rsidR="008225DB" w:rsidRPr="00B9620F" w:rsidP="000008FE">
            <w:pPr>
              <w:bidi w:val="0"/>
              <w:rPr>
                <w:rFonts w:ascii="Times New Roman" w:hAnsi="Times New Roman"/>
                <w:sz w:val="16"/>
                <w:szCs w:val="16"/>
              </w:rPr>
            </w:pP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8225DB" w:rsidRPr="00B9620F" w:rsidP="000008FE">
            <w:pPr>
              <w:bidi w:val="0"/>
              <w:rPr>
                <w:rFonts w:ascii="Times New Roman" w:hAnsi="Times New Roman"/>
                <w:b/>
                <w:bCs/>
                <w:sz w:val="16"/>
                <w:szCs w:val="16"/>
              </w:rPr>
            </w:pPr>
            <w:r w:rsidRPr="00B9620F">
              <w:rPr>
                <w:rFonts w:ascii="Times New Roman" w:hAnsi="Times New Roman"/>
                <w:b/>
                <w:bCs/>
                <w:sz w:val="16"/>
                <w:szCs w:val="16"/>
              </w:rPr>
              <w:t>Výdavky KRRZ  spolu</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811</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916</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1 223</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1 292</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1 214</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1 264</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1 236</w:t>
            </w: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single" w:sz="4" w:space="0" w:color="auto"/>
              <w:right w:val="single" w:sz="4" w:space="0" w:color="auto"/>
            </w:tcBorders>
            <w:textDirection w:val="lrTb"/>
            <w:vAlign w:val="center"/>
            <w:hideMark/>
          </w:tcPr>
          <w:p w:rsidR="008225DB" w:rsidRPr="00B9620F" w:rsidP="000008FE">
            <w:pPr>
              <w:bidi w:val="0"/>
              <w:rPr>
                <w:rFonts w:ascii="Times New Roman" w:hAnsi="Times New Roman"/>
                <w:sz w:val="16"/>
                <w:szCs w:val="16"/>
              </w:rPr>
            </w:pPr>
            <w:r w:rsidRPr="00B9620F">
              <w:rPr>
                <w:rFonts w:ascii="Times New Roman" w:hAnsi="Times New Roman"/>
                <w:sz w:val="16"/>
                <w:szCs w:val="16"/>
              </w:rPr>
              <w:t xml:space="preserve">     ▪   bežné výdavky</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807</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914</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1 211</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1 292</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1 214</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1 264</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1 236</w:t>
            </w: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single" w:sz="4" w:space="0" w:color="auto"/>
              <w:right w:val="single" w:sz="4" w:space="0" w:color="auto"/>
            </w:tcBorders>
            <w:textDirection w:val="lrTb"/>
            <w:vAlign w:val="center"/>
            <w:hideMark/>
          </w:tcPr>
          <w:p w:rsidR="008225DB" w:rsidRPr="00B9620F" w:rsidP="000008FE">
            <w:pPr>
              <w:bidi w:val="0"/>
              <w:rPr>
                <w:rFonts w:ascii="Times New Roman" w:hAnsi="Times New Roman"/>
                <w:sz w:val="16"/>
                <w:szCs w:val="16"/>
              </w:rPr>
            </w:pPr>
            <w:r w:rsidRPr="00B9620F">
              <w:rPr>
                <w:rFonts w:ascii="Times New Roman" w:hAnsi="Times New Roman"/>
                <w:sz w:val="16"/>
                <w:szCs w:val="16"/>
              </w:rPr>
              <w:t xml:space="preserve">          mzdy</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271</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373</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394</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460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403</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403</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403</w:t>
            </w: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single" w:sz="4" w:space="0" w:color="auto"/>
              <w:right w:val="single" w:sz="4" w:space="0" w:color="auto"/>
            </w:tcBorders>
            <w:textDirection w:val="lrTb"/>
            <w:vAlign w:val="center"/>
            <w:hideMark/>
          </w:tcPr>
          <w:p w:rsidR="008225DB" w:rsidRPr="00B9620F" w:rsidP="000008FE">
            <w:pPr>
              <w:bidi w:val="0"/>
              <w:rPr>
                <w:rFonts w:ascii="Times New Roman" w:hAnsi="Times New Roman"/>
                <w:sz w:val="16"/>
                <w:szCs w:val="16"/>
              </w:rPr>
            </w:pPr>
            <w:r w:rsidRPr="00B9620F">
              <w:rPr>
                <w:rFonts w:ascii="Times New Roman" w:hAnsi="Times New Roman"/>
                <w:sz w:val="16"/>
                <w:szCs w:val="16"/>
              </w:rPr>
              <w:t xml:space="preserve">          odvody</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89</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119</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129</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145</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132</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132</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132</w:t>
            </w: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single" w:sz="4" w:space="0" w:color="auto"/>
              <w:right w:val="single" w:sz="4" w:space="0" w:color="auto"/>
            </w:tcBorders>
            <w:textDirection w:val="lrTb"/>
            <w:vAlign w:val="center"/>
            <w:hideMark/>
          </w:tcPr>
          <w:p w:rsidR="008225DB" w:rsidRPr="00B9620F" w:rsidP="000008FE">
            <w:pPr>
              <w:bidi w:val="0"/>
              <w:rPr>
                <w:rFonts w:ascii="Times New Roman" w:hAnsi="Times New Roman"/>
                <w:sz w:val="16"/>
                <w:szCs w:val="16"/>
              </w:rPr>
            </w:pPr>
            <w:r w:rsidRPr="00B9620F">
              <w:rPr>
                <w:rFonts w:ascii="Times New Roman" w:hAnsi="Times New Roman"/>
                <w:sz w:val="16"/>
                <w:szCs w:val="16"/>
              </w:rPr>
              <w:t xml:space="preserve">          tovary a služby</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447</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422</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651</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667</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642</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709</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681</w:t>
            </w: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single" w:sz="4" w:space="0" w:color="auto"/>
              <w:right w:val="single" w:sz="4" w:space="0" w:color="auto"/>
            </w:tcBorders>
            <w:textDirection w:val="lrTb"/>
            <w:vAlign w:val="center"/>
            <w:hideMark/>
          </w:tcPr>
          <w:p w:rsidR="008225DB" w:rsidRPr="00B9620F" w:rsidP="000008FE">
            <w:pPr>
              <w:bidi w:val="0"/>
              <w:ind w:firstLine="320" w:firstLineChars="200"/>
              <w:rPr>
                <w:rFonts w:ascii="Times New Roman" w:hAnsi="Times New Roman"/>
                <w:sz w:val="16"/>
                <w:szCs w:val="16"/>
              </w:rPr>
            </w:pPr>
            <w:r w:rsidRPr="00B9620F">
              <w:rPr>
                <w:rFonts w:ascii="Times New Roman" w:hAnsi="Times New Roman"/>
                <w:sz w:val="16"/>
                <w:szCs w:val="16"/>
              </w:rPr>
              <w:t xml:space="preserve">  bežné transfery</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37</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20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37</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20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20</w:t>
            </w: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single" w:sz="4" w:space="0" w:color="auto"/>
              <w:right w:val="single" w:sz="4" w:space="0" w:color="auto"/>
            </w:tcBorders>
            <w:textDirection w:val="lrTb"/>
            <w:vAlign w:val="center"/>
            <w:hideMark/>
          </w:tcPr>
          <w:p w:rsidR="008225DB" w:rsidRPr="00B9620F" w:rsidP="000008FE">
            <w:pPr>
              <w:bidi w:val="0"/>
              <w:rPr>
                <w:rFonts w:ascii="Times New Roman" w:hAnsi="Times New Roman"/>
                <w:sz w:val="16"/>
                <w:szCs w:val="16"/>
              </w:rPr>
            </w:pPr>
            <w:r w:rsidRPr="00B9620F">
              <w:rPr>
                <w:rFonts w:ascii="Times New Roman" w:hAnsi="Times New Roman"/>
                <w:sz w:val="16"/>
                <w:szCs w:val="16"/>
              </w:rPr>
              <w:t xml:space="preserve">     ▪   kapitálové výdavky</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4</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2</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12</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sz w:val="16"/>
                <w:szCs w:val="16"/>
              </w:rPr>
            </w:pPr>
            <w:r w:rsidRPr="00B9620F">
              <w:rPr>
                <w:rFonts w:ascii="Times New Roman" w:hAnsi="Times New Roman"/>
                <w:sz w:val="16"/>
                <w:szCs w:val="16"/>
              </w:rPr>
              <w:t>0</w:t>
            </w: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8225DB" w:rsidRPr="00B9620F" w:rsidP="000008FE">
            <w:pPr>
              <w:bidi w:val="0"/>
              <w:rPr>
                <w:rFonts w:ascii="Times New Roman" w:hAnsi="Times New Roman"/>
                <w:b/>
                <w:bCs/>
                <w:sz w:val="16"/>
                <w:szCs w:val="16"/>
              </w:rPr>
            </w:pPr>
            <w:r w:rsidRPr="00B9620F">
              <w:rPr>
                <w:rFonts w:ascii="Times New Roman" w:hAnsi="Times New Roman"/>
                <w:b/>
                <w:bCs/>
                <w:sz w:val="16"/>
                <w:szCs w:val="16"/>
              </w:rPr>
              <w:t>Celkový prebytok KRRZ</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328</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120</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293</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128</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214</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330</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474</w:t>
            </w: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single" w:sz="4" w:space="0" w:color="auto"/>
              <w:right w:val="single" w:sz="4" w:space="0" w:color="auto"/>
            </w:tcBorders>
            <w:textDirection w:val="lrTb"/>
            <w:vAlign w:val="center"/>
            <w:hideMark/>
          </w:tcPr>
          <w:p w:rsidR="008225DB" w:rsidRPr="00B9620F" w:rsidP="000008FE">
            <w:pPr>
              <w:bidi w:val="0"/>
              <w:rPr>
                <w:rFonts w:ascii="Times New Roman" w:hAnsi="Times New Roman"/>
                <w:b/>
                <w:bCs/>
                <w:i/>
                <w:iCs/>
                <w:sz w:val="16"/>
                <w:szCs w:val="16"/>
              </w:rPr>
            </w:pPr>
            <w:r w:rsidRPr="00B9620F">
              <w:rPr>
                <w:rFonts w:ascii="Times New Roman" w:hAnsi="Times New Roman"/>
                <w:b/>
                <w:bCs/>
                <w:i/>
                <w:iCs/>
                <w:sz w:val="16"/>
                <w:szCs w:val="16"/>
              </w:rPr>
              <w:t>vylúčenie finančných operácií</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-103</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-329</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-234</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-120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-128</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-214</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-330</w:t>
            </w: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single" w:sz="4" w:space="0" w:color="auto"/>
              <w:right w:val="single" w:sz="4" w:space="0" w:color="auto"/>
            </w:tcBorders>
            <w:textDirection w:val="lrTb"/>
            <w:vAlign w:val="center"/>
            <w:hideMark/>
          </w:tcPr>
          <w:p w:rsidR="008225DB" w:rsidRPr="00B9620F" w:rsidP="000008FE">
            <w:pPr>
              <w:bidi w:val="0"/>
              <w:rPr>
                <w:rFonts w:ascii="Times New Roman" w:hAnsi="Times New Roman"/>
                <w:sz w:val="16"/>
                <w:szCs w:val="16"/>
              </w:rPr>
            </w:pPr>
            <w:r w:rsidRPr="00B9620F">
              <w:rPr>
                <w:rFonts w:ascii="Times New Roman" w:hAnsi="Times New Roman"/>
                <w:sz w:val="16"/>
                <w:szCs w:val="16"/>
              </w:rPr>
              <w:t xml:space="preserve">     ▪   vylúčenie príjmových FO</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-103</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-329</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-234</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-120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-128</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-214</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-330</w:t>
            </w: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single" w:sz="4" w:space="0" w:color="auto"/>
              <w:right w:val="single" w:sz="4" w:space="0" w:color="auto"/>
            </w:tcBorders>
            <w:textDirection w:val="lrTb"/>
            <w:vAlign w:val="center"/>
            <w:hideMark/>
          </w:tcPr>
          <w:p w:rsidR="008225DB" w:rsidRPr="00B9620F" w:rsidP="000008FE">
            <w:pPr>
              <w:bidi w:val="0"/>
              <w:rPr>
                <w:rFonts w:ascii="Times New Roman" w:hAnsi="Times New Roman"/>
                <w:b/>
                <w:bCs/>
                <w:i/>
                <w:iCs/>
                <w:sz w:val="16"/>
                <w:szCs w:val="16"/>
              </w:rPr>
            </w:pPr>
            <w:r w:rsidRPr="00B9620F">
              <w:rPr>
                <w:rFonts w:ascii="Times New Roman" w:hAnsi="Times New Roman"/>
                <w:b/>
                <w:bCs/>
                <w:i/>
                <w:iCs/>
                <w:sz w:val="16"/>
                <w:szCs w:val="16"/>
              </w:rPr>
              <w:t>medziročná zmena stavu pohľadávok</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-3</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-1</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0</w:t>
            </w: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single" w:sz="4" w:space="0" w:color="auto"/>
              <w:right w:val="single" w:sz="4" w:space="0" w:color="auto"/>
            </w:tcBorders>
            <w:textDirection w:val="lrTb"/>
            <w:vAlign w:val="center"/>
            <w:hideMark/>
          </w:tcPr>
          <w:p w:rsidR="008225DB" w:rsidRPr="00B9620F" w:rsidP="000008FE">
            <w:pPr>
              <w:bidi w:val="0"/>
              <w:rPr>
                <w:rFonts w:ascii="Times New Roman" w:hAnsi="Times New Roman"/>
                <w:b/>
                <w:bCs/>
                <w:i/>
                <w:iCs/>
                <w:sz w:val="16"/>
                <w:szCs w:val="16"/>
              </w:rPr>
            </w:pPr>
            <w:r w:rsidRPr="00B9620F">
              <w:rPr>
                <w:rFonts w:ascii="Times New Roman" w:hAnsi="Times New Roman"/>
                <w:b/>
                <w:bCs/>
                <w:i/>
                <w:iCs/>
                <w:sz w:val="16"/>
                <w:szCs w:val="16"/>
              </w:rPr>
              <w:t>medziročná zmena stavu záväzkov</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-8</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-5</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0</w:t>
            </w: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single" w:sz="4" w:space="0" w:color="auto"/>
              <w:right w:val="single" w:sz="4" w:space="0" w:color="auto"/>
            </w:tcBorders>
            <w:textDirection w:val="lrTb"/>
            <w:vAlign w:val="center"/>
            <w:hideMark/>
          </w:tcPr>
          <w:p w:rsidR="008225DB" w:rsidRPr="00B9620F" w:rsidP="000008FE">
            <w:pPr>
              <w:bidi w:val="0"/>
              <w:rPr>
                <w:rFonts w:ascii="Times New Roman" w:hAnsi="Times New Roman"/>
                <w:b/>
                <w:bCs/>
                <w:i/>
                <w:iCs/>
                <w:sz w:val="16"/>
                <w:szCs w:val="16"/>
              </w:rPr>
            </w:pPr>
            <w:r w:rsidRPr="00B9620F">
              <w:rPr>
                <w:rFonts w:ascii="Times New Roman" w:hAnsi="Times New Roman"/>
                <w:b/>
                <w:bCs/>
                <w:i/>
                <w:iCs/>
                <w:sz w:val="16"/>
                <w:szCs w:val="16"/>
              </w:rPr>
              <w:t>ostatné úpravy</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0</w:t>
            </w:r>
          </w:p>
        </w:tc>
        <w:tc>
          <w:tcPr>
            <w:tcW w:w="820" w:type="dxa"/>
            <w:tcBorders>
              <w:top w:val="nil"/>
              <w:left w:val="nil"/>
              <w:bottom w:val="single" w:sz="4" w:space="0" w:color="auto"/>
              <w:right w:val="single" w:sz="4" w:space="0" w:color="auto"/>
            </w:tcBorders>
            <w:textDirection w:val="lrTb"/>
            <w:vAlign w:val="center"/>
            <w:hideMark/>
          </w:tcPr>
          <w:p w:rsidR="008225DB" w:rsidRPr="00B9620F" w:rsidP="000008FE">
            <w:pPr>
              <w:bidi w:val="0"/>
              <w:jc w:val="right"/>
              <w:rPr>
                <w:rFonts w:ascii="Times New Roman" w:hAnsi="Times New Roman"/>
                <w:b/>
                <w:bCs/>
                <w:i/>
                <w:iCs/>
                <w:sz w:val="16"/>
                <w:szCs w:val="16"/>
              </w:rPr>
            </w:pPr>
            <w:r w:rsidRPr="00B9620F">
              <w:rPr>
                <w:rFonts w:ascii="Times New Roman" w:hAnsi="Times New Roman"/>
                <w:b/>
                <w:bCs/>
                <w:i/>
                <w:iCs/>
                <w:sz w:val="16"/>
                <w:szCs w:val="16"/>
              </w:rPr>
              <w:t>0</w:t>
            </w:r>
          </w:p>
        </w:tc>
      </w:tr>
      <w:tr>
        <w:tblPrEx>
          <w:tblW w:w="8980" w:type="dxa"/>
          <w:tblInd w:w="55" w:type="dxa"/>
          <w:tblCellMar>
            <w:left w:w="70" w:type="dxa"/>
            <w:right w:w="70" w:type="dxa"/>
          </w:tblCellMar>
          <w:tblLook w:val="04A0"/>
        </w:tblPrEx>
        <w:trPr>
          <w:trHeight w:val="225"/>
        </w:trPr>
        <w:tc>
          <w:tcPr>
            <w:tcW w:w="3240" w:type="dxa"/>
            <w:tcBorders>
              <w:top w:val="nil"/>
              <w:left w:val="single" w:sz="4" w:space="0" w:color="auto"/>
              <w:bottom w:val="single" w:sz="4" w:space="0" w:color="auto"/>
              <w:right w:val="single" w:sz="4" w:space="0" w:color="auto"/>
            </w:tcBorders>
            <w:shd w:val="clear" w:color="000000" w:fill="BFBFBF"/>
            <w:textDirection w:val="lrTb"/>
            <w:vAlign w:val="center"/>
            <w:hideMark/>
          </w:tcPr>
          <w:p w:rsidR="008225DB" w:rsidRPr="00B9620F" w:rsidP="00A74905">
            <w:pPr>
              <w:bidi w:val="0"/>
              <w:rPr>
                <w:rFonts w:ascii="Times New Roman" w:hAnsi="Times New Roman"/>
                <w:b/>
                <w:bCs/>
                <w:sz w:val="16"/>
                <w:szCs w:val="16"/>
              </w:rPr>
            </w:pPr>
            <w:r w:rsidRPr="00B9620F">
              <w:rPr>
                <w:rFonts w:ascii="Times New Roman" w:hAnsi="Times New Roman"/>
                <w:b/>
                <w:bCs/>
                <w:sz w:val="16"/>
                <w:szCs w:val="16"/>
              </w:rPr>
              <w:t>Prebytok </w:t>
            </w:r>
            <w:r w:rsidRPr="003679CA" w:rsidR="00A74905">
              <w:rPr>
                <w:rFonts w:ascii="Times New Roman" w:hAnsi="Times New Roman"/>
                <w:b/>
                <w:bCs/>
                <w:sz w:val="16"/>
                <w:szCs w:val="16"/>
              </w:rPr>
              <w:t>(+)</w:t>
            </w:r>
            <w:r w:rsidRPr="003679CA">
              <w:rPr>
                <w:rFonts w:ascii="Times New Roman" w:hAnsi="Times New Roman"/>
                <w:b/>
                <w:bCs/>
                <w:sz w:val="16"/>
                <w:szCs w:val="16"/>
              </w:rPr>
              <w:t>/</w:t>
            </w:r>
            <w:r w:rsidRPr="003679CA" w:rsidR="00A74905">
              <w:rPr>
                <w:rFonts w:ascii="Times New Roman" w:hAnsi="Times New Roman"/>
                <w:b/>
                <w:bCs/>
                <w:sz w:val="16"/>
                <w:szCs w:val="16"/>
              </w:rPr>
              <w:t>s</w:t>
            </w:r>
            <w:r w:rsidRPr="00B9620F">
              <w:rPr>
                <w:rFonts w:ascii="Times New Roman" w:hAnsi="Times New Roman"/>
                <w:b/>
                <w:bCs/>
                <w:sz w:val="16"/>
                <w:szCs w:val="16"/>
              </w:rPr>
              <w:t>chodok</w:t>
            </w:r>
            <w:r w:rsidR="00A74905">
              <w:rPr>
                <w:rFonts w:ascii="Times New Roman" w:hAnsi="Times New Roman"/>
                <w:b/>
                <w:bCs/>
                <w:sz w:val="16"/>
                <w:szCs w:val="16"/>
              </w:rPr>
              <w:t xml:space="preserve">(-) </w:t>
            </w:r>
            <w:r w:rsidRPr="00B9620F">
              <w:rPr>
                <w:rFonts w:ascii="Times New Roman" w:hAnsi="Times New Roman"/>
                <w:b/>
                <w:bCs/>
                <w:sz w:val="16"/>
                <w:szCs w:val="16"/>
              </w:rPr>
              <w:t xml:space="preserve"> KRRZ (ESA 2010)</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214</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-215</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59</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8</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86</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116</w:t>
            </w:r>
          </w:p>
        </w:tc>
        <w:tc>
          <w:tcPr>
            <w:tcW w:w="820" w:type="dxa"/>
            <w:tcBorders>
              <w:top w:val="nil"/>
              <w:left w:val="nil"/>
              <w:bottom w:val="single" w:sz="4" w:space="0" w:color="auto"/>
              <w:right w:val="single" w:sz="4" w:space="0" w:color="auto"/>
            </w:tcBorders>
            <w:shd w:val="clear" w:color="000000" w:fill="BFBFBF"/>
            <w:textDirection w:val="lrTb"/>
            <w:vAlign w:val="center"/>
            <w:hideMark/>
          </w:tcPr>
          <w:p w:rsidR="008225DB" w:rsidRPr="00B9620F" w:rsidP="000008FE">
            <w:pPr>
              <w:bidi w:val="0"/>
              <w:jc w:val="right"/>
              <w:rPr>
                <w:rFonts w:ascii="Times New Roman" w:hAnsi="Times New Roman"/>
                <w:b/>
                <w:bCs/>
                <w:sz w:val="16"/>
                <w:szCs w:val="16"/>
              </w:rPr>
            </w:pPr>
            <w:r w:rsidRPr="00B9620F">
              <w:rPr>
                <w:rFonts w:ascii="Times New Roman" w:hAnsi="Times New Roman"/>
                <w:b/>
                <w:bCs/>
                <w:sz w:val="16"/>
                <w:szCs w:val="16"/>
              </w:rPr>
              <w:t>144</w:t>
            </w:r>
          </w:p>
        </w:tc>
      </w:tr>
    </w:tbl>
    <w:p w:rsidR="008225DB" w:rsidP="006C0389">
      <w:pPr>
        <w:bidi w:val="0"/>
        <w:jc w:val="both"/>
        <w:rPr>
          <w:rFonts w:ascii="Times New Roman" w:hAnsi="Times New Roman"/>
          <w:b/>
        </w:rPr>
      </w:pPr>
    </w:p>
    <w:p w:rsidR="006C0389" w:rsidRPr="002767D4" w:rsidP="006C0389">
      <w:pPr>
        <w:bidi w:val="0"/>
        <w:jc w:val="both"/>
        <w:rPr>
          <w:rFonts w:ascii="Times New Roman" w:hAnsi="Times New Roman"/>
          <w:b/>
        </w:rPr>
      </w:pPr>
      <w:r w:rsidRPr="002767D4">
        <w:rPr>
          <w:rFonts w:ascii="Times New Roman" w:hAnsi="Times New Roman"/>
          <w:b/>
        </w:rPr>
        <w:t>16. Železnice Slovenskej republiky</w:t>
      </w:r>
    </w:p>
    <w:p w:rsidR="006C0389" w:rsidRPr="002767D4" w:rsidP="006C0389">
      <w:pPr>
        <w:bidi w:val="0"/>
        <w:jc w:val="both"/>
        <w:rPr>
          <w:rFonts w:ascii="Times New Roman" w:hAnsi="Times New Roman"/>
          <w:b/>
          <w:sz w:val="16"/>
          <w:szCs w:val="16"/>
        </w:rPr>
      </w:pPr>
    </w:p>
    <w:p w:rsidR="006C0389" w:rsidP="006C0389">
      <w:pPr>
        <w:autoSpaceDE w:val="0"/>
        <w:autoSpaceDN w:val="0"/>
        <w:bidi w:val="0"/>
        <w:adjustRightInd w:val="0"/>
        <w:ind w:firstLine="708"/>
        <w:jc w:val="both"/>
        <w:rPr>
          <w:rFonts w:ascii="Times New Roman" w:hAnsi="Times New Roman"/>
        </w:rPr>
      </w:pPr>
      <w:r w:rsidRPr="002767D4">
        <w:rPr>
          <w:rFonts w:ascii="Times New Roman" w:hAnsi="Times New Roman"/>
        </w:rPr>
        <w:t>Železnice SR (ďalej len „ŽSR“) zabezpečujú prepravné a dopravné služby, ktoré zodpovedajú záujmom dopravnej politiky štátu a požiadavkám trhu vrátane súvisiacich činností. Spravujú a prevádzkujú železničné dráhy celoštátneho a regionálneho významu.</w:t>
      </w:r>
    </w:p>
    <w:p w:rsidR="00B103BF" w:rsidP="006C0389">
      <w:pPr>
        <w:autoSpaceDE w:val="0"/>
        <w:autoSpaceDN w:val="0"/>
        <w:bidi w:val="0"/>
        <w:adjustRightInd w:val="0"/>
        <w:ind w:firstLine="708"/>
        <w:jc w:val="both"/>
        <w:rPr>
          <w:rFonts w:ascii="Times New Roman" w:hAnsi="Times New Roman"/>
        </w:rPr>
      </w:pPr>
    </w:p>
    <w:p w:rsidR="00B103BF" w:rsidP="006C0389">
      <w:pPr>
        <w:autoSpaceDE w:val="0"/>
        <w:autoSpaceDN w:val="0"/>
        <w:bidi w:val="0"/>
        <w:adjustRightInd w:val="0"/>
        <w:ind w:firstLine="708"/>
        <w:jc w:val="both"/>
        <w:rPr>
          <w:rFonts w:ascii="Times New Roman" w:hAnsi="Times New Roman"/>
        </w:rPr>
      </w:pPr>
    </w:p>
    <w:p w:rsidR="00B103BF" w:rsidP="006C0389">
      <w:pPr>
        <w:autoSpaceDE w:val="0"/>
        <w:autoSpaceDN w:val="0"/>
        <w:bidi w:val="0"/>
        <w:adjustRightInd w:val="0"/>
        <w:ind w:firstLine="708"/>
        <w:jc w:val="both"/>
        <w:rPr>
          <w:rFonts w:ascii="Times New Roman" w:hAnsi="Times New Roman"/>
        </w:rPr>
      </w:pPr>
    </w:p>
    <w:p w:rsidR="00B103BF" w:rsidRPr="002767D4" w:rsidP="006C0389">
      <w:pPr>
        <w:autoSpaceDE w:val="0"/>
        <w:autoSpaceDN w:val="0"/>
        <w:bidi w:val="0"/>
        <w:adjustRightInd w:val="0"/>
        <w:ind w:firstLine="708"/>
        <w:jc w:val="both"/>
        <w:rPr>
          <w:rFonts w:ascii="Times New Roman" w:hAnsi="Times New Roman"/>
        </w:rPr>
      </w:pPr>
    </w:p>
    <w:p w:rsidR="006C0389" w:rsidRPr="006B53D9" w:rsidP="006C0389">
      <w:pPr>
        <w:autoSpaceDE w:val="0"/>
        <w:autoSpaceDN w:val="0"/>
        <w:bidi w:val="0"/>
        <w:adjustRightInd w:val="0"/>
        <w:ind w:firstLine="708"/>
        <w:jc w:val="both"/>
        <w:rPr>
          <w:rFonts w:ascii="Times New Roman" w:hAnsi="Times New Roman"/>
          <w:sz w:val="16"/>
          <w:szCs w:val="16"/>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122"/>
        <w:gridCol w:w="869"/>
        <w:gridCol w:w="869"/>
        <w:gridCol w:w="870"/>
        <w:gridCol w:w="870"/>
        <w:gridCol w:w="870"/>
        <w:gridCol w:w="870"/>
        <w:gridCol w:w="8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shd w:val="pct35" w:color="auto" w:fill="FFFFFF"/>
            <w:textDirection w:val="lrTb"/>
            <w:vAlign w:val="bottom"/>
          </w:tcPr>
          <w:p w:rsidR="006C0389" w:rsidRPr="002767D4" w:rsidP="000008FE">
            <w:pPr>
              <w:bidi w:val="0"/>
              <w:rPr>
                <w:rFonts w:ascii="Times New Roman" w:hAnsi="Times New Roman"/>
                <w:b/>
                <w:bCs/>
                <w:iCs/>
                <w:sz w:val="16"/>
                <w:szCs w:val="16"/>
              </w:rPr>
            </w:pPr>
            <w:r w:rsidRPr="002767D4">
              <w:rPr>
                <w:rFonts w:ascii="Times New Roman" w:hAnsi="Times New Roman"/>
                <w:b/>
                <w:bCs/>
                <w:iCs/>
                <w:sz w:val="16"/>
                <w:szCs w:val="16"/>
              </w:rPr>
              <w:t>v tis. eur</w:t>
            </w:r>
          </w:p>
        </w:tc>
        <w:tc>
          <w:tcPr>
            <w:tcW w:w="855" w:type="dxa"/>
            <w:tcBorders>
              <w:top w:val="single" w:sz="4" w:space="0" w:color="auto"/>
              <w:left w:val="single" w:sz="4" w:space="0" w:color="auto"/>
              <w:bottom w:val="single" w:sz="4" w:space="0" w:color="auto"/>
              <w:right w:val="single" w:sz="4" w:space="0" w:color="auto"/>
            </w:tcBorders>
            <w:shd w:val="pct35" w:color="auto" w:fill="FFFFFF"/>
            <w:textDirection w:val="lrTb"/>
            <w:vAlign w:val="bottom"/>
          </w:tcPr>
          <w:p w:rsidR="006C0389" w:rsidRPr="002767D4" w:rsidP="000008FE">
            <w:pPr>
              <w:bidi w:val="0"/>
              <w:jc w:val="center"/>
              <w:rPr>
                <w:rFonts w:ascii="Times New Roman" w:hAnsi="Times New Roman"/>
                <w:b/>
                <w:bCs/>
                <w:iCs/>
                <w:sz w:val="16"/>
                <w:szCs w:val="16"/>
              </w:rPr>
            </w:pPr>
            <w:r w:rsidRPr="002767D4">
              <w:rPr>
                <w:rFonts w:ascii="Times New Roman" w:hAnsi="Times New Roman"/>
                <w:b/>
                <w:bCs/>
                <w:iCs/>
                <w:sz w:val="16"/>
                <w:szCs w:val="16"/>
              </w:rPr>
              <w:t xml:space="preserve"> 2013 S</w:t>
            </w:r>
          </w:p>
        </w:tc>
        <w:tc>
          <w:tcPr>
            <w:tcW w:w="855" w:type="dxa"/>
            <w:tcBorders>
              <w:top w:val="single" w:sz="4" w:space="0" w:color="auto"/>
              <w:left w:val="single" w:sz="4" w:space="0" w:color="auto"/>
              <w:bottom w:val="single" w:sz="4" w:space="0" w:color="auto"/>
              <w:right w:val="single" w:sz="4" w:space="0" w:color="auto"/>
            </w:tcBorders>
            <w:shd w:val="pct35" w:color="auto" w:fill="FFFFFF"/>
            <w:textDirection w:val="lrTb"/>
            <w:vAlign w:val="bottom"/>
          </w:tcPr>
          <w:p w:rsidR="006C0389" w:rsidRPr="002767D4" w:rsidP="000008FE">
            <w:pPr>
              <w:bidi w:val="0"/>
              <w:jc w:val="center"/>
              <w:rPr>
                <w:rFonts w:ascii="Times New Roman" w:hAnsi="Times New Roman"/>
                <w:b/>
                <w:bCs/>
                <w:iCs/>
                <w:sz w:val="16"/>
                <w:szCs w:val="16"/>
              </w:rPr>
            </w:pPr>
            <w:r w:rsidRPr="002767D4">
              <w:rPr>
                <w:rFonts w:ascii="Times New Roman" w:hAnsi="Times New Roman"/>
                <w:b/>
                <w:bCs/>
                <w:iCs/>
                <w:sz w:val="16"/>
                <w:szCs w:val="16"/>
              </w:rPr>
              <w:t xml:space="preserve">  2014 S</w:t>
            </w:r>
          </w:p>
        </w:tc>
        <w:tc>
          <w:tcPr>
            <w:tcW w:w="856" w:type="dxa"/>
            <w:tcBorders>
              <w:top w:val="single" w:sz="4" w:space="0" w:color="auto"/>
              <w:left w:val="single" w:sz="4" w:space="0" w:color="auto"/>
              <w:bottom w:val="single" w:sz="4" w:space="0" w:color="auto"/>
              <w:right w:val="single" w:sz="4" w:space="0" w:color="auto"/>
            </w:tcBorders>
            <w:shd w:val="pct35" w:color="auto" w:fill="FFFFFF"/>
            <w:textDirection w:val="lrTb"/>
            <w:vAlign w:val="bottom"/>
          </w:tcPr>
          <w:p w:rsidR="006C0389" w:rsidRPr="002767D4" w:rsidP="000008FE">
            <w:pPr>
              <w:bidi w:val="0"/>
              <w:jc w:val="center"/>
              <w:rPr>
                <w:rFonts w:ascii="Times New Roman" w:hAnsi="Times New Roman"/>
                <w:b/>
                <w:bCs/>
                <w:iCs/>
                <w:sz w:val="16"/>
                <w:szCs w:val="16"/>
              </w:rPr>
            </w:pPr>
            <w:r w:rsidRPr="002767D4">
              <w:rPr>
                <w:rFonts w:ascii="Times New Roman" w:hAnsi="Times New Roman"/>
                <w:b/>
                <w:bCs/>
                <w:iCs/>
                <w:sz w:val="16"/>
                <w:szCs w:val="16"/>
              </w:rPr>
              <w:t xml:space="preserve"> 2015 R</w:t>
            </w:r>
          </w:p>
        </w:tc>
        <w:tc>
          <w:tcPr>
            <w:tcW w:w="856" w:type="dxa"/>
            <w:tcBorders>
              <w:top w:val="single" w:sz="4" w:space="0" w:color="auto"/>
              <w:left w:val="single" w:sz="4" w:space="0" w:color="auto"/>
              <w:bottom w:val="single" w:sz="4" w:space="0" w:color="auto"/>
              <w:right w:val="single" w:sz="4" w:space="0" w:color="auto"/>
            </w:tcBorders>
            <w:shd w:val="pct35" w:color="auto" w:fill="FFFFFF"/>
            <w:textDirection w:val="lrTb"/>
            <w:vAlign w:val="bottom"/>
          </w:tcPr>
          <w:p w:rsidR="006C0389" w:rsidRPr="002767D4" w:rsidP="000008FE">
            <w:pPr>
              <w:bidi w:val="0"/>
              <w:jc w:val="center"/>
              <w:rPr>
                <w:rFonts w:ascii="Times New Roman" w:hAnsi="Times New Roman"/>
                <w:b/>
                <w:bCs/>
                <w:iCs/>
                <w:sz w:val="16"/>
                <w:szCs w:val="16"/>
              </w:rPr>
            </w:pPr>
            <w:r w:rsidRPr="002767D4">
              <w:rPr>
                <w:rFonts w:ascii="Times New Roman" w:hAnsi="Times New Roman"/>
                <w:b/>
                <w:bCs/>
                <w:iCs/>
                <w:sz w:val="16"/>
                <w:szCs w:val="16"/>
              </w:rPr>
              <w:t>2015 OS</w:t>
            </w:r>
          </w:p>
        </w:tc>
        <w:tc>
          <w:tcPr>
            <w:tcW w:w="856" w:type="dxa"/>
            <w:tcBorders>
              <w:top w:val="single" w:sz="4" w:space="0" w:color="auto"/>
              <w:left w:val="single" w:sz="4" w:space="0" w:color="auto"/>
              <w:bottom w:val="single" w:sz="4" w:space="0" w:color="auto"/>
              <w:right w:val="single" w:sz="4" w:space="0" w:color="auto"/>
            </w:tcBorders>
            <w:shd w:val="pct35" w:color="auto" w:fill="FFFFFF"/>
            <w:textDirection w:val="lrTb"/>
            <w:vAlign w:val="bottom"/>
          </w:tcPr>
          <w:p w:rsidR="006C0389" w:rsidRPr="002767D4" w:rsidP="000008FE">
            <w:pPr>
              <w:bidi w:val="0"/>
              <w:jc w:val="center"/>
              <w:rPr>
                <w:rFonts w:ascii="Times New Roman" w:hAnsi="Times New Roman"/>
                <w:b/>
                <w:bCs/>
                <w:iCs/>
                <w:sz w:val="16"/>
                <w:szCs w:val="16"/>
              </w:rPr>
            </w:pPr>
            <w:r w:rsidRPr="002767D4">
              <w:rPr>
                <w:rFonts w:ascii="Times New Roman" w:hAnsi="Times New Roman"/>
                <w:b/>
                <w:bCs/>
                <w:iCs/>
                <w:sz w:val="16"/>
                <w:szCs w:val="16"/>
              </w:rPr>
              <w:t xml:space="preserve"> 2016 N</w:t>
            </w:r>
          </w:p>
        </w:tc>
        <w:tc>
          <w:tcPr>
            <w:tcW w:w="856" w:type="dxa"/>
            <w:tcBorders>
              <w:top w:val="single" w:sz="4" w:space="0" w:color="auto"/>
              <w:left w:val="single" w:sz="4" w:space="0" w:color="auto"/>
              <w:bottom w:val="single" w:sz="4" w:space="0" w:color="auto"/>
              <w:right w:val="single" w:sz="4" w:space="0" w:color="auto"/>
            </w:tcBorders>
            <w:shd w:val="pct35" w:color="auto" w:fill="FFFFFF"/>
            <w:textDirection w:val="lrTb"/>
            <w:vAlign w:val="bottom"/>
          </w:tcPr>
          <w:p w:rsidR="006C0389" w:rsidRPr="002767D4" w:rsidP="000008FE">
            <w:pPr>
              <w:bidi w:val="0"/>
              <w:jc w:val="center"/>
              <w:rPr>
                <w:rFonts w:ascii="Times New Roman" w:hAnsi="Times New Roman"/>
                <w:b/>
                <w:bCs/>
                <w:iCs/>
                <w:sz w:val="16"/>
                <w:szCs w:val="16"/>
              </w:rPr>
            </w:pPr>
            <w:r w:rsidRPr="002767D4">
              <w:rPr>
                <w:rFonts w:ascii="Times New Roman" w:hAnsi="Times New Roman"/>
                <w:b/>
                <w:bCs/>
                <w:iCs/>
                <w:sz w:val="16"/>
                <w:szCs w:val="16"/>
              </w:rPr>
              <w:t xml:space="preserve"> 2017 N</w:t>
            </w:r>
          </w:p>
        </w:tc>
        <w:tc>
          <w:tcPr>
            <w:tcW w:w="856" w:type="dxa"/>
            <w:tcBorders>
              <w:top w:val="single" w:sz="4" w:space="0" w:color="auto"/>
              <w:left w:val="single" w:sz="4" w:space="0" w:color="auto"/>
              <w:bottom w:val="single" w:sz="4" w:space="0" w:color="auto"/>
              <w:right w:val="single" w:sz="4" w:space="0" w:color="auto"/>
            </w:tcBorders>
            <w:shd w:val="pct35" w:color="auto" w:fill="FFFFFF"/>
            <w:textDirection w:val="lrTb"/>
            <w:vAlign w:val="bottom"/>
          </w:tcPr>
          <w:p w:rsidR="006C0389" w:rsidRPr="002767D4" w:rsidP="000008FE">
            <w:pPr>
              <w:bidi w:val="0"/>
              <w:jc w:val="center"/>
              <w:rPr>
                <w:rFonts w:ascii="Times New Roman" w:hAnsi="Times New Roman"/>
                <w:b/>
                <w:bCs/>
                <w:iCs/>
                <w:sz w:val="16"/>
                <w:szCs w:val="16"/>
              </w:rPr>
            </w:pPr>
            <w:r w:rsidRPr="002767D4">
              <w:rPr>
                <w:rFonts w:ascii="Times New Roman" w:hAnsi="Times New Roman"/>
                <w:b/>
                <w:bCs/>
                <w:iCs/>
                <w:sz w:val="16"/>
                <w:szCs w:val="16"/>
              </w:rPr>
              <w:t xml:space="preserve"> 2018 N</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6C0389" w:rsidRPr="002767D4" w:rsidP="000008FE">
            <w:pPr>
              <w:bidi w:val="0"/>
              <w:rPr>
                <w:rFonts w:ascii="Times New Roman" w:hAnsi="Times New Roman"/>
                <w:b/>
                <w:bCs/>
                <w:iCs/>
                <w:sz w:val="16"/>
                <w:szCs w:val="16"/>
              </w:rPr>
            </w:pPr>
            <w:r w:rsidRPr="002767D4">
              <w:rPr>
                <w:rFonts w:ascii="Times New Roman" w:hAnsi="Times New Roman"/>
                <w:b/>
                <w:bCs/>
                <w:iCs/>
                <w:sz w:val="16"/>
                <w:szCs w:val="16"/>
              </w:rPr>
              <w:t>Príjmy ŽSR spolu</w:t>
            </w:r>
          </w:p>
        </w:tc>
        <w:tc>
          <w:tcPr>
            <w:tcW w:w="855"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989 416</w:t>
            </w:r>
          </w:p>
        </w:tc>
        <w:tc>
          <w:tcPr>
            <w:tcW w:w="855"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921 846</w:t>
            </w:r>
          </w:p>
        </w:tc>
        <w:tc>
          <w:tcPr>
            <w:tcW w:w="856"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1 023 615</w:t>
            </w:r>
          </w:p>
        </w:tc>
        <w:tc>
          <w:tcPr>
            <w:tcW w:w="856"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898 076</w:t>
            </w:r>
          </w:p>
        </w:tc>
        <w:tc>
          <w:tcPr>
            <w:tcW w:w="856"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756 467</w:t>
            </w:r>
          </w:p>
        </w:tc>
        <w:tc>
          <w:tcPr>
            <w:tcW w:w="856"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853 572</w:t>
            </w:r>
          </w:p>
        </w:tc>
        <w:tc>
          <w:tcPr>
            <w:tcW w:w="856"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877 376</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tcPr>
          <w:p w:rsidR="006C0389" w:rsidRPr="002767D4" w:rsidP="000008FE">
            <w:pPr>
              <w:bidi w:val="0"/>
              <w:rPr>
                <w:rFonts w:ascii="Times New Roman" w:hAnsi="Times New Roman"/>
                <w:bCs/>
                <w:iCs/>
                <w:sz w:val="16"/>
                <w:szCs w:val="16"/>
              </w:rPr>
            </w:pPr>
            <w:r w:rsidRPr="002767D4">
              <w:rPr>
                <w:rFonts w:ascii="Times New Roman" w:hAnsi="Times New Roman"/>
                <w:b/>
                <w:bCs/>
                <w:iCs/>
                <w:sz w:val="16"/>
                <w:szCs w:val="16"/>
              </w:rPr>
              <w:t>z toho:</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center"/>
              <w:rPr>
                <w:rFonts w:ascii="Times New Roman" w:hAnsi="Times New Roman"/>
                <w:bCs/>
                <w:iCs/>
                <w:sz w:val="16"/>
                <w:szCs w:val="16"/>
              </w:rPr>
            </w:pP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rPr>
                <w:rFonts w:ascii="Times New Roman" w:hAnsi="Times New Roman"/>
                <w:bCs/>
                <w:iCs/>
                <w:sz w:val="16"/>
                <w:szCs w:val="16"/>
              </w:rPr>
            </w:pPr>
            <w:r w:rsidRPr="002767D4">
              <w:rPr>
                <w:rFonts w:ascii="Times New Roman" w:hAnsi="Times New Roman"/>
                <w:sz w:val="16"/>
                <w:szCs w:val="16"/>
              </w:rPr>
              <w:t xml:space="preserve">▪ nedaňové </w:t>
            </w:r>
            <w:r w:rsidRPr="002767D4">
              <w:rPr>
                <w:rFonts w:ascii="Times New Roman" w:hAnsi="Times New Roman"/>
                <w:bCs/>
                <w:iCs/>
                <w:sz w:val="16"/>
                <w:szCs w:val="16"/>
              </w:rPr>
              <w:t xml:space="preserve"> príjmy, v tom:</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292 122</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274 636</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266 923</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274 793</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244 619</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264 273</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244 988</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rPr>
                <w:rFonts w:ascii="Times New Roman" w:hAnsi="Times New Roman"/>
                <w:sz w:val="16"/>
                <w:szCs w:val="16"/>
              </w:rPr>
            </w:pPr>
            <w:r w:rsidRPr="002767D4">
              <w:rPr>
                <w:rFonts w:ascii="Times New Roman" w:hAnsi="Times New Roman"/>
                <w:sz w:val="16"/>
                <w:szCs w:val="16"/>
              </w:rPr>
              <w:t xml:space="preserve">      príjmy z podnik.  a z vlast.  majetku</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iCs/>
                <w:sz w:val="16"/>
                <w:szCs w:val="16"/>
              </w:rPr>
            </w:pPr>
            <w:r w:rsidRPr="002767D4">
              <w:rPr>
                <w:rFonts w:ascii="Times New Roman" w:hAnsi="Times New Roman"/>
                <w:iCs/>
                <w:sz w:val="16"/>
                <w:szCs w:val="16"/>
              </w:rPr>
              <w:t>255 397</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7 417</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ind w:firstLine="160" w:firstLineChars="100"/>
              <w:rPr>
                <w:rFonts w:ascii="Times New Roman" w:hAnsi="Times New Roman"/>
                <w:sz w:val="16"/>
                <w:szCs w:val="16"/>
              </w:rPr>
            </w:pPr>
            <w:r w:rsidRPr="002767D4">
              <w:rPr>
                <w:rFonts w:ascii="Times New Roman" w:hAnsi="Times New Roman"/>
                <w:sz w:val="16"/>
                <w:szCs w:val="16"/>
              </w:rPr>
              <w:t xml:space="preserve">  admin. poplatky a iné poplatky a platby</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ind w:firstLine="160" w:firstLineChars="100"/>
              <w:jc w:val="right"/>
              <w:rPr>
                <w:rFonts w:ascii="Times New Roman" w:hAnsi="Times New Roman"/>
                <w:sz w:val="16"/>
                <w:szCs w:val="16"/>
              </w:rPr>
            </w:pPr>
            <w:r w:rsidRPr="002767D4">
              <w:rPr>
                <w:rFonts w:ascii="Times New Roman" w:hAnsi="Times New Roman"/>
                <w:sz w:val="16"/>
                <w:szCs w:val="16"/>
              </w:rPr>
              <w:t>0 </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227 137</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213 540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242 005</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224 589</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250 917</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234 007</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ind w:firstLine="160" w:firstLineChars="100"/>
              <w:rPr>
                <w:rFonts w:ascii="Times New Roman" w:hAnsi="Times New Roman"/>
                <w:sz w:val="16"/>
                <w:szCs w:val="16"/>
              </w:rPr>
            </w:pPr>
            <w:r w:rsidRPr="002767D4">
              <w:rPr>
                <w:rFonts w:ascii="Times New Roman" w:hAnsi="Times New Roman"/>
                <w:sz w:val="16"/>
                <w:szCs w:val="16"/>
              </w:rPr>
              <w:t xml:space="preserve">  kapitálové príjmy</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2 392</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2 816</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3 478</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3 478</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5 284</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5 308</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5 320</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767D4" w:rsidP="000008FE">
            <w:pPr>
              <w:bidi w:val="0"/>
              <w:ind w:firstLine="160" w:firstLineChars="100"/>
              <w:rPr>
                <w:rFonts w:ascii="Times New Roman" w:hAnsi="Times New Roman"/>
                <w:sz w:val="16"/>
                <w:szCs w:val="16"/>
              </w:rPr>
            </w:pPr>
            <w:r w:rsidRPr="002767D4">
              <w:rPr>
                <w:rFonts w:ascii="Times New Roman" w:hAnsi="Times New Roman"/>
                <w:sz w:val="16"/>
                <w:szCs w:val="16"/>
              </w:rPr>
              <w:t xml:space="preserve">  úroky z domácich pôžičiek a vkladov</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1 097</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440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100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150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50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100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10</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767D4" w:rsidP="000008FE">
            <w:pPr>
              <w:bidi w:val="0"/>
              <w:ind w:firstLine="160" w:firstLineChars="100"/>
              <w:rPr>
                <w:rFonts w:ascii="Times New Roman" w:hAnsi="Times New Roman"/>
                <w:sz w:val="16"/>
                <w:szCs w:val="16"/>
              </w:rPr>
            </w:pPr>
            <w:r w:rsidRPr="002767D4">
              <w:rPr>
                <w:rFonts w:ascii="Times New Roman" w:hAnsi="Times New Roman"/>
                <w:sz w:val="16"/>
                <w:szCs w:val="16"/>
              </w:rPr>
              <w:t xml:space="preserve">  iné nedaňové príjmy</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33 236</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44 243</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42 388</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29 160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14 696</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7 948</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color w:val="000000"/>
                <w:sz w:val="16"/>
                <w:szCs w:val="16"/>
              </w:rPr>
            </w:pPr>
            <w:r w:rsidRPr="002767D4">
              <w:rPr>
                <w:rFonts w:ascii="Times New Roman" w:hAnsi="Times New Roman"/>
                <w:color w:val="000000"/>
                <w:sz w:val="16"/>
                <w:szCs w:val="16"/>
              </w:rPr>
              <w:t>5 651</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rPr>
                <w:rFonts w:ascii="Times New Roman" w:hAnsi="Times New Roman"/>
                <w:bCs/>
                <w:iCs/>
                <w:sz w:val="16"/>
                <w:szCs w:val="16"/>
              </w:rPr>
            </w:pPr>
            <w:r w:rsidRPr="002767D4">
              <w:rPr>
                <w:rFonts w:ascii="Times New Roman" w:hAnsi="Times New Roman"/>
                <w:sz w:val="16"/>
                <w:szCs w:val="16"/>
              </w:rPr>
              <w:t>▪ granty</w:t>
            </w:r>
            <w:r w:rsidRPr="002767D4">
              <w:rPr>
                <w:rFonts w:ascii="Times New Roman" w:hAnsi="Times New Roman"/>
                <w:bCs/>
                <w:iCs/>
                <w:sz w:val="16"/>
                <w:szCs w:val="16"/>
              </w:rPr>
              <w:t xml:space="preserve"> a transfery, v tom:</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509 571</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479 799</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662 499</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563 509</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474 153</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551 604</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594 693</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rPr>
                <w:rFonts w:ascii="Times New Roman" w:hAnsi="Times New Roman"/>
                <w:sz w:val="16"/>
                <w:szCs w:val="16"/>
              </w:rPr>
            </w:pPr>
            <w:r w:rsidRPr="002767D4">
              <w:rPr>
                <w:rFonts w:ascii="Times New Roman" w:hAnsi="Times New Roman"/>
                <w:sz w:val="16"/>
                <w:szCs w:val="16"/>
              </w:rPr>
              <w:t xml:space="preserve">      tuzemské bežné granty a transf., z toho: </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333 753</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272 478</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272 500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272 500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272 500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250 000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250 000</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rPr>
                <w:rFonts w:ascii="Times New Roman" w:hAnsi="Times New Roman"/>
                <w:sz w:val="16"/>
                <w:szCs w:val="16"/>
              </w:rPr>
            </w:pPr>
            <w:r w:rsidRPr="002767D4">
              <w:rPr>
                <w:rFonts w:ascii="Times New Roman" w:hAnsi="Times New Roman"/>
                <w:sz w:val="16"/>
                <w:szCs w:val="16"/>
              </w:rPr>
              <w:t xml:space="preserve">            zo štátneho rozpočtu </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333 753</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272 478</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272 500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272 500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272 500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250 000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250 000</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rPr>
                <w:rFonts w:ascii="Times New Roman" w:hAnsi="Times New Roman"/>
                <w:sz w:val="16"/>
                <w:szCs w:val="16"/>
              </w:rPr>
            </w:pPr>
            <w:r w:rsidRPr="002767D4">
              <w:rPr>
                <w:rFonts w:ascii="Times New Roman" w:hAnsi="Times New Roman"/>
                <w:sz w:val="16"/>
                <w:szCs w:val="16"/>
              </w:rPr>
              <w:t xml:space="preserve">       tuzemské kap. granty a transf., z toho:</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175 817</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207 321</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389 999</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291 009</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201 653</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301 604</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344 693</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ind w:firstLine="320" w:firstLineChars="200"/>
              <w:rPr>
                <w:rFonts w:ascii="Times New Roman" w:hAnsi="Times New Roman"/>
                <w:sz w:val="16"/>
                <w:szCs w:val="16"/>
              </w:rPr>
            </w:pPr>
            <w:r w:rsidRPr="002767D4">
              <w:rPr>
                <w:rFonts w:ascii="Times New Roman" w:hAnsi="Times New Roman"/>
                <w:sz w:val="16"/>
                <w:szCs w:val="16"/>
              </w:rPr>
              <w:t xml:space="preserve">   zo štátneho rozpočtu zdroj ŠR </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22 566</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52 092</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85 035</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99 129</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63 320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color w:val="000000"/>
                <w:sz w:val="16"/>
                <w:szCs w:val="16"/>
              </w:rPr>
            </w:pPr>
            <w:r w:rsidRPr="002767D4">
              <w:rPr>
                <w:rFonts w:ascii="Times New Roman" w:hAnsi="Times New Roman"/>
                <w:color w:val="000000"/>
                <w:sz w:val="16"/>
                <w:szCs w:val="16"/>
              </w:rPr>
              <w:t>33 320</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767D4" w:rsidP="000008FE">
            <w:pPr>
              <w:bidi w:val="0"/>
              <w:jc w:val="right"/>
              <w:rPr>
                <w:rFonts w:ascii="Times New Roman" w:hAnsi="Times New Roman"/>
                <w:color w:val="000000"/>
                <w:sz w:val="16"/>
                <w:szCs w:val="16"/>
              </w:rPr>
            </w:pPr>
            <w:r w:rsidRPr="002767D4">
              <w:rPr>
                <w:rFonts w:ascii="Times New Roman" w:hAnsi="Times New Roman"/>
                <w:color w:val="000000"/>
                <w:sz w:val="16"/>
                <w:szCs w:val="16"/>
              </w:rPr>
              <w:t>33 320</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ind w:firstLine="320" w:firstLineChars="200"/>
              <w:rPr>
                <w:rFonts w:ascii="Times New Roman" w:hAnsi="Times New Roman"/>
                <w:sz w:val="16"/>
                <w:szCs w:val="16"/>
              </w:rPr>
            </w:pPr>
            <w:r w:rsidRPr="002767D4">
              <w:rPr>
                <w:rFonts w:ascii="Times New Roman" w:hAnsi="Times New Roman"/>
                <w:sz w:val="16"/>
                <w:szCs w:val="16"/>
              </w:rPr>
              <w:t xml:space="preserve">    zdroj EÚ                                      </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130 263</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131 945</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259 220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163 098</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117 490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color w:val="000000"/>
                <w:sz w:val="16"/>
                <w:szCs w:val="16"/>
              </w:rPr>
            </w:pPr>
            <w:r w:rsidRPr="002767D4">
              <w:rPr>
                <w:rFonts w:ascii="Times New Roman" w:hAnsi="Times New Roman"/>
                <w:color w:val="000000"/>
                <w:sz w:val="16"/>
                <w:szCs w:val="16"/>
              </w:rPr>
              <w:t>228 041</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767D4" w:rsidP="000008FE">
            <w:pPr>
              <w:bidi w:val="0"/>
              <w:jc w:val="right"/>
              <w:rPr>
                <w:rFonts w:ascii="Times New Roman" w:hAnsi="Times New Roman"/>
                <w:color w:val="000000"/>
                <w:sz w:val="16"/>
                <w:szCs w:val="16"/>
              </w:rPr>
            </w:pPr>
            <w:r w:rsidRPr="002767D4">
              <w:rPr>
                <w:rFonts w:ascii="Times New Roman" w:hAnsi="Times New Roman"/>
                <w:color w:val="000000"/>
                <w:sz w:val="16"/>
                <w:szCs w:val="16"/>
              </w:rPr>
              <w:t>264 667</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ind w:firstLine="320" w:firstLineChars="200"/>
              <w:rPr>
                <w:rFonts w:ascii="Times New Roman" w:hAnsi="Times New Roman"/>
                <w:sz w:val="16"/>
                <w:szCs w:val="16"/>
              </w:rPr>
            </w:pPr>
            <w:r w:rsidRPr="002767D4">
              <w:rPr>
                <w:rFonts w:ascii="Times New Roman" w:hAnsi="Times New Roman"/>
                <w:sz w:val="16"/>
                <w:szCs w:val="16"/>
              </w:rPr>
              <w:t xml:space="preserve">    zdroj spolufinancovanie zo ŠR</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22 988</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23 284</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45 744</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28 782</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20 843</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color w:val="000000"/>
                <w:sz w:val="16"/>
                <w:szCs w:val="16"/>
              </w:rPr>
            </w:pPr>
            <w:r w:rsidRPr="002767D4">
              <w:rPr>
                <w:rFonts w:ascii="Times New Roman" w:hAnsi="Times New Roman"/>
                <w:color w:val="000000"/>
                <w:sz w:val="16"/>
                <w:szCs w:val="16"/>
              </w:rPr>
              <w:t>40 243</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767D4" w:rsidP="000008FE">
            <w:pPr>
              <w:bidi w:val="0"/>
              <w:jc w:val="right"/>
              <w:rPr>
                <w:rFonts w:ascii="Times New Roman" w:hAnsi="Times New Roman"/>
                <w:color w:val="000000"/>
                <w:sz w:val="16"/>
                <w:szCs w:val="16"/>
              </w:rPr>
            </w:pPr>
            <w:r w:rsidRPr="002767D4">
              <w:rPr>
                <w:rFonts w:ascii="Times New Roman" w:hAnsi="Times New Roman"/>
                <w:color w:val="000000"/>
                <w:sz w:val="16"/>
                <w:szCs w:val="16"/>
              </w:rPr>
              <w:t>46 706</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rPr>
                <w:rFonts w:ascii="Times New Roman" w:hAnsi="Times New Roman"/>
                <w:bCs/>
                <w:iCs/>
                <w:sz w:val="16"/>
                <w:szCs w:val="16"/>
              </w:rPr>
            </w:pPr>
            <w:r w:rsidRPr="002767D4">
              <w:rPr>
                <w:rFonts w:ascii="Times New Roman" w:hAnsi="Times New Roman"/>
                <w:sz w:val="16"/>
                <w:szCs w:val="16"/>
              </w:rPr>
              <w:t>▪ p</w:t>
            </w:r>
            <w:r w:rsidRPr="002767D4">
              <w:rPr>
                <w:rFonts w:ascii="Times New Roman" w:hAnsi="Times New Roman"/>
                <w:bCs/>
                <w:iCs/>
                <w:sz w:val="16"/>
                <w:szCs w:val="16"/>
              </w:rPr>
              <w:t>ríjmy z tran. s fin. akt. a pas., v tom: (FO)</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158 183</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104 673</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94 193</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59 774</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37 695</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37 695</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37 695</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ind w:firstLine="160" w:firstLineChars="100"/>
              <w:rPr>
                <w:rFonts w:ascii="Times New Roman" w:hAnsi="Times New Roman"/>
                <w:sz w:val="16"/>
                <w:szCs w:val="16"/>
              </w:rPr>
            </w:pPr>
            <w:r w:rsidRPr="002767D4">
              <w:rPr>
                <w:rFonts w:ascii="Times New Roman" w:hAnsi="Times New Roman"/>
                <w:sz w:val="16"/>
                <w:szCs w:val="16"/>
              </w:rPr>
              <w:t xml:space="preserve"> zostatok prostriedkov z predchádz. rokov </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158 183</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104 673</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94 193</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59 774</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37 695</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37 695</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37 695</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rPr>
                <w:rFonts w:ascii="Times New Roman" w:hAnsi="Times New Roman"/>
                <w:bCs/>
                <w:iCs/>
                <w:sz w:val="16"/>
                <w:szCs w:val="16"/>
              </w:rPr>
            </w:pPr>
            <w:r w:rsidRPr="002767D4">
              <w:rPr>
                <w:rFonts w:ascii="Times New Roman" w:hAnsi="Times New Roman"/>
                <w:sz w:val="16"/>
                <w:szCs w:val="16"/>
              </w:rPr>
              <w:t>▪ p</w:t>
            </w:r>
            <w:r w:rsidRPr="002767D4">
              <w:rPr>
                <w:rFonts w:ascii="Times New Roman" w:hAnsi="Times New Roman"/>
                <w:bCs/>
                <w:iCs/>
                <w:sz w:val="16"/>
                <w:szCs w:val="16"/>
              </w:rPr>
              <w:t>rijaté úvery, pôžičky a NFV (FO)</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 xml:space="preserve">29 540 </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62 738</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0</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ind w:firstLine="160" w:firstLineChars="100"/>
              <w:rPr>
                <w:rFonts w:ascii="Times New Roman" w:hAnsi="Times New Roman"/>
                <w:sz w:val="16"/>
                <w:szCs w:val="16"/>
              </w:rPr>
            </w:pPr>
            <w:r w:rsidRPr="002767D4">
              <w:rPr>
                <w:rFonts w:ascii="Times New Roman" w:hAnsi="Times New Roman"/>
                <w:sz w:val="16"/>
                <w:szCs w:val="16"/>
              </w:rPr>
              <w:t xml:space="preserve"> tuzemské úvery, pôžičky a NFV</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29 540</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62 738</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shd w:val="pct25" w:color="auto" w:fill="auto"/>
            <w:textDirection w:val="lrTb"/>
            <w:vAlign w:val="bottom"/>
            <w:hideMark/>
          </w:tcPr>
          <w:p w:rsidR="006C0389" w:rsidRPr="002767D4" w:rsidP="000008FE">
            <w:pPr>
              <w:bidi w:val="0"/>
              <w:rPr>
                <w:rFonts w:ascii="Times New Roman" w:hAnsi="Times New Roman"/>
                <w:b/>
                <w:bCs/>
                <w:iCs/>
                <w:sz w:val="16"/>
                <w:szCs w:val="16"/>
              </w:rPr>
            </w:pPr>
            <w:r w:rsidRPr="002767D4">
              <w:rPr>
                <w:rFonts w:ascii="Times New Roman" w:hAnsi="Times New Roman"/>
                <w:b/>
                <w:bCs/>
                <w:iCs/>
                <w:sz w:val="16"/>
                <w:szCs w:val="16"/>
              </w:rPr>
              <w:t>Výdavky ŽSR spolu</w:t>
            </w:r>
          </w:p>
        </w:tc>
        <w:tc>
          <w:tcPr>
            <w:tcW w:w="855" w:type="dxa"/>
            <w:tcBorders>
              <w:top w:val="single" w:sz="4" w:space="0" w:color="auto"/>
              <w:left w:val="single" w:sz="4" w:space="0" w:color="auto"/>
              <w:bottom w:val="single" w:sz="4" w:space="0" w:color="auto"/>
              <w:right w:val="single" w:sz="4" w:space="0" w:color="auto"/>
            </w:tcBorders>
            <w:shd w:val="pct25" w:color="auto" w:fill="auto"/>
            <w:textDirection w:val="lrTb"/>
            <w:vAlign w:val="bottom"/>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884 743</w:t>
            </w:r>
          </w:p>
        </w:tc>
        <w:tc>
          <w:tcPr>
            <w:tcW w:w="855" w:type="dxa"/>
            <w:tcBorders>
              <w:top w:val="single" w:sz="4" w:space="0" w:color="auto"/>
              <w:left w:val="single" w:sz="4" w:space="0" w:color="auto"/>
              <w:bottom w:val="single" w:sz="4" w:space="0" w:color="auto"/>
              <w:right w:val="single" w:sz="4" w:space="0" w:color="auto"/>
            </w:tcBorders>
            <w:shd w:val="pct25" w:color="auto" w:fill="auto"/>
            <w:textDirection w:val="lrTb"/>
            <w:vAlign w:val="bottom"/>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862 072</w:t>
            </w:r>
          </w:p>
        </w:tc>
        <w:tc>
          <w:tcPr>
            <w:tcW w:w="856" w:type="dxa"/>
            <w:tcBorders>
              <w:top w:val="single" w:sz="4" w:space="0" w:color="auto"/>
              <w:left w:val="single" w:sz="4" w:space="0" w:color="auto"/>
              <w:bottom w:val="single" w:sz="4" w:space="0" w:color="auto"/>
              <w:right w:val="single" w:sz="4" w:space="0" w:color="auto"/>
            </w:tcBorders>
            <w:shd w:val="pct25" w:color="auto" w:fill="auto"/>
            <w:textDirection w:val="lrTb"/>
            <w:vAlign w:val="bottom"/>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929 422</w:t>
            </w:r>
          </w:p>
        </w:tc>
        <w:tc>
          <w:tcPr>
            <w:tcW w:w="856" w:type="dxa"/>
            <w:tcBorders>
              <w:top w:val="single" w:sz="4" w:space="0" w:color="auto"/>
              <w:left w:val="single" w:sz="4" w:space="0" w:color="auto"/>
              <w:bottom w:val="single" w:sz="4" w:space="0" w:color="auto"/>
              <w:right w:val="single" w:sz="4" w:space="0" w:color="auto"/>
            </w:tcBorders>
            <w:shd w:val="pct25" w:color="auto" w:fill="auto"/>
            <w:textDirection w:val="lrTb"/>
            <w:vAlign w:val="bottom"/>
            <w:hideMark/>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860 381</w:t>
            </w:r>
          </w:p>
        </w:tc>
        <w:tc>
          <w:tcPr>
            <w:tcW w:w="856" w:type="dxa"/>
            <w:tcBorders>
              <w:top w:val="single" w:sz="4" w:space="0" w:color="auto"/>
              <w:left w:val="single" w:sz="4" w:space="0" w:color="auto"/>
              <w:bottom w:val="single" w:sz="4" w:space="0" w:color="auto"/>
              <w:right w:val="single" w:sz="4" w:space="0" w:color="auto"/>
            </w:tcBorders>
            <w:shd w:val="pct25" w:color="auto" w:fill="auto"/>
            <w:textDirection w:val="lrTb"/>
            <w:vAlign w:val="bottom"/>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718 772</w:t>
            </w:r>
          </w:p>
        </w:tc>
        <w:tc>
          <w:tcPr>
            <w:tcW w:w="856" w:type="dxa"/>
            <w:tcBorders>
              <w:top w:val="single" w:sz="4" w:space="0" w:color="auto"/>
              <w:left w:val="single" w:sz="4" w:space="0" w:color="auto"/>
              <w:bottom w:val="single" w:sz="4" w:space="0" w:color="auto"/>
              <w:right w:val="single" w:sz="4" w:space="0" w:color="auto"/>
            </w:tcBorders>
            <w:shd w:val="pct25" w:color="auto" w:fill="auto"/>
            <w:textDirection w:val="lrTb"/>
            <w:vAlign w:val="bottom"/>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815 877</w:t>
            </w:r>
          </w:p>
        </w:tc>
        <w:tc>
          <w:tcPr>
            <w:tcW w:w="856" w:type="dxa"/>
            <w:tcBorders>
              <w:top w:val="single" w:sz="4" w:space="0" w:color="auto"/>
              <w:left w:val="single" w:sz="4" w:space="0" w:color="auto"/>
              <w:bottom w:val="single" w:sz="4" w:space="0" w:color="auto"/>
              <w:right w:val="single" w:sz="4" w:space="0" w:color="auto"/>
            </w:tcBorders>
            <w:shd w:val="pct25" w:color="auto" w:fill="auto"/>
            <w:textDirection w:val="lrTb"/>
            <w:vAlign w:val="bottom"/>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839 681</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tcPr>
          <w:p w:rsidR="006C0389" w:rsidRPr="002767D4" w:rsidP="000008FE">
            <w:pPr>
              <w:bidi w:val="0"/>
              <w:rPr>
                <w:rFonts w:ascii="Times New Roman" w:hAnsi="Times New Roman"/>
                <w:bCs/>
                <w:iCs/>
                <w:sz w:val="16"/>
                <w:szCs w:val="16"/>
              </w:rPr>
            </w:pPr>
            <w:r w:rsidRPr="002767D4">
              <w:rPr>
                <w:rFonts w:ascii="Times New Roman" w:hAnsi="Times New Roman"/>
                <w:b/>
                <w:bCs/>
                <w:iCs/>
                <w:sz w:val="16"/>
                <w:szCs w:val="16"/>
              </w:rPr>
              <w:t>z toho:</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center"/>
          </w:tcPr>
          <w:p w:rsidR="006C0389" w:rsidRPr="002767D4" w:rsidP="000008FE">
            <w:pPr>
              <w:bidi w:val="0"/>
              <w:jc w:val="right"/>
              <w:rPr>
                <w:rFonts w:ascii="Times New Roman" w:hAnsi="Times New Roman"/>
                <w:b/>
                <w:bCs/>
                <w:iCs/>
                <w:sz w:val="16"/>
                <w:szCs w:val="16"/>
              </w:rPr>
            </w:pP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rPr>
                <w:rFonts w:ascii="Times New Roman" w:hAnsi="Times New Roman"/>
                <w:bCs/>
                <w:iCs/>
                <w:sz w:val="16"/>
                <w:szCs w:val="16"/>
              </w:rPr>
            </w:pPr>
            <w:r w:rsidRPr="002767D4">
              <w:rPr>
                <w:rFonts w:ascii="Times New Roman" w:hAnsi="Times New Roman"/>
                <w:sz w:val="16"/>
                <w:szCs w:val="16"/>
              </w:rPr>
              <w:t>▪ b</w:t>
            </w:r>
            <w:r w:rsidRPr="002767D4">
              <w:rPr>
                <w:rFonts w:ascii="Times New Roman" w:hAnsi="Times New Roman"/>
                <w:bCs/>
                <w:iCs/>
                <w:sz w:val="16"/>
                <w:szCs w:val="16"/>
              </w:rPr>
              <w:t>ežné výdavky, v tom:</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413 308</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419 690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426 218</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409 872</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417 286</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418 058</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411 597</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ind w:firstLine="160" w:firstLineChars="100"/>
              <w:rPr>
                <w:rFonts w:ascii="Times New Roman" w:hAnsi="Times New Roman"/>
                <w:sz w:val="16"/>
                <w:szCs w:val="16"/>
              </w:rPr>
            </w:pPr>
            <w:r w:rsidRPr="002767D4">
              <w:rPr>
                <w:rFonts w:ascii="Times New Roman" w:hAnsi="Times New Roman"/>
                <w:sz w:val="16"/>
                <w:szCs w:val="16"/>
              </w:rPr>
              <w:t xml:space="preserve"> mzdy</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143 844</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146 063</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color w:val="000000"/>
                <w:sz w:val="16"/>
                <w:szCs w:val="16"/>
              </w:rPr>
            </w:pPr>
            <w:r w:rsidRPr="002767D4">
              <w:rPr>
                <w:rFonts w:ascii="Times New Roman" w:hAnsi="Times New Roman"/>
                <w:color w:val="000000"/>
                <w:sz w:val="16"/>
                <w:szCs w:val="16"/>
              </w:rPr>
              <w:t>150 552</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color w:val="000000"/>
                <w:sz w:val="16"/>
                <w:szCs w:val="16"/>
              </w:rPr>
            </w:pPr>
            <w:r w:rsidRPr="002767D4">
              <w:rPr>
                <w:rFonts w:ascii="Times New Roman" w:hAnsi="Times New Roman"/>
                <w:color w:val="000000"/>
                <w:sz w:val="16"/>
                <w:szCs w:val="16"/>
              </w:rPr>
              <w:t>150 187</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154 338</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154 338</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154 338</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ind w:firstLine="160" w:firstLineChars="100"/>
              <w:rPr>
                <w:rFonts w:ascii="Times New Roman" w:hAnsi="Times New Roman"/>
                <w:sz w:val="16"/>
                <w:szCs w:val="16"/>
              </w:rPr>
            </w:pPr>
            <w:r w:rsidRPr="002767D4">
              <w:rPr>
                <w:rFonts w:ascii="Times New Roman" w:hAnsi="Times New Roman"/>
                <w:sz w:val="16"/>
                <w:szCs w:val="16"/>
              </w:rPr>
              <w:t xml:space="preserve"> poistné</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54 976</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52 065</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color w:val="000000"/>
                <w:sz w:val="16"/>
                <w:szCs w:val="16"/>
              </w:rPr>
            </w:pPr>
            <w:r w:rsidRPr="002767D4">
              <w:rPr>
                <w:rFonts w:ascii="Times New Roman" w:hAnsi="Times New Roman"/>
                <w:color w:val="000000"/>
                <w:sz w:val="16"/>
                <w:szCs w:val="16"/>
              </w:rPr>
              <w:t>52 994</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color w:val="000000"/>
                <w:sz w:val="16"/>
                <w:szCs w:val="16"/>
              </w:rPr>
            </w:pPr>
            <w:r w:rsidRPr="002767D4">
              <w:rPr>
                <w:rFonts w:ascii="Times New Roman" w:hAnsi="Times New Roman"/>
                <w:color w:val="000000"/>
                <w:sz w:val="16"/>
                <w:szCs w:val="16"/>
              </w:rPr>
              <w:t>54 329</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54 327</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54 327</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54 687</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ind w:firstLine="160" w:firstLineChars="100"/>
              <w:rPr>
                <w:rFonts w:ascii="Times New Roman" w:hAnsi="Times New Roman"/>
                <w:sz w:val="16"/>
                <w:szCs w:val="16"/>
              </w:rPr>
            </w:pPr>
            <w:r w:rsidRPr="002767D4">
              <w:rPr>
                <w:rFonts w:ascii="Times New Roman" w:hAnsi="Times New Roman"/>
                <w:sz w:val="16"/>
                <w:szCs w:val="16"/>
              </w:rPr>
              <w:t xml:space="preserve"> tovary a služby</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214 238</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214 547</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218 925</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202 702</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206 642</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206 868</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200 593</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ind w:firstLine="160" w:firstLineChars="100"/>
              <w:rPr>
                <w:rFonts w:ascii="Times New Roman" w:hAnsi="Times New Roman"/>
                <w:sz w:val="16"/>
                <w:szCs w:val="16"/>
              </w:rPr>
            </w:pPr>
            <w:r w:rsidRPr="002767D4">
              <w:rPr>
                <w:rFonts w:ascii="Times New Roman" w:hAnsi="Times New Roman"/>
                <w:sz w:val="16"/>
                <w:szCs w:val="16"/>
              </w:rPr>
              <w:t xml:space="preserve"> bežné transfery</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250</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1 940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1 747</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2 014</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900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1 446</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900</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ind w:firstLine="160" w:firstLineChars="100"/>
              <w:rPr>
                <w:rFonts w:ascii="Times New Roman" w:hAnsi="Times New Roman"/>
                <w:sz w:val="16"/>
                <w:szCs w:val="16"/>
              </w:rPr>
            </w:pPr>
            <w:r w:rsidRPr="002767D4">
              <w:rPr>
                <w:rFonts w:ascii="Times New Roman" w:hAnsi="Times New Roman"/>
                <w:sz w:val="16"/>
                <w:szCs w:val="16"/>
              </w:rPr>
              <w:t xml:space="preserve"> splác. úrokov a ost. platby súvis. s úverom</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ind w:firstLine="160" w:firstLineChars="100"/>
              <w:jc w:val="right"/>
              <w:rPr>
                <w:rFonts w:ascii="Times New Roman" w:hAnsi="Times New Roman"/>
                <w:sz w:val="16"/>
                <w:szCs w:val="16"/>
              </w:rPr>
            </w:pPr>
            <w:r w:rsidRPr="002767D4">
              <w:rPr>
                <w:rFonts w:ascii="Times New Roman" w:hAnsi="Times New Roman"/>
                <w:sz w:val="16"/>
                <w:szCs w:val="16"/>
              </w:rPr>
              <w:t>0 </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5 075</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2 000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1 079</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1 079</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1 079</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rPr>
                <w:rFonts w:ascii="Times New Roman" w:hAnsi="Times New Roman"/>
                <w:bCs/>
                <w:iCs/>
                <w:sz w:val="16"/>
                <w:szCs w:val="16"/>
              </w:rPr>
            </w:pPr>
            <w:r w:rsidRPr="002767D4">
              <w:rPr>
                <w:rFonts w:ascii="Times New Roman" w:hAnsi="Times New Roman"/>
                <w:sz w:val="16"/>
                <w:szCs w:val="16"/>
              </w:rPr>
              <w:t>▪ k</w:t>
            </w:r>
            <w:r w:rsidRPr="002767D4">
              <w:rPr>
                <w:rFonts w:ascii="Times New Roman" w:hAnsi="Times New Roman"/>
                <w:bCs/>
                <w:iCs/>
                <w:sz w:val="16"/>
                <w:szCs w:val="16"/>
              </w:rPr>
              <w:t>apitálové výdavky, v tom:</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311 393</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379 642</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503 204</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sz w:val="16"/>
                <w:szCs w:val="16"/>
              </w:rPr>
              <w:t>449 009</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301 486</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397 819</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428 084</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ind w:firstLine="160" w:firstLineChars="100"/>
              <w:rPr>
                <w:rFonts w:ascii="Times New Roman" w:hAnsi="Times New Roman"/>
                <w:sz w:val="16"/>
                <w:szCs w:val="16"/>
              </w:rPr>
            </w:pPr>
            <w:r w:rsidRPr="002767D4">
              <w:rPr>
                <w:rFonts w:ascii="Times New Roman" w:hAnsi="Times New Roman"/>
                <w:sz w:val="16"/>
                <w:szCs w:val="16"/>
              </w:rPr>
              <w:t xml:space="preserve"> obstarávanie kapitálových aktív, z toho:</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311 393</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379 642</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503 204</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449 009</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301 486</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397 819</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428 084</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ind w:firstLine="160" w:firstLineChars="100"/>
              <w:rPr>
                <w:rFonts w:ascii="Times New Roman" w:hAnsi="Times New Roman"/>
                <w:sz w:val="16"/>
                <w:szCs w:val="16"/>
              </w:rPr>
            </w:pPr>
            <w:r w:rsidRPr="002767D4">
              <w:rPr>
                <w:rFonts w:ascii="Times New Roman" w:hAnsi="Times New Roman"/>
                <w:sz w:val="16"/>
                <w:szCs w:val="16"/>
              </w:rPr>
              <w:t xml:space="preserve">      zo zdrojov ŠR</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22 566</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36 466</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85 035</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99 129</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63 320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color w:val="000000"/>
                <w:sz w:val="16"/>
                <w:szCs w:val="16"/>
              </w:rPr>
            </w:pPr>
            <w:r w:rsidRPr="002767D4">
              <w:rPr>
                <w:rFonts w:ascii="Times New Roman" w:hAnsi="Times New Roman"/>
                <w:color w:val="000000"/>
                <w:sz w:val="16"/>
                <w:szCs w:val="16"/>
              </w:rPr>
              <w:t>33 320</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767D4" w:rsidP="000008FE">
            <w:pPr>
              <w:bidi w:val="0"/>
              <w:jc w:val="right"/>
              <w:rPr>
                <w:rFonts w:ascii="Times New Roman" w:hAnsi="Times New Roman"/>
                <w:color w:val="000000"/>
                <w:sz w:val="16"/>
                <w:szCs w:val="16"/>
              </w:rPr>
            </w:pPr>
            <w:r w:rsidRPr="002767D4">
              <w:rPr>
                <w:rFonts w:ascii="Times New Roman" w:hAnsi="Times New Roman"/>
                <w:color w:val="000000"/>
                <w:sz w:val="16"/>
                <w:szCs w:val="16"/>
              </w:rPr>
              <w:t>33 320</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ind w:firstLine="160" w:firstLineChars="100"/>
              <w:rPr>
                <w:rFonts w:ascii="Times New Roman" w:hAnsi="Times New Roman"/>
                <w:sz w:val="16"/>
                <w:szCs w:val="16"/>
              </w:rPr>
            </w:pPr>
            <w:r w:rsidRPr="002767D4">
              <w:rPr>
                <w:rFonts w:ascii="Times New Roman" w:hAnsi="Times New Roman"/>
                <w:sz w:val="16"/>
                <w:szCs w:val="16"/>
              </w:rPr>
              <w:t xml:space="preserve">      zo zdrojov EÚ</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130 264</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127 651</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259 220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163 098</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117 490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color w:val="000000"/>
                <w:sz w:val="16"/>
                <w:szCs w:val="16"/>
              </w:rPr>
            </w:pPr>
            <w:r w:rsidRPr="002767D4">
              <w:rPr>
                <w:rFonts w:ascii="Times New Roman" w:hAnsi="Times New Roman"/>
                <w:color w:val="000000"/>
                <w:sz w:val="16"/>
                <w:szCs w:val="16"/>
              </w:rPr>
              <w:t>228 041</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767D4" w:rsidP="000008FE">
            <w:pPr>
              <w:bidi w:val="0"/>
              <w:jc w:val="right"/>
              <w:rPr>
                <w:rFonts w:ascii="Times New Roman" w:hAnsi="Times New Roman"/>
                <w:color w:val="000000"/>
                <w:sz w:val="16"/>
                <w:szCs w:val="16"/>
              </w:rPr>
            </w:pPr>
            <w:r w:rsidRPr="002767D4">
              <w:rPr>
                <w:rFonts w:ascii="Times New Roman" w:hAnsi="Times New Roman"/>
                <w:color w:val="000000"/>
                <w:sz w:val="16"/>
                <w:szCs w:val="16"/>
              </w:rPr>
              <w:t>264 667</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ind w:firstLine="160" w:firstLineChars="100"/>
              <w:rPr>
                <w:rFonts w:ascii="Times New Roman" w:hAnsi="Times New Roman"/>
                <w:sz w:val="16"/>
                <w:szCs w:val="16"/>
              </w:rPr>
            </w:pPr>
            <w:r w:rsidRPr="002767D4">
              <w:rPr>
                <w:rFonts w:ascii="Times New Roman" w:hAnsi="Times New Roman"/>
                <w:sz w:val="16"/>
                <w:szCs w:val="16"/>
              </w:rPr>
              <w:t xml:space="preserve">      zo zdrojov spolufinancovania zo ŠR</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22 988</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22 527</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45 744</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28 782</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20 843</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color w:val="000000"/>
                <w:sz w:val="16"/>
                <w:szCs w:val="16"/>
              </w:rPr>
            </w:pPr>
            <w:r w:rsidRPr="002767D4">
              <w:rPr>
                <w:rFonts w:ascii="Times New Roman" w:hAnsi="Times New Roman"/>
                <w:color w:val="000000"/>
                <w:sz w:val="16"/>
                <w:szCs w:val="16"/>
              </w:rPr>
              <w:t>40 243</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767D4" w:rsidP="000008FE">
            <w:pPr>
              <w:bidi w:val="0"/>
              <w:jc w:val="right"/>
              <w:rPr>
                <w:rFonts w:ascii="Times New Roman" w:hAnsi="Times New Roman"/>
                <w:color w:val="000000"/>
                <w:sz w:val="16"/>
                <w:szCs w:val="16"/>
              </w:rPr>
            </w:pPr>
            <w:r w:rsidRPr="002767D4">
              <w:rPr>
                <w:rFonts w:ascii="Times New Roman" w:hAnsi="Times New Roman"/>
                <w:color w:val="000000"/>
                <w:sz w:val="16"/>
                <w:szCs w:val="16"/>
              </w:rPr>
              <w:t>46 706</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ind w:firstLine="160" w:firstLineChars="100"/>
              <w:rPr>
                <w:rFonts w:ascii="Times New Roman" w:hAnsi="Times New Roman"/>
                <w:sz w:val="16"/>
                <w:szCs w:val="16"/>
              </w:rPr>
            </w:pPr>
            <w:r w:rsidRPr="002767D4">
              <w:rPr>
                <w:rFonts w:ascii="Times New Roman" w:hAnsi="Times New Roman"/>
                <w:sz w:val="16"/>
                <w:szCs w:val="16"/>
              </w:rPr>
              <w:t xml:space="preserve">      ostatné zdroje</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135 575</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192 998</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113 205</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158 000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99 833</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96 215</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83 391</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767D4" w:rsidP="000008FE">
            <w:pPr>
              <w:bidi w:val="0"/>
              <w:rPr>
                <w:rFonts w:ascii="Times New Roman" w:hAnsi="Times New Roman"/>
                <w:bCs/>
                <w:iCs/>
                <w:sz w:val="16"/>
                <w:szCs w:val="16"/>
              </w:rPr>
            </w:pPr>
            <w:r w:rsidRPr="002767D4">
              <w:rPr>
                <w:rFonts w:ascii="Times New Roman" w:hAnsi="Times New Roman"/>
                <w:sz w:val="16"/>
                <w:szCs w:val="16"/>
              </w:rPr>
              <w:t>▪ vý</w:t>
            </w:r>
            <w:r w:rsidRPr="002767D4">
              <w:rPr>
                <w:rFonts w:ascii="Times New Roman" w:hAnsi="Times New Roman"/>
                <w:bCs/>
                <w:iCs/>
                <w:sz w:val="16"/>
                <w:szCs w:val="16"/>
              </w:rPr>
              <w:t xml:space="preserve">d. z trans. s fin. akt. a pas., v tom: (FO) </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 xml:space="preserve">160 042 </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62 740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1 500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767D4" w:rsidP="000008FE">
            <w:pPr>
              <w:bidi w:val="0"/>
              <w:rPr>
                <w:rFonts w:ascii="Times New Roman" w:hAnsi="Times New Roman"/>
                <w:sz w:val="16"/>
                <w:szCs w:val="16"/>
              </w:rPr>
            </w:pPr>
            <w:r w:rsidRPr="002767D4">
              <w:rPr>
                <w:rFonts w:ascii="Times New Roman" w:hAnsi="Times New Roman"/>
                <w:sz w:val="16"/>
                <w:szCs w:val="16"/>
              </w:rPr>
              <w:t>▪ splácanie istín</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ind w:firstLine="160" w:firstLineChars="100"/>
              <w:jc w:val="right"/>
              <w:rPr>
                <w:rFonts w:ascii="Times New Roman" w:hAnsi="Times New Roman"/>
                <w:sz w:val="16"/>
                <w:szCs w:val="16"/>
              </w:rPr>
            </w:pPr>
            <w:r w:rsidRPr="002767D4">
              <w:rPr>
                <w:rFonts w:ascii="Times New Roman" w:hAnsi="Times New Roman"/>
                <w:sz w:val="16"/>
                <w:szCs w:val="16"/>
              </w:rPr>
              <w:t>160 042</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62 740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1 500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6C0389" w:rsidRPr="002767D4" w:rsidP="000008FE">
            <w:pPr>
              <w:bidi w:val="0"/>
              <w:rPr>
                <w:rFonts w:ascii="Times New Roman" w:hAnsi="Times New Roman"/>
                <w:b/>
                <w:bCs/>
                <w:iCs/>
                <w:sz w:val="16"/>
                <w:szCs w:val="16"/>
              </w:rPr>
            </w:pPr>
            <w:r w:rsidRPr="002767D4">
              <w:rPr>
                <w:rFonts w:ascii="Times New Roman" w:hAnsi="Times New Roman"/>
                <w:b/>
                <w:bCs/>
                <w:iCs/>
                <w:sz w:val="16"/>
                <w:szCs w:val="16"/>
              </w:rPr>
              <w:t>Celkový prebytok/schodok (+/-) ŽSR</w:t>
            </w:r>
          </w:p>
        </w:tc>
        <w:tc>
          <w:tcPr>
            <w:tcW w:w="855"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104 673</w:t>
            </w:r>
          </w:p>
        </w:tc>
        <w:tc>
          <w:tcPr>
            <w:tcW w:w="855"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59 774</w:t>
            </w:r>
          </w:p>
        </w:tc>
        <w:tc>
          <w:tcPr>
            <w:tcW w:w="856"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94 193</w:t>
            </w:r>
          </w:p>
        </w:tc>
        <w:tc>
          <w:tcPr>
            <w:tcW w:w="856"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37 695</w:t>
            </w:r>
          </w:p>
        </w:tc>
        <w:tc>
          <w:tcPr>
            <w:tcW w:w="856"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37 695</w:t>
            </w:r>
          </w:p>
        </w:tc>
        <w:tc>
          <w:tcPr>
            <w:tcW w:w="856"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37 695</w:t>
            </w:r>
          </w:p>
        </w:tc>
        <w:tc>
          <w:tcPr>
            <w:tcW w:w="856"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37 695</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767D4" w:rsidP="000008FE">
            <w:pPr>
              <w:bidi w:val="0"/>
              <w:rPr>
                <w:rFonts w:ascii="Times New Roman" w:hAnsi="Times New Roman"/>
                <w:b/>
                <w:bCs/>
                <w:iCs/>
                <w:color w:val="000000"/>
                <w:sz w:val="16"/>
                <w:szCs w:val="16"/>
              </w:rPr>
            </w:pPr>
            <w:r w:rsidRPr="002767D4">
              <w:rPr>
                <w:rFonts w:ascii="Times New Roman" w:hAnsi="Times New Roman"/>
                <w:b/>
                <w:bCs/>
                <w:iCs/>
                <w:color w:val="000000"/>
                <w:sz w:val="16"/>
                <w:szCs w:val="16"/>
              </w:rPr>
              <w:t>vylúčenie finančných operácií</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
                <w:bCs/>
                <w:sz w:val="16"/>
                <w:szCs w:val="16"/>
              </w:rPr>
            </w:pPr>
            <w:r w:rsidRPr="002767D4">
              <w:rPr>
                <w:rFonts w:ascii="Times New Roman" w:hAnsi="Times New Roman"/>
                <w:b/>
                <w:bCs/>
                <w:sz w:val="16"/>
                <w:szCs w:val="16"/>
              </w:rPr>
              <w:t>-27 681</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
                <w:bCs/>
                <w:sz w:val="16"/>
                <w:szCs w:val="16"/>
              </w:rPr>
            </w:pPr>
            <w:r w:rsidRPr="002767D4">
              <w:rPr>
                <w:rFonts w:ascii="Times New Roman" w:hAnsi="Times New Roman"/>
                <w:b/>
                <w:bCs/>
                <w:sz w:val="16"/>
                <w:szCs w:val="16"/>
              </w:rPr>
              <w:t>-104 671</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767D4" w:rsidP="000008FE">
            <w:pPr>
              <w:bidi w:val="0"/>
              <w:jc w:val="right"/>
              <w:rPr>
                <w:rFonts w:ascii="Times New Roman" w:hAnsi="Times New Roman"/>
                <w:b/>
                <w:bCs/>
                <w:sz w:val="16"/>
                <w:szCs w:val="16"/>
              </w:rPr>
            </w:pPr>
            <w:r w:rsidRPr="002767D4">
              <w:rPr>
                <w:rFonts w:ascii="Times New Roman" w:hAnsi="Times New Roman"/>
                <w:b/>
                <w:bCs/>
                <w:sz w:val="16"/>
                <w:szCs w:val="16"/>
              </w:rPr>
              <w:t>-94 193</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767D4" w:rsidP="000008FE">
            <w:pPr>
              <w:bidi w:val="0"/>
              <w:jc w:val="right"/>
              <w:rPr>
                <w:rFonts w:ascii="Times New Roman" w:hAnsi="Times New Roman"/>
                <w:b/>
                <w:bCs/>
                <w:sz w:val="16"/>
                <w:szCs w:val="16"/>
              </w:rPr>
            </w:pPr>
            <w:r w:rsidRPr="002767D4">
              <w:rPr>
                <w:rFonts w:ascii="Times New Roman" w:hAnsi="Times New Roman"/>
                <w:b/>
                <w:bCs/>
                <w:sz w:val="16"/>
                <w:szCs w:val="16"/>
              </w:rPr>
              <w:t>-58 274</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767D4" w:rsidP="000008FE">
            <w:pPr>
              <w:bidi w:val="0"/>
              <w:jc w:val="right"/>
              <w:rPr>
                <w:rFonts w:ascii="Times New Roman" w:hAnsi="Times New Roman"/>
                <w:b/>
                <w:bCs/>
                <w:sz w:val="16"/>
                <w:szCs w:val="16"/>
              </w:rPr>
            </w:pPr>
            <w:r w:rsidRPr="002767D4">
              <w:rPr>
                <w:rFonts w:ascii="Times New Roman" w:hAnsi="Times New Roman"/>
                <w:b/>
                <w:bCs/>
                <w:sz w:val="16"/>
                <w:szCs w:val="16"/>
              </w:rPr>
              <w:t>-37 695</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767D4" w:rsidP="000008FE">
            <w:pPr>
              <w:bidi w:val="0"/>
              <w:jc w:val="right"/>
              <w:rPr>
                <w:rFonts w:ascii="Times New Roman" w:hAnsi="Times New Roman"/>
                <w:b/>
                <w:bCs/>
                <w:sz w:val="16"/>
                <w:szCs w:val="16"/>
              </w:rPr>
            </w:pPr>
            <w:r w:rsidRPr="002767D4">
              <w:rPr>
                <w:rFonts w:ascii="Times New Roman" w:hAnsi="Times New Roman"/>
                <w:b/>
                <w:bCs/>
                <w:sz w:val="16"/>
                <w:szCs w:val="16"/>
              </w:rPr>
              <w:t>-37 695</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767D4" w:rsidP="000008FE">
            <w:pPr>
              <w:bidi w:val="0"/>
              <w:jc w:val="right"/>
              <w:rPr>
                <w:rFonts w:ascii="Times New Roman" w:hAnsi="Times New Roman"/>
                <w:b/>
                <w:bCs/>
                <w:sz w:val="16"/>
                <w:szCs w:val="16"/>
              </w:rPr>
            </w:pPr>
            <w:r w:rsidRPr="002767D4">
              <w:rPr>
                <w:rFonts w:ascii="Times New Roman" w:hAnsi="Times New Roman"/>
                <w:b/>
                <w:bCs/>
                <w:sz w:val="16"/>
                <w:szCs w:val="16"/>
              </w:rPr>
              <w:t>-37 695</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noWrap/>
            <w:textDirection w:val="lrTb"/>
            <w:vAlign w:val="bottom"/>
          </w:tcPr>
          <w:p w:rsidR="006C0389" w:rsidRPr="002767D4" w:rsidP="000008FE">
            <w:pPr>
              <w:bidi w:val="0"/>
              <w:rPr>
                <w:rFonts w:ascii="Times New Roman" w:hAnsi="Times New Roman"/>
                <w:color w:val="000000"/>
                <w:sz w:val="16"/>
                <w:szCs w:val="16"/>
              </w:rPr>
            </w:pPr>
            <w:r w:rsidRPr="002767D4">
              <w:rPr>
                <w:rFonts w:ascii="Times New Roman" w:hAnsi="Times New Roman"/>
                <w:bCs/>
                <w:iCs/>
                <w:sz w:val="16"/>
                <w:szCs w:val="16"/>
              </w:rPr>
              <w:t>z toho:</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767D4" w:rsidP="000008FE">
            <w:pPr>
              <w:bidi w:val="0"/>
              <w:jc w:val="center"/>
              <w:rPr>
                <w:rFonts w:ascii="Times New Roman" w:hAnsi="Times New Roman"/>
                <w:sz w:val="16"/>
                <w:szCs w:val="16"/>
              </w:rPr>
            </w:pPr>
            <w:r w:rsidRPr="002767D4">
              <w:rPr>
                <w:rFonts w:ascii="Times New Roman" w:hAnsi="Times New Roman"/>
                <w:bCs/>
                <w:iCs/>
                <w:sz w:val="16"/>
                <w:szCs w:val="16"/>
              </w:rPr>
              <w:t>-</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767D4" w:rsidP="000008FE">
            <w:pPr>
              <w:bidi w:val="0"/>
              <w:jc w:val="right"/>
              <w:rPr>
                <w:rFonts w:ascii="Times New Roman" w:hAnsi="Times New Roman"/>
                <w:sz w:val="16"/>
                <w:szCs w:val="16"/>
              </w:rPr>
            </w:pP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767D4" w:rsidP="000008FE">
            <w:pPr>
              <w:bidi w:val="0"/>
              <w:jc w:val="right"/>
              <w:rPr>
                <w:rFonts w:ascii="Times New Roman" w:hAnsi="Times New Roman"/>
                <w:sz w:val="16"/>
                <w:szCs w:val="16"/>
              </w:rPr>
            </w:pP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767D4" w:rsidP="000008FE">
            <w:pPr>
              <w:bidi w:val="0"/>
              <w:jc w:val="right"/>
              <w:rPr>
                <w:rFonts w:ascii="Times New Roman" w:hAnsi="Times New Roman"/>
                <w:sz w:val="16"/>
                <w:szCs w:val="16"/>
              </w:rPr>
            </w:pP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767D4" w:rsidP="000008FE">
            <w:pPr>
              <w:bidi w:val="0"/>
              <w:jc w:val="right"/>
              <w:rPr>
                <w:rFonts w:ascii="Times New Roman" w:hAnsi="Times New Roman"/>
                <w:sz w:val="16"/>
                <w:szCs w:val="16"/>
              </w:rPr>
            </w:pP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767D4" w:rsidP="000008FE">
            <w:pPr>
              <w:bidi w:val="0"/>
              <w:rPr>
                <w:rFonts w:ascii="Times New Roman" w:hAnsi="Times New Roman"/>
                <w:color w:val="000000"/>
                <w:sz w:val="16"/>
                <w:szCs w:val="16"/>
              </w:rPr>
            </w:pPr>
            <w:r w:rsidRPr="002767D4">
              <w:rPr>
                <w:rFonts w:ascii="Times New Roman" w:hAnsi="Times New Roman"/>
                <w:color w:val="000000"/>
                <w:sz w:val="16"/>
                <w:szCs w:val="16"/>
              </w:rPr>
              <w:t>vylúčenie príjmových FO</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-187 723</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-167 411</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-94 193</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-59 774</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767D4" w:rsidP="000008FE">
            <w:pPr>
              <w:bidi w:val="0"/>
              <w:jc w:val="right"/>
              <w:rPr>
                <w:rFonts w:ascii="Times New Roman" w:hAnsi="Times New Roman"/>
                <w:bCs/>
                <w:sz w:val="16"/>
                <w:szCs w:val="16"/>
              </w:rPr>
            </w:pPr>
            <w:r w:rsidRPr="002767D4">
              <w:rPr>
                <w:rFonts w:ascii="Times New Roman" w:hAnsi="Times New Roman"/>
                <w:bCs/>
                <w:sz w:val="16"/>
                <w:szCs w:val="16"/>
              </w:rPr>
              <w:t>-37 695</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767D4" w:rsidP="000008FE">
            <w:pPr>
              <w:bidi w:val="0"/>
              <w:jc w:val="right"/>
              <w:rPr>
                <w:rFonts w:ascii="Times New Roman" w:hAnsi="Times New Roman"/>
                <w:bCs/>
                <w:sz w:val="16"/>
                <w:szCs w:val="16"/>
              </w:rPr>
            </w:pPr>
            <w:r w:rsidRPr="002767D4">
              <w:rPr>
                <w:rFonts w:ascii="Times New Roman" w:hAnsi="Times New Roman"/>
                <w:bCs/>
                <w:sz w:val="16"/>
                <w:szCs w:val="16"/>
              </w:rPr>
              <w:t>-37 695</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767D4" w:rsidP="000008FE">
            <w:pPr>
              <w:bidi w:val="0"/>
              <w:jc w:val="right"/>
              <w:rPr>
                <w:rFonts w:ascii="Times New Roman" w:hAnsi="Times New Roman"/>
                <w:bCs/>
                <w:sz w:val="16"/>
                <w:szCs w:val="16"/>
              </w:rPr>
            </w:pPr>
            <w:r w:rsidRPr="002767D4">
              <w:rPr>
                <w:rFonts w:ascii="Times New Roman" w:hAnsi="Times New Roman"/>
                <w:bCs/>
                <w:sz w:val="16"/>
                <w:szCs w:val="16"/>
              </w:rPr>
              <w:t>-37 695</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2767D4" w:rsidP="000008FE">
            <w:pPr>
              <w:bidi w:val="0"/>
              <w:rPr>
                <w:rFonts w:ascii="Times New Roman" w:hAnsi="Times New Roman"/>
                <w:color w:val="000000"/>
                <w:sz w:val="16"/>
                <w:szCs w:val="16"/>
              </w:rPr>
            </w:pPr>
            <w:r w:rsidRPr="002767D4">
              <w:rPr>
                <w:rFonts w:ascii="Times New Roman" w:hAnsi="Times New Roman"/>
                <w:color w:val="000000"/>
                <w:sz w:val="16"/>
                <w:szCs w:val="16"/>
              </w:rPr>
              <w:t>vylúčenie výdavkových FO</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160 042</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62 740</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1 500</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c>
          <w:tcPr>
            <w:tcW w:w="856" w:type="dxa"/>
            <w:tcBorders>
              <w:top w:val="single" w:sz="4" w:space="0" w:color="auto"/>
              <w:left w:val="single" w:sz="4" w:space="0" w:color="auto"/>
              <w:bottom w:val="single" w:sz="4" w:space="0" w:color="auto"/>
              <w:right w:val="single" w:sz="4" w:space="0" w:color="auto"/>
            </w:tcBorders>
            <w:shd w:val="clear" w:color="000000" w:fill="FFFFFF"/>
            <w:noWrap/>
            <w:textDirection w:val="lrTb"/>
            <w:vAlign w:val="bottom"/>
            <w:hideMark/>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0</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rPr>
                <w:rFonts w:ascii="Times New Roman" w:hAnsi="Times New Roman"/>
                <w:bCs/>
                <w:iCs/>
                <w:sz w:val="16"/>
                <w:szCs w:val="16"/>
              </w:rPr>
            </w:pPr>
            <w:r w:rsidRPr="002767D4">
              <w:rPr>
                <w:rFonts w:ascii="Times New Roman" w:hAnsi="Times New Roman"/>
                <w:bCs/>
                <w:iCs/>
                <w:sz w:val="16"/>
                <w:szCs w:val="16"/>
              </w:rPr>
              <w:t>medziročná zmena stavu pohľadávok</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98 250</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-63 264</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rPr>
                <w:rFonts w:ascii="Times New Roman" w:hAnsi="Times New Roman"/>
                <w:b/>
                <w:bCs/>
                <w:i/>
                <w:iCs/>
                <w:sz w:val="16"/>
                <w:szCs w:val="16"/>
              </w:rPr>
            </w:pPr>
            <w:r w:rsidRPr="002767D4">
              <w:rPr>
                <w:rFonts w:ascii="Times New Roman" w:hAnsi="Times New Roman"/>
                <w:b/>
                <w:bCs/>
                <w:i/>
                <w:iCs/>
                <w:sz w:val="16"/>
                <w:szCs w:val="16"/>
              </w:rPr>
              <w:t> </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743</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
                <w:bCs/>
                <w:sz w:val="16"/>
                <w:szCs w:val="16"/>
              </w:rPr>
            </w:pP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
                <w:bCs/>
                <w:sz w:val="16"/>
                <w:szCs w:val="16"/>
              </w:rPr>
            </w:pP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b/>
                <w:bCs/>
                <w:sz w:val="16"/>
                <w:szCs w:val="16"/>
              </w:rPr>
            </w:pP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textDirection w:val="lrTb"/>
            <w:vAlign w:val="bottom"/>
            <w:hideMark/>
          </w:tcPr>
          <w:p w:rsidR="006C0389" w:rsidRPr="002767D4" w:rsidP="000008FE">
            <w:pPr>
              <w:bidi w:val="0"/>
              <w:rPr>
                <w:rFonts w:ascii="Times New Roman" w:hAnsi="Times New Roman"/>
                <w:bCs/>
                <w:iCs/>
                <w:sz w:val="16"/>
                <w:szCs w:val="16"/>
              </w:rPr>
            </w:pPr>
            <w:r w:rsidRPr="002767D4">
              <w:rPr>
                <w:rFonts w:ascii="Times New Roman" w:hAnsi="Times New Roman"/>
                <w:bCs/>
                <w:iCs/>
                <w:sz w:val="16"/>
                <w:szCs w:val="16"/>
              </w:rPr>
              <w:t>medziročná zmena stavu záväzkov</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-116 991</w:t>
            </w:r>
          </w:p>
        </w:tc>
        <w:tc>
          <w:tcPr>
            <w:tcW w:w="855"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jc w:val="right"/>
              <w:rPr>
                <w:rFonts w:ascii="Times New Roman" w:hAnsi="Times New Roman"/>
                <w:sz w:val="16"/>
                <w:szCs w:val="16"/>
              </w:rPr>
            </w:pPr>
            <w:r w:rsidRPr="002767D4">
              <w:rPr>
                <w:rFonts w:ascii="Times New Roman" w:hAnsi="Times New Roman"/>
                <w:sz w:val="16"/>
                <w:szCs w:val="16"/>
              </w:rPr>
              <w:t>139 159</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tcPr>
          <w:p w:rsidR="006C0389" w:rsidRPr="002767D4" w:rsidP="000008FE">
            <w:pPr>
              <w:bidi w:val="0"/>
              <w:rPr>
                <w:rFonts w:ascii="Times New Roman" w:hAnsi="Times New Roman"/>
                <w:b/>
                <w:bCs/>
                <w:i/>
                <w:iCs/>
                <w:sz w:val="16"/>
                <w:szCs w:val="16"/>
              </w:rPr>
            </w:pPr>
            <w:r w:rsidRPr="002767D4">
              <w:rPr>
                <w:rFonts w:ascii="Times New Roman" w:hAnsi="Times New Roman"/>
                <w:b/>
                <w:bCs/>
                <w:i/>
                <w:iCs/>
                <w:sz w:val="16"/>
                <w:szCs w:val="16"/>
              </w:rPr>
              <w:t> </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767D4" w:rsidP="000008FE">
            <w:pPr>
              <w:bidi w:val="0"/>
              <w:jc w:val="right"/>
              <w:rPr>
                <w:rFonts w:ascii="Times New Roman" w:hAnsi="Times New Roman"/>
                <w:bCs/>
                <w:iCs/>
                <w:sz w:val="16"/>
                <w:szCs w:val="16"/>
              </w:rPr>
            </w:pPr>
            <w:r w:rsidRPr="002767D4">
              <w:rPr>
                <w:rFonts w:ascii="Times New Roman" w:hAnsi="Times New Roman"/>
                <w:bCs/>
                <w:iCs/>
                <w:sz w:val="16"/>
                <w:szCs w:val="16"/>
              </w:rPr>
              <w:t>4 753</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767D4" w:rsidP="000008FE">
            <w:pPr>
              <w:bidi w:val="0"/>
              <w:rPr>
                <w:rFonts w:ascii="Times New Roman" w:hAnsi="Times New Roman"/>
                <w:b/>
                <w:bCs/>
                <w:i/>
                <w:iCs/>
                <w:sz w:val="16"/>
                <w:szCs w:val="16"/>
              </w:rPr>
            </w:pPr>
            <w:r w:rsidRPr="002767D4">
              <w:rPr>
                <w:rFonts w:ascii="Times New Roman" w:hAnsi="Times New Roman"/>
                <w:b/>
                <w:bCs/>
                <w:i/>
                <w:iCs/>
                <w:sz w:val="16"/>
                <w:szCs w:val="16"/>
              </w:rPr>
              <w:t> </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767D4" w:rsidP="000008FE">
            <w:pPr>
              <w:bidi w:val="0"/>
              <w:rPr>
                <w:rFonts w:ascii="Times New Roman" w:hAnsi="Times New Roman"/>
                <w:b/>
                <w:bCs/>
                <w:i/>
                <w:iCs/>
                <w:sz w:val="16"/>
                <w:szCs w:val="16"/>
              </w:rPr>
            </w:pPr>
            <w:r w:rsidRPr="002767D4">
              <w:rPr>
                <w:rFonts w:ascii="Times New Roman" w:hAnsi="Times New Roman"/>
                <w:b/>
                <w:bCs/>
                <w:i/>
                <w:iCs/>
                <w:sz w:val="16"/>
                <w:szCs w:val="16"/>
              </w:rPr>
              <w:t> </w:t>
            </w:r>
          </w:p>
        </w:tc>
        <w:tc>
          <w:tcPr>
            <w:tcW w:w="856" w:type="dxa"/>
            <w:tcBorders>
              <w:top w:val="single" w:sz="4" w:space="0" w:color="auto"/>
              <w:left w:val="single" w:sz="4" w:space="0" w:color="auto"/>
              <w:bottom w:val="single" w:sz="4" w:space="0" w:color="auto"/>
              <w:right w:val="single" w:sz="4" w:space="0" w:color="auto"/>
            </w:tcBorders>
            <w:shd w:val="clear" w:color="000000" w:fill="FFFFFF"/>
            <w:textDirection w:val="lrTb"/>
            <w:vAlign w:val="bottom"/>
            <w:hideMark/>
          </w:tcPr>
          <w:p w:rsidR="006C0389" w:rsidRPr="002767D4" w:rsidP="000008FE">
            <w:pPr>
              <w:bidi w:val="0"/>
              <w:rPr>
                <w:rFonts w:ascii="Times New Roman" w:hAnsi="Times New Roman"/>
                <w:color w:val="000000"/>
                <w:sz w:val="16"/>
                <w:szCs w:val="16"/>
              </w:rPr>
            </w:pPr>
            <w:r w:rsidRPr="002767D4">
              <w:rPr>
                <w:rFonts w:ascii="Times New Roman" w:hAnsi="Times New Roman"/>
                <w:color w:val="000000"/>
                <w:sz w:val="16"/>
                <w:szCs w:val="16"/>
              </w:rPr>
              <w:t> </w:t>
            </w:r>
          </w:p>
        </w:tc>
      </w:tr>
      <w:tr>
        <w:tblPrEx>
          <w:tblW w:w="5000" w:type="pct"/>
          <w:tblLayout w:type="fixed"/>
          <w:tblCellMar>
            <w:left w:w="70" w:type="dxa"/>
            <w:right w:w="70" w:type="dxa"/>
          </w:tblCellMar>
          <w:tblLook w:val="04A0"/>
        </w:tblPrEx>
        <w:trPr>
          <w:trHeight w:hRule="exact" w:val="255"/>
        </w:trPr>
        <w:tc>
          <w:tcPr>
            <w:tcW w:w="3070"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6C0389" w:rsidRPr="002767D4" w:rsidP="00A74905">
            <w:pPr>
              <w:bidi w:val="0"/>
              <w:rPr>
                <w:rFonts w:ascii="Times New Roman" w:hAnsi="Times New Roman"/>
                <w:b/>
                <w:bCs/>
                <w:iCs/>
                <w:sz w:val="16"/>
                <w:szCs w:val="16"/>
              </w:rPr>
            </w:pPr>
            <w:r w:rsidRPr="002767D4">
              <w:rPr>
                <w:rFonts w:ascii="Times New Roman" w:hAnsi="Times New Roman"/>
                <w:b/>
                <w:bCs/>
                <w:iCs/>
                <w:sz w:val="16"/>
                <w:szCs w:val="16"/>
              </w:rPr>
              <w:t>Prebytok</w:t>
            </w:r>
            <w:r w:rsidRPr="003679CA" w:rsidR="00A74905">
              <w:rPr>
                <w:rFonts w:ascii="Times New Roman" w:hAnsi="Times New Roman"/>
                <w:b/>
                <w:bCs/>
                <w:iCs/>
                <w:sz w:val="16"/>
                <w:szCs w:val="16"/>
              </w:rPr>
              <w:t>(+)</w:t>
            </w:r>
            <w:r w:rsidRPr="003679CA">
              <w:rPr>
                <w:rFonts w:ascii="Times New Roman" w:hAnsi="Times New Roman"/>
                <w:b/>
                <w:bCs/>
                <w:iCs/>
                <w:sz w:val="16"/>
                <w:szCs w:val="16"/>
              </w:rPr>
              <w:t>/schodok (-)</w:t>
            </w:r>
            <w:r w:rsidRPr="002767D4">
              <w:rPr>
                <w:rFonts w:ascii="Times New Roman" w:hAnsi="Times New Roman"/>
                <w:b/>
                <w:bCs/>
                <w:iCs/>
                <w:sz w:val="16"/>
                <w:szCs w:val="16"/>
              </w:rPr>
              <w:t xml:space="preserve"> </w:t>
            </w:r>
            <w:r w:rsidR="00A74905">
              <w:rPr>
                <w:rFonts w:ascii="Times New Roman" w:hAnsi="Times New Roman"/>
                <w:b/>
                <w:bCs/>
                <w:iCs/>
                <w:sz w:val="16"/>
                <w:szCs w:val="16"/>
              </w:rPr>
              <w:t xml:space="preserve"> </w:t>
            </w:r>
            <w:r w:rsidRPr="002767D4">
              <w:rPr>
                <w:rFonts w:ascii="Times New Roman" w:hAnsi="Times New Roman"/>
                <w:b/>
                <w:bCs/>
                <w:iCs/>
                <w:sz w:val="16"/>
                <w:szCs w:val="16"/>
              </w:rPr>
              <w:t>ŽSR (ESA 2010)</w:t>
            </w:r>
          </w:p>
        </w:tc>
        <w:tc>
          <w:tcPr>
            <w:tcW w:w="855"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 xml:space="preserve">58 251 </w:t>
            </w:r>
          </w:p>
        </w:tc>
        <w:tc>
          <w:tcPr>
            <w:tcW w:w="855"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30 998</w:t>
            </w:r>
          </w:p>
        </w:tc>
        <w:tc>
          <w:tcPr>
            <w:tcW w:w="856"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0</w:t>
            </w:r>
          </w:p>
        </w:tc>
        <w:tc>
          <w:tcPr>
            <w:tcW w:w="856"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-15 083</w:t>
            </w:r>
          </w:p>
        </w:tc>
        <w:tc>
          <w:tcPr>
            <w:tcW w:w="856"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0</w:t>
            </w:r>
          </w:p>
        </w:tc>
        <w:tc>
          <w:tcPr>
            <w:tcW w:w="856"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0</w:t>
            </w:r>
          </w:p>
        </w:tc>
        <w:tc>
          <w:tcPr>
            <w:tcW w:w="856" w:type="dxa"/>
            <w:tcBorders>
              <w:top w:val="single" w:sz="4" w:space="0" w:color="auto"/>
              <w:left w:val="single" w:sz="4" w:space="0" w:color="auto"/>
              <w:bottom w:val="single" w:sz="4" w:space="0" w:color="auto"/>
              <w:right w:val="single" w:sz="4" w:space="0" w:color="auto"/>
            </w:tcBorders>
            <w:shd w:val="pct25" w:color="auto" w:fill="FFFFFF"/>
            <w:textDirection w:val="lrTb"/>
            <w:vAlign w:val="bottom"/>
            <w:hideMark/>
          </w:tcPr>
          <w:p w:rsidR="006C0389" w:rsidRPr="002767D4" w:rsidP="000008FE">
            <w:pPr>
              <w:bidi w:val="0"/>
              <w:jc w:val="right"/>
              <w:rPr>
                <w:rFonts w:ascii="Times New Roman" w:hAnsi="Times New Roman"/>
                <w:b/>
                <w:bCs/>
                <w:iCs/>
                <w:sz w:val="16"/>
                <w:szCs w:val="16"/>
              </w:rPr>
            </w:pPr>
            <w:r w:rsidRPr="002767D4">
              <w:rPr>
                <w:rFonts w:ascii="Times New Roman" w:hAnsi="Times New Roman"/>
                <w:b/>
                <w:bCs/>
                <w:iCs/>
                <w:sz w:val="16"/>
                <w:szCs w:val="16"/>
              </w:rPr>
              <w:t>0</w:t>
            </w:r>
          </w:p>
        </w:tc>
      </w:tr>
    </w:tbl>
    <w:p w:rsidR="006C0389" w:rsidRPr="002767D4" w:rsidP="006C0389">
      <w:pPr>
        <w:autoSpaceDE w:val="0"/>
        <w:autoSpaceDN w:val="0"/>
        <w:bidi w:val="0"/>
        <w:adjustRightInd w:val="0"/>
        <w:jc w:val="both"/>
        <w:rPr>
          <w:rFonts w:ascii="Times New Roman" w:hAnsi="Times New Roman"/>
          <w:sz w:val="16"/>
          <w:szCs w:val="16"/>
        </w:rPr>
      </w:pPr>
    </w:p>
    <w:p w:rsidR="006C0389" w:rsidRPr="002767D4" w:rsidP="006C0389">
      <w:pPr>
        <w:bidi w:val="0"/>
        <w:ind w:firstLine="708"/>
        <w:jc w:val="both"/>
        <w:rPr>
          <w:rFonts w:ascii="Times New Roman" w:hAnsi="Times New Roman"/>
        </w:rPr>
      </w:pPr>
      <w:r w:rsidRPr="002767D4">
        <w:rPr>
          <w:rFonts w:ascii="Times New Roman" w:hAnsi="Times New Roman"/>
        </w:rPr>
        <w:t xml:space="preserve">Príjmy ŽSR v roku 2016 predstavujú celkovú výšku 756 mil. eur, z toho transfer zo štátneho rozpočtu je rozpočtovaný vo výške 474 mil. eur a vlastné zdroje v sume 282 mil. eur. Vlastné príjmy ŽSR sa navrhujú najmä z platieb za poskytované služby. Rozpočtované príjmy v roku 2016 v porovnaní so schváleným rozpočtom roku 2015 sú nižšie o 267 mil. eur, čo predstavuje 26,1 % z dôvodu zníženia nedaňových príjmov, kapitálových transferov a zostatku prostriedkov z minulých rokov. </w:t>
      </w:r>
    </w:p>
    <w:p w:rsidR="006C0389" w:rsidRPr="006B53D9" w:rsidP="006C0389">
      <w:pPr>
        <w:bidi w:val="0"/>
        <w:ind w:firstLine="708"/>
        <w:jc w:val="both"/>
        <w:rPr>
          <w:rFonts w:ascii="Times New Roman" w:hAnsi="Times New Roman"/>
          <w:sz w:val="16"/>
          <w:szCs w:val="16"/>
        </w:rPr>
      </w:pPr>
    </w:p>
    <w:p w:rsidR="006C0389" w:rsidRPr="002767D4" w:rsidP="006C0389">
      <w:pPr>
        <w:bidi w:val="0"/>
        <w:ind w:firstLine="708"/>
        <w:jc w:val="both"/>
        <w:rPr>
          <w:rFonts w:ascii="Times New Roman" w:hAnsi="Times New Roman"/>
        </w:rPr>
      </w:pPr>
      <w:r w:rsidRPr="002767D4">
        <w:rPr>
          <w:rFonts w:ascii="Times New Roman" w:hAnsi="Times New Roman"/>
        </w:rPr>
        <w:t xml:space="preserve">Výdavky ŽSR v roku 2016 sa rozpočtujú v sume 719 mil. eur a v porovnaní </w:t>
        <w:br/>
        <w:t>so schváleným rozpočtom roku 2015  klesajú o 211 mil. eur, t. j. o 22,7 % z dôvodu zníženia bežných výdavkov o 8,93 mil. eur a kapitálových výdavkov o 202 mil. eur. Bežné výdavky  predstavujú čiastku 417 mil. eur a kapitálové výdavky sumu 302 mil. eur.</w:t>
      </w:r>
    </w:p>
    <w:p w:rsidR="006C0389" w:rsidRPr="002767D4" w:rsidP="006C0389">
      <w:pPr>
        <w:bidi w:val="0"/>
        <w:jc w:val="both"/>
        <w:rPr>
          <w:rFonts w:ascii="Times New Roman" w:hAnsi="Times New Roman"/>
          <w:sz w:val="16"/>
          <w:szCs w:val="16"/>
        </w:rPr>
      </w:pPr>
    </w:p>
    <w:p w:rsidR="006C0389" w:rsidRPr="002767D4" w:rsidP="006C0389">
      <w:pPr>
        <w:bidi w:val="0"/>
        <w:jc w:val="both"/>
        <w:rPr>
          <w:rFonts w:ascii="Times New Roman" w:hAnsi="Times New Roman"/>
        </w:rPr>
      </w:pPr>
      <w:r w:rsidRPr="002767D4">
        <w:rPr>
          <w:rFonts w:ascii="Times New Roman" w:hAnsi="Times New Roman"/>
        </w:rPr>
        <w:tab/>
        <w:t>Celkový hotovostný prebytok ŽSR sa rozpočtuje v roku 2016 vo výške 37,7 mil. eur,</w:t>
        <w:br/>
        <w:t xml:space="preserve">čo v porovnaní so schváleným rozpočtom roku 2015 predstavuje  pokles o 56,5 mil. eur, t. j. o 60,0 %. Saldo hospodárenia vyjadrené v metodike ESA 2010 sa v roku 2016 predpokladá vyrovnané, čo je na úrovni schváleného rozpočtu roku 2015.  </w:t>
      </w:r>
    </w:p>
    <w:p w:rsidR="006C0389" w:rsidP="006C0389">
      <w:pPr>
        <w:bidi w:val="0"/>
        <w:jc w:val="both"/>
        <w:rPr>
          <w:rFonts w:ascii="Times New Roman" w:hAnsi="Times New Roman"/>
        </w:rPr>
      </w:pPr>
    </w:p>
    <w:p w:rsidR="006C0389" w:rsidRPr="00366AA4" w:rsidP="006C0389">
      <w:pPr>
        <w:keepNext/>
        <w:bidi w:val="0"/>
        <w:outlineLvl w:val="0"/>
        <w:rPr>
          <w:rFonts w:ascii="Times New Roman" w:hAnsi="Times New Roman"/>
          <w:b/>
        </w:rPr>
      </w:pPr>
      <w:r w:rsidRPr="00366AA4">
        <w:rPr>
          <w:rFonts w:ascii="Times New Roman" w:hAnsi="Times New Roman"/>
          <w:b/>
        </w:rPr>
        <w:t>17. Národná diaľničná spoločnosť, a. s.</w:t>
      </w:r>
    </w:p>
    <w:p w:rsidR="006C0389" w:rsidRPr="00366AA4" w:rsidP="006C0389">
      <w:pPr>
        <w:bidi w:val="0"/>
        <w:jc w:val="both"/>
        <w:rPr>
          <w:rFonts w:ascii="Times New Roman" w:hAnsi="Times New Roman"/>
          <w:b/>
          <w:sz w:val="16"/>
          <w:szCs w:val="16"/>
        </w:rPr>
      </w:pPr>
    </w:p>
    <w:p w:rsidR="006C0389" w:rsidP="006C0389">
      <w:pPr>
        <w:autoSpaceDE w:val="0"/>
        <w:autoSpaceDN w:val="0"/>
        <w:bidi w:val="0"/>
        <w:adjustRightInd w:val="0"/>
        <w:ind w:firstLine="708"/>
        <w:jc w:val="both"/>
        <w:rPr>
          <w:rFonts w:ascii="Times New Roman" w:hAnsi="Times New Roman"/>
        </w:rPr>
      </w:pPr>
      <w:r w:rsidRPr="00366AA4">
        <w:rPr>
          <w:rFonts w:ascii="Times New Roman" w:hAnsi="Times New Roman"/>
        </w:rPr>
        <w:t xml:space="preserve">Národná diaľničná spoločnosť, a. s. (ďalej len „NDS“) zabezpečuje prípravu, realizáciu opráv a výstavbu diaľnic na základe programov ministerstva, programov schválených vládou vrátane spoločných programov Slovenskej republiky a Európskej únie </w:t>
      </w:r>
      <w:r w:rsidR="006B53D9">
        <w:rPr>
          <w:rFonts w:ascii="Times New Roman" w:hAnsi="Times New Roman"/>
        </w:rPr>
        <w:t xml:space="preserve">    </w:t>
      </w:r>
      <w:r w:rsidRPr="00366AA4">
        <w:rPr>
          <w:rFonts w:ascii="Times New Roman" w:hAnsi="Times New Roman"/>
        </w:rPr>
        <w:t xml:space="preserve">a medzinárodných  zmlúv. </w:t>
      </w: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4F4345" w:rsidP="006C0389">
      <w:pPr>
        <w:autoSpaceDE w:val="0"/>
        <w:autoSpaceDN w:val="0"/>
        <w:bidi w:val="0"/>
        <w:adjustRightInd w:val="0"/>
        <w:ind w:firstLine="708"/>
        <w:jc w:val="both"/>
        <w:rPr>
          <w:rFonts w:ascii="Times New Roman" w:hAnsi="Times New Roman"/>
        </w:rPr>
      </w:pPr>
    </w:p>
    <w:p w:rsidR="006C0389" w:rsidRPr="00366AA4" w:rsidP="006C0389">
      <w:pPr>
        <w:autoSpaceDE w:val="0"/>
        <w:autoSpaceDN w:val="0"/>
        <w:bidi w:val="0"/>
        <w:adjustRightInd w:val="0"/>
        <w:ind w:firstLine="708"/>
        <w:jc w:val="both"/>
        <w:rPr>
          <w:rFonts w:ascii="Times New Roman" w:hAnsi="Times New Roman"/>
          <w:sz w:val="16"/>
          <w:szCs w:val="16"/>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04"/>
        <w:gridCol w:w="753"/>
        <w:gridCol w:w="819"/>
        <w:gridCol w:w="709"/>
        <w:gridCol w:w="884"/>
        <w:gridCol w:w="847"/>
        <w:gridCol w:w="847"/>
        <w:gridCol w:w="84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shd w:val="pct35" w:color="auto" w:fill="auto"/>
            <w:textDirection w:val="lrTb"/>
            <w:vAlign w:val="center"/>
            <w:hideMark/>
          </w:tcPr>
          <w:p w:rsidR="006C0389" w:rsidRPr="00366AA4" w:rsidP="000008FE">
            <w:pPr>
              <w:bidi w:val="0"/>
              <w:rPr>
                <w:rFonts w:ascii="Times New Roman" w:hAnsi="Times New Roman"/>
                <w:b/>
                <w:bCs/>
                <w:sz w:val="16"/>
                <w:szCs w:val="16"/>
              </w:rPr>
            </w:pPr>
            <w:r w:rsidRPr="00366AA4">
              <w:rPr>
                <w:rFonts w:ascii="Times New Roman" w:hAnsi="Times New Roman"/>
                <w:b/>
                <w:bCs/>
                <w:iCs/>
                <w:sz w:val="16"/>
                <w:szCs w:val="16"/>
              </w:rPr>
              <w:t>v tis. eur</w:t>
            </w:r>
          </w:p>
        </w:tc>
        <w:tc>
          <w:tcPr>
            <w:tcW w:w="408" w:type="pct"/>
            <w:tcBorders>
              <w:top w:val="single" w:sz="4" w:space="0" w:color="auto"/>
              <w:left w:val="single" w:sz="4" w:space="0" w:color="auto"/>
              <w:bottom w:val="single" w:sz="4" w:space="0" w:color="auto"/>
              <w:right w:val="single" w:sz="4" w:space="0" w:color="auto"/>
            </w:tcBorders>
            <w:shd w:val="pct35" w:color="auto" w:fill="auto"/>
            <w:textDirection w:val="lrTb"/>
            <w:vAlign w:val="center"/>
            <w:hideMark/>
          </w:tcPr>
          <w:p w:rsidR="006C0389" w:rsidRPr="00366AA4" w:rsidP="000008FE">
            <w:pPr>
              <w:bidi w:val="0"/>
              <w:jc w:val="center"/>
              <w:rPr>
                <w:rFonts w:ascii="Times New Roman" w:hAnsi="Times New Roman"/>
                <w:b/>
                <w:bCs/>
                <w:sz w:val="16"/>
                <w:szCs w:val="16"/>
              </w:rPr>
            </w:pPr>
            <w:r w:rsidRPr="00366AA4">
              <w:rPr>
                <w:rFonts w:ascii="Times New Roman" w:hAnsi="Times New Roman"/>
                <w:b/>
                <w:bCs/>
                <w:sz w:val="16"/>
                <w:szCs w:val="16"/>
              </w:rPr>
              <w:t>2013 S*</w:t>
            </w:r>
          </w:p>
        </w:tc>
        <w:tc>
          <w:tcPr>
            <w:tcW w:w="444" w:type="pct"/>
            <w:tcBorders>
              <w:top w:val="single" w:sz="4" w:space="0" w:color="auto"/>
              <w:left w:val="single" w:sz="4" w:space="0" w:color="auto"/>
              <w:bottom w:val="single" w:sz="4" w:space="0" w:color="auto"/>
              <w:right w:val="single" w:sz="4" w:space="0" w:color="auto"/>
            </w:tcBorders>
            <w:shd w:val="pct35" w:color="auto" w:fill="auto"/>
            <w:textDirection w:val="lrTb"/>
            <w:vAlign w:val="center"/>
            <w:hideMark/>
          </w:tcPr>
          <w:p w:rsidR="006C0389" w:rsidRPr="00366AA4" w:rsidP="000008FE">
            <w:pPr>
              <w:bidi w:val="0"/>
              <w:jc w:val="center"/>
              <w:rPr>
                <w:rFonts w:ascii="Times New Roman" w:hAnsi="Times New Roman"/>
                <w:b/>
                <w:bCs/>
                <w:sz w:val="16"/>
                <w:szCs w:val="16"/>
              </w:rPr>
            </w:pPr>
            <w:r w:rsidRPr="00366AA4">
              <w:rPr>
                <w:rFonts w:ascii="Times New Roman" w:hAnsi="Times New Roman"/>
                <w:b/>
                <w:bCs/>
                <w:sz w:val="16"/>
                <w:szCs w:val="16"/>
              </w:rPr>
              <w:t>2014 S</w:t>
            </w:r>
          </w:p>
        </w:tc>
        <w:tc>
          <w:tcPr>
            <w:tcW w:w="385" w:type="pct"/>
            <w:tcBorders>
              <w:top w:val="single" w:sz="4" w:space="0" w:color="auto"/>
              <w:left w:val="single" w:sz="4" w:space="0" w:color="auto"/>
              <w:bottom w:val="single" w:sz="4" w:space="0" w:color="auto"/>
              <w:right w:val="single" w:sz="4" w:space="0" w:color="auto"/>
            </w:tcBorders>
            <w:shd w:val="pct35" w:color="auto" w:fill="auto"/>
            <w:textDirection w:val="lrTb"/>
            <w:vAlign w:val="center"/>
            <w:hideMark/>
          </w:tcPr>
          <w:p w:rsidR="006C0389" w:rsidRPr="00366AA4" w:rsidP="000008FE">
            <w:pPr>
              <w:bidi w:val="0"/>
              <w:jc w:val="center"/>
              <w:rPr>
                <w:rFonts w:ascii="Times New Roman" w:hAnsi="Times New Roman"/>
                <w:b/>
                <w:bCs/>
                <w:sz w:val="16"/>
                <w:szCs w:val="16"/>
              </w:rPr>
            </w:pPr>
            <w:r w:rsidRPr="00366AA4">
              <w:rPr>
                <w:rFonts w:ascii="Times New Roman" w:hAnsi="Times New Roman"/>
                <w:b/>
                <w:bCs/>
                <w:sz w:val="16"/>
                <w:szCs w:val="16"/>
              </w:rPr>
              <w:t>2015 R</w:t>
            </w:r>
          </w:p>
        </w:tc>
        <w:tc>
          <w:tcPr>
            <w:tcW w:w="480" w:type="pct"/>
            <w:tcBorders>
              <w:top w:val="single" w:sz="4" w:space="0" w:color="auto"/>
              <w:left w:val="single" w:sz="4" w:space="0" w:color="auto"/>
              <w:bottom w:val="single" w:sz="4" w:space="0" w:color="auto"/>
              <w:right w:val="single" w:sz="4" w:space="0" w:color="auto"/>
            </w:tcBorders>
            <w:shd w:val="pct35" w:color="auto" w:fill="auto"/>
            <w:textDirection w:val="lrTb"/>
            <w:vAlign w:val="center"/>
            <w:hideMark/>
          </w:tcPr>
          <w:p w:rsidR="006C0389" w:rsidRPr="00366AA4" w:rsidP="000008FE">
            <w:pPr>
              <w:bidi w:val="0"/>
              <w:jc w:val="center"/>
              <w:rPr>
                <w:rFonts w:ascii="Times New Roman" w:hAnsi="Times New Roman"/>
                <w:b/>
                <w:bCs/>
                <w:sz w:val="16"/>
                <w:szCs w:val="16"/>
              </w:rPr>
            </w:pPr>
            <w:r w:rsidRPr="00366AA4">
              <w:rPr>
                <w:rFonts w:ascii="Times New Roman" w:hAnsi="Times New Roman"/>
                <w:b/>
                <w:bCs/>
                <w:sz w:val="16"/>
                <w:szCs w:val="16"/>
              </w:rPr>
              <w:t>2015 OS</w:t>
            </w:r>
          </w:p>
        </w:tc>
        <w:tc>
          <w:tcPr>
            <w:tcW w:w="460" w:type="pct"/>
            <w:tcBorders>
              <w:top w:val="single" w:sz="4" w:space="0" w:color="auto"/>
              <w:left w:val="single" w:sz="4" w:space="0" w:color="auto"/>
              <w:bottom w:val="single" w:sz="4" w:space="0" w:color="auto"/>
              <w:right w:val="single" w:sz="4" w:space="0" w:color="auto"/>
            </w:tcBorders>
            <w:shd w:val="pct35" w:color="auto" w:fill="auto"/>
            <w:textDirection w:val="lrTb"/>
            <w:vAlign w:val="center"/>
            <w:hideMark/>
          </w:tcPr>
          <w:p w:rsidR="006C0389" w:rsidRPr="00366AA4" w:rsidP="000008FE">
            <w:pPr>
              <w:bidi w:val="0"/>
              <w:jc w:val="center"/>
              <w:rPr>
                <w:rFonts w:ascii="Times New Roman" w:hAnsi="Times New Roman"/>
                <w:b/>
                <w:bCs/>
                <w:sz w:val="16"/>
                <w:szCs w:val="16"/>
              </w:rPr>
            </w:pPr>
            <w:r w:rsidRPr="00366AA4">
              <w:rPr>
                <w:rFonts w:ascii="Times New Roman" w:hAnsi="Times New Roman"/>
                <w:b/>
                <w:bCs/>
                <w:sz w:val="16"/>
                <w:szCs w:val="16"/>
              </w:rPr>
              <w:t>2016 N</w:t>
            </w:r>
          </w:p>
        </w:tc>
        <w:tc>
          <w:tcPr>
            <w:tcW w:w="460" w:type="pct"/>
            <w:tcBorders>
              <w:top w:val="single" w:sz="4" w:space="0" w:color="auto"/>
              <w:left w:val="single" w:sz="4" w:space="0" w:color="auto"/>
              <w:bottom w:val="single" w:sz="4" w:space="0" w:color="auto"/>
              <w:right w:val="single" w:sz="4" w:space="0" w:color="auto"/>
            </w:tcBorders>
            <w:shd w:val="pct35" w:color="auto" w:fill="auto"/>
            <w:textDirection w:val="lrTb"/>
            <w:vAlign w:val="center"/>
            <w:hideMark/>
          </w:tcPr>
          <w:p w:rsidR="006C0389" w:rsidRPr="00366AA4" w:rsidP="000008FE">
            <w:pPr>
              <w:bidi w:val="0"/>
              <w:jc w:val="center"/>
              <w:rPr>
                <w:rFonts w:ascii="Times New Roman" w:hAnsi="Times New Roman"/>
                <w:b/>
                <w:bCs/>
                <w:sz w:val="16"/>
                <w:szCs w:val="16"/>
              </w:rPr>
            </w:pPr>
            <w:r w:rsidRPr="00366AA4">
              <w:rPr>
                <w:rFonts w:ascii="Times New Roman" w:hAnsi="Times New Roman"/>
                <w:b/>
                <w:bCs/>
                <w:sz w:val="16"/>
                <w:szCs w:val="16"/>
              </w:rPr>
              <w:t>2017 N</w:t>
            </w:r>
          </w:p>
        </w:tc>
        <w:tc>
          <w:tcPr>
            <w:tcW w:w="460" w:type="pct"/>
            <w:tcBorders>
              <w:top w:val="single" w:sz="4" w:space="0" w:color="auto"/>
              <w:left w:val="single" w:sz="4" w:space="0" w:color="auto"/>
              <w:bottom w:val="single" w:sz="4" w:space="0" w:color="auto"/>
              <w:right w:val="single" w:sz="4" w:space="0" w:color="auto"/>
            </w:tcBorders>
            <w:shd w:val="pct35" w:color="auto" w:fill="auto"/>
            <w:textDirection w:val="lrTb"/>
            <w:vAlign w:val="center"/>
            <w:hideMark/>
          </w:tcPr>
          <w:p w:rsidR="006C0389" w:rsidRPr="00366AA4" w:rsidP="000008FE">
            <w:pPr>
              <w:bidi w:val="0"/>
              <w:jc w:val="center"/>
              <w:rPr>
                <w:rFonts w:ascii="Times New Roman" w:hAnsi="Times New Roman"/>
                <w:b/>
                <w:bCs/>
                <w:sz w:val="16"/>
                <w:szCs w:val="16"/>
              </w:rPr>
            </w:pPr>
            <w:r w:rsidRPr="00366AA4">
              <w:rPr>
                <w:rFonts w:ascii="Times New Roman" w:hAnsi="Times New Roman"/>
                <w:b/>
                <w:bCs/>
                <w:sz w:val="16"/>
                <w:szCs w:val="16"/>
              </w:rPr>
              <w:t>2018 N</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6C0389" w:rsidRPr="00366AA4" w:rsidP="000008FE">
            <w:pPr>
              <w:bidi w:val="0"/>
              <w:rPr>
                <w:rFonts w:ascii="Times New Roman" w:hAnsi="Times New Roman"/>
                <w:b/>
                <w:bCs/>
                <w:iCs/>
                <w:sz w:val="16"/>
                <w:szCs w:val="16"/>
              </w:rPr>
            </w:pPr>
            <w:r w:rsidRPr="00366AA4">
              <w:rPr>
                <w:rFonts w:ascii="Times New Roman" w:hAnsi="Times New Roman"/>
                <w:b/>
                <w:bCs/>
                <w:iCs/>
                <w:sz w:val="16"/>
                <w:szCs w:val="16"/>
              </w:rPr>
              <w:t>Príjmy NDS</w:t>
            </w:r>
          </w:p>
        </w:tc>
        <w:tc>
          <w:tcPr>
            <w:tcW w:w="408"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center"/>
            <w:hideMark/>
          </w:tcPr>
          <w:p w:rsidR="006C0389" w:rsidRPr="00366AA4" w:rsidP="000008FE">
            <w:pPr>
              <w:bidi w:val="0"/>
              <w:jc w:val="center"/>
              <w:rPr>
                <w:rFonts w:ascii="Times New Roman" w:hAnsi="Times New Roman"/>
                <w:b/>
                <w:bCs/>
                <w:iCs/>
                <w:sz w:val="16"/>
                <w:szCs w:val="16"/>
              </w:rPr>
            </w:pPr>
            <w:r w:rsidRPr="00366AA4">
              <w:rPr>
                <w:rFonts w:ascii="Times New Roman" w:hAnsi="Times New Roman"/>
                <w:b/>
                <w:bCs/>
                <w:iCs/>
                <w:sz w:val="16"/>
                <w:szCs w:val="16"/>
              </w:rPr>
              <w:t>-</w:t>
            </w:r>
          </w:p>
        </w:tc>
        <w:tc>
          <w:tcPr>
            <w:tcW w:w="444"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816 842</w:t>
            </w:r>
          </w:p>
        </w:tc>
        <w:tc>
          <w:tcPr>
            <w:tcW w:w="385"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882 368</w:t>
            </w:r>
          </w:p>
        </w:tc>
        <w:tc>
          <w:tcPr>
            <w:tcW w:w="480"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1 132 875</w:t>
            </w:r>
          </w:p>
        </w:tc>
        <w:tc>
          <w:tcPr>
            <w:tcW w:w="460"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1 026 242</w:t>
            </w:r>
          </w:p>
        </w:tc>
        <w:tc>
          <w:tcPr>
            <w:tcW w:w="460"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1 136 977</w:t>
            </w:r>
          </w:p>
        </w:tc>
        <w:tc>
          <w:tcPr>
            <w:tcW w:w="460"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1 280 275</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rPr>
                <w:rFonts w:ascii="Times New Roman" w:hAnsi="Times New Roman"/>
                <w:bCs/>
                <w:iCs/>
                <w:sz w:val="16"/>
                <w:szCs w:val="16"/>
              </w:rPr>
            </w:pPr>
            <w:r w:rsidRPr="00366AA4">
              <w:rPr>
                <w:rFonts w:ascii="Times New Roman" w:hAnsi="Times New Roman"/>
                <w:color w:val="000000"/>
                <w:sz w:val="16"/>
                <w:szCs w:val="16"/>
              </w:rPr>
              <w:t>▪ n</w:t>
            </w:r>
            <w:r w:rsidRPr="00366AA4">
              <w:rPr>
                <w:rFonts w:ascii="Times New Roman" w:hAnsi="Times New Roman"/>
                <w:bCs/>
                <w:iCs/>
                <w:sz w:val="16"/>
                <w:szCs w:val="16"/>
              </w:rPr>
              <w:t>edaňové  príjmy, v tom:</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247 851</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250 153</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247 496</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247 052</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272 365</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275 436</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ind w:firstLine="160" w:firstLineChars="100"/>
              <w:rPr>
                <w:rFonts w:ascii="Times New Roman" w:hAnsi="Times New Roman"/>
                <w:color w:val="000000"/>
                <w:sz w:val="16"/>
                <w:szCs w:val="16"/>
              </w:rPr>
            </w:pPr>
            <w:r w:rsidRPr="00366AA4">
              <w:rPr>
                <w:rFonts w:ascii="Times New Roman" w:hAnsi="Times New Roman"/>
                <w:color w:val="000000"/>
                <w:sz w:val="16"/>
                <w:szCs w:val="16"/>
              </w:rPr>
              <w:t>príjmy z podnikania (dividendy, prenájom)</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
                <w:bCs/>
                <w:iCs/>
                <w:sz w:val="16"/>
                <w:szCs w:val="16"/>
              </w:rPr>
            </w:pPr>
            <w:r w:rsidRPr="00366AA4">
              <w:rPr>
                <w:rFonts w:ascii="Times New Roman" w:hAnsi="Times New Roman"/>
                <w:b/>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4 040</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4 676</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4 769</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4 352</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4 433</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4 590</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ind w:firstLine="160" w:firstLineChars="100"/>
              <w:rPr>
                <w:rFonts w:ascii="Times New Roman" w:hAnsi="Times New Roman"/>
                <w:color w:val="000000"/>
                <w:sz w:val="16"/>
                <w:szCs w:val="16"/>
              </w:rPr>
            </w:pPr>
            <w:r w:rsidRPr="00366AA4">
              <w:rPr>
                <w:rFonts w:ascii="Times New Roman" w:hAnsi="Times New Roman"/>
                <w:color w:val="000000"/>
                <w:sz w:val="16"/>
                <w:szCs w:val="16"/>
              </w:rPr>
              <w:t>administratívne poplatky a iné poplatky</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
                <w:bCs/>
                <w:iCs/>
                <w:sz w:val="16"/>
                <w:szCs w:val="16"/>
              </w:rPr>
            </w:pPr>
            <w:r w:rsidRPr="00366AA4">
              <w:rPr>
                <w:rFonts w:ascii="Times New Roman" w:hAnsi="Times New Roman"/>
                <w:b/>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242 837</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245 440</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240 289</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242 500</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267 726</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270 633</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ind w:firstLine="160" w:firstLineChars="100"/>
              <w:rPr>
                <w:rFonts w:ascii="Times New Roman" w:hAnsi="Times New Roman"/>
                <w:color w:val="000000"/>
                <w:sz w:val="16"/>
                <w:szCs w:val="16"/>
              </w:rPr>
            </w:pPr>
            <w:r w:rsidRPr="00366AA4">
              <w:rPr>
                <w:rFonts w:ascii="Times New Roman" w:hAnsi="Times New Roman"/>
                <w:color w:val="000000"/>
                <w:sz w:val="16"/>
                <w:szCs w:val="16"/>
              </w:rPr>
              <w:t xml:space="preserve">kapitálové príjmy   </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
                <w:bCs/>
                <w:iCs/>
                <w:sz w:val="16"/>
                <w:szCs w:val="16"/>
              </w:rPr>
            </w:pPr>
            <w:r w:rsidRPr="00366AA4">
              <w:rPr>
                <w:rFonts w:ascii="Times New Roman" w:hAnsi="Times New Roman"/>
                <w:b/>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0</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1 692</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ind w:firstLine="160" w:firstLineChars="100"/>
              <w:rPr>
                <w:rFonts w:ascii="Times New Roman" w:hAnsi="Times New Roman"/>
                <w:sz w:val="16"/>
                <w:szCs w:val="16"/>
              </w:rPr>
            </w:pPr>
            <w:r w:rsidRPr="00366AA4">
              <w:rPr>
                <w:rFonts w:ascii="Times New Roman" w:hAnsi="Times New Roman"/>
                <w:sz w:val="16"/>
                <w:szCs w:val="16"/>
              </w:rPr>
              <w:t>úroky z úverov, vkladov</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
                <w:bCs/>
                <w:iCs/>
                <w:sz w:val="16"/>
                <w:szCs w:val="16"/>
              </w:rPr>
            </w:pPr>
            <w:r w:rsidRPr="00366AA4">
              <w:rPr>
                <w:rFonts w:ascii="Times New Roman" w:hAnsi="Times New Roman"/>
                <w:b/>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106</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0</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10</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15</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15</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15</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ind w:firstLine="160" w:firstLineChars="100"/>
              <w:rPr>
                <w:rFonts w:ascii="Times New Roman" w:hAnsi="Times New Roman"/>
                <w:color w:val="000000"/>
                <w:sz w:val="16"/>
                <w:szCs w:val="16"/>
              </w:rPr>
            </w:pPr>
            <w:r w:rsidRPr="00366AA4">
              <w:rPr>
                <w:rFonts w:ascii="Times New Roman" w:hAnsi="Times New Roman"/>
                <w:color w:val="000000"/>
                <w:sz w:val="16"/>
                <w:szCs w:val="16"/>
              </w:rPr>
              <w:t>iné nedaňové príjmy</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
                <w:bCs/>
                <w:iCs/>
                <w:sz w:val="16"/>
                <w:szCs w:val="16"/>
              </w:rPr>
            </w:pPr>
            <w:r w:rsidRPr="00366AA4">
              <w:rPr>
                <w:rFonts w:ascii="Times New Roman" w:hAnsi="Times New Roman"/>
                <w:b/>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868</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34</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736</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182</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188</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195</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rPr>
                <w:rFonts w:ascii="Times New Roman" w:hAnsi="Times New Roman"/>
                <w:bCs/>
                <w:iCs/>
                <w:sz w:val="16"/>
                <w:szCs w:val="16"/>
              </w:rPr>
            </w:pPr>
            <w:r w:rsidRPr="00366AA4">
              <w:rPr>
                <w:rFonts w:ascii="Times New Roman" w:hAnsi="Times New Roman"/>
                <w:color w:val="000000"/>
                <w:sz w:val="16"/>
                <w:szCs w:val="16"/>
              </w:rPr>
              <w:t>▪ g</w:t>
            </w:r>
            <w:r w:rsidRPr="00366AA4">
              <w:rPr>
                <w:rFonts w:ascii="Times New Roman" w:hAnsi="Times New Roman"/>
                <w:bCs/>
                <w:iCs/>
                <w:sz w:val="16"/>
                <w:szCs w:val="16"/>
              </w:rPr>
              <w:t>ranty a transfery, v tom:</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515 635</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578 867</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801 057</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775 690</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862 399</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986 794</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rPr>
                <w:rFonts w:ascii="Times New Roman" w:hAnsi="Times New Roman"/>
                <w:sz w:val="16"/>
                <w:szCs w:val="16"/>
              </w:rPr>
            </w:pPr>
            <w:r w:rsidRPr="00366AA4">
              <w:rPr>
                <w:rFonts w:ascii="Times New Roman" w:hAnsi="Times New Roman"/>
                <w:sz w:val="16"/>
                <w:szCs w:val="16"/>
              </w:rPr>
              <w:t xml:space="preserve">  tuzemské bežné granty a transfery </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
                <w:bCs/>
                <w:iCs/>
                <w:sz w:val="16"/>
                <w:szCs w:val="16"/>
              </w:rPr>
            </w:pPr>
            <w:r w:rsidRPr="00366AA4">
              <w:rPr>
                <w:rFonts w:ascii="Times New Roman" w:hAnsi="Times New Roman"/>
                <w:b/>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29 000</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29 000</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19 990</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29 000</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24 055</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24 055</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ind w:firstLine="320" w:firstLineChars="200"/>
              <w:rPr>
                <w:rFonts w:ascii="Times New Roman" w:hAnsi="Times New Roman"/>
                <w:sz w:val="16"/>
                <w:szCs w:val="16"/>
              </w:rPr>
            </w:pPr>
            <w:r w:rsidRPr="00366AA4">
              <w:rPr>
                <w:rFonts w:ascii="Times New Roman" w:hAnsi="Times New Roman"/>
                <w:sz w:val="16"/>
                <w:szCs w:val="16"/>
              </w:rPr>
              <w:t xml:space="preserve">   zo štátneho rozpočtu zdroj ŠR </w:t>
            </w:r>
          </w:p>
        </w:tc>
        <w:tc>
          <w:tcPr>
            <w:tcW w:w="408" w:type="pct"/>
            <w:tcBorders>
              <w:top w:val="single" w:sz="4" w:space="0" w:color="auto"/>
              <w:left w:val="single" w:sz="4" w:space="0" w:color="auto"/>
              <w:bottom w:val="single" w:sz="4" w:space="0" w:color="auto"/>
              <w:right w:val="single" w:sz="4" w:space="0" w:color="auto"/>
            </w:tcBorders>
            <w:textDirection w:val="lrTb"/>
            <w:vAlign w:val="center"/>
            <w:hideMark/>
          </w:tcPr>
          <w:p w:rsidR="006C0389" w:rsidRPr="00366AA4" w:rsidP="000008FE">
            <w:pPr>
              <w:bidi w:val="0"/>
              <w:jc w:val="center"/>
              <w:rPr>
                <w:rFonts w:ascii="Times New Roman" w:hAnsi="Times New Roman"/>
                <w:b/>
                <w:bCs/>
                <w:iCs/>
                <w:sz w:val="16"/>
                <w:szCs w:val="16"/>
              </w:rPr>
            </w:pPr>
            <w:r w:rsidRPr="00366AA4">
              <w:rPr>
                <w:rFonts w:ascii="Times New Roman" w:hAnsi="Times New Roman"/>
                <w:b/>
                <w:bCs/>
                <w:iCs/>
                <w:sz w:val="16"/>
                <w:szCs w:val="16"/>
              </w:rPr>
              <w:t>-</w:t>
            </w:r>
          </w:p>
        </w:tc>
        <w:tc>
          <w:tcPr>
            <w:tcW w:w="44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29 000</w:t>
            </w:r>
          </w:p>
        </w:tc>
        <w:tc>
          <w:tcPr>
            <w:tcW w:w="385" w:type="pct"/>
            <w:tcBorders>
              <w:top w:val="single" w:sz="4" w:space="0" w:color="auto"/>
              <w:left w:val="single" w:sz="4" w:space="0" w:color="auto"/>
              <w:bottom w:val="single" w:sz="4" w:space="0" w:color="auto"/>
              <w:right w:val="single" w:sz="4" w:space="0" w:color="auto"/>
            </w:tcBorders>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29 000</w:t>
            </w:r>
          </w:p>
        </w:tc>
        <w:tc>
          <w:tcPr>
            <w:tcW w:w="48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 xml:space="preserve">19 990 </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29 000</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24 055</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24 055</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rPr>
                <w:rFonts w:ascii="Times New Roman" w:hAnsi="Times New Roman"/>
                <w:sz w:val="16"/>
                <w:szCs w:val="16"/>
              </w:rPr>
            </w:pPr>
            <w:r w:rsidRPr="00366AA4">
              <w:rPr>
                <w:rFonts w:ascii="Times New Roman" w:hAnsi="Times New Roman"/>
                <w:sz w:val="16"/>
                <w:szCs w:val="16"/>
              </w:rPr>
              <w:t xml:space="preserve">  tuzemské kapitálové granty a transfery</w:t>
            </w:r>
          </w:p>
        </w:tc>
        <w:tc>
          <w:tcPr>
            <w:tcW w:w="408" w:type="pct"/>
            <w:tcBorders>
              <w:top w:val="single" w:sz="4" w:space="0" w:color="auto"/>
              <w:left w:val="single" w:sz="4" w:space="0" w:color="auto"/>
              <w:bottom w:val="single" w:sz="4" w:space="0" w:color="auto"/>
              <w:right w:val="single" w:sz="4" w:space="0" w:color="auto"/>
            </w:tcBorders>
            <w:textDirection w:val="lrTb"/>
            <w:vAlign w:val="center"/>
            <w:hideMark/>
          </w:tcPr>
          <w:p w:rsidR="006C0389" w:rsidRPr="00366AA4" w:rsidP="000008FE">
            <w:pPr>
              <w:bidi w:val="0"/>
              <w:jc w:val="center"/>
              <w:rPr>
                <w:rFonts w:ascii="Times New Roman" w:hAnsi="Times New Roman"/>
                <w:b/>
                <w:bCs/>
                <w:iCs/>
                <w:sz w:val="16"/>
                <w:szCs w:val="16"/>
              </w:rPr>
            </w:pPr>
            <w:r w:rsidRPr="00366AA4">
              <w:rPr>
                <w:rFonts w:ascii="Times New Roman" w:hAnsi="Times New Roman"/>
                <w:b/>
                <w:bCs/>
                <w:iCs/>
                <w:sz w:val="16"/>
                <w:szCs w:val="16"/>
              </w:rPr>
              <w:t>-</w:t>
            </w:r>
          </w:p>
        </w:tc>
        <w:tc>
          <w:tcPr>
            <w:tcW w:w="44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486 635</w:t>
            </w:r>
          </w:p>
        </w:tc>
        <w:tc>
          <w:tcPr>
            <w:tcW w:w="385" w:type="pct"/>
            <w:tcBorders>
              <w:top w:val="single" w:sz="4" w:space="0" w:color="auto"/>
              <w:left w:val="single" w:sz="4" w:space="0" w:color="auto"/>
              <w:bottom w:val="single" w:sz="4" w:space="0" w:color="auto"/>
              <w:right w:val="single" w:sz="4" w:space="0" w:color="auto"/>
            </w:tcBorders>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549 867</w:t>
            </w:r>
          </w:p>
        </w:tc>
        <w:tc>
          <w:tcPr>
            <w:tcW w:w="48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781 067</w:t>
            </w:r>
          </w:p>
        </w:tc>
        <w:tc>
          <w:tcPr>
            <w:tcW w:w="46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746 690</w:t>
            </w:r>
          </w:p>
        </w:tc>
        <w:tc>
          <w:tcPr>
            <w:tcW w:w="46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838 344</w:t>
            </w:r>
          </w:p>
        </w:tc>
        <w:tc>
          <w:tcPr>
            <w:tcW w:w="46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962 739</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rPr>
                <w:rFonts w:ascii="Times New Roman" w:hAnsi="Times New Roman"/>
                <w:sz w:val="16"/>
                <w:szCs w:val="16"/>
              </w:rPr>
            </w:pPr>
            <w:r w:rsidRPr="00366AA4">
              <w:rPr>
                <w:rFonts w:ascii="Times New Roman" w:hAnsi="Times New Roman"/>
                <w:sz w:val="16"/>
                <w:szCs w:val="16"/>
              </w:rPr>
              <w:t xml:space="preserve">        zo štátneho rozpočtu zdroj ŠR </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
                <w:bCs/>
                <w:iCs/>
                <w:sz w:val="16"/>
                <w:szCs w:val="16"/>
              </w:rPr>
            </w:pPr>
            <w:r w:rsidRPr="00366AA4">
              <w:rPr>
                <w:rFonts w:ascii="Times New Roman" w:hAnsi="Times New Roman"/>
                <w:b/>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206 655</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143 955</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210 726</w:t>
            </w:r>
          </w:p>
        </w:tc>
        <w:tc>
          <w:tcPr>
            <w:tcW w:w="46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172 508</w:t>
            </w:r>
          </w:p>
        </w:tc>
        <w:tc>
          <w:tcPr>
            <w:tcW w:w="46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141 400</w:t>
            </w:r>
          </w:p>
        </w:tc>
        <w:tc>
          <w:tcPr>
            <w:tcW w:w="46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141 400</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ind w:firstLine="320" w:firstLineChars="200"/>
              <w:rPr>
                <w:rFonts w:ascii="Times New Roman" w:hAnsi="Times New Roman"/>
                <w:sz w:val="16"/>
                <w:szCs w:val="16"/>
              </w:rPr>
            </w:pPr>
            <w:r w:rsidRPr="00366AA4">
              <w:rPr>
                <w:rFonts w:ascii="Times New Roman" w:hAnsi="Times New Roman"/>
                <w:sz w:val="16"/>
                <w:szCs w:val="16"/>
              </w:rPr>
              <w:t xml:space="preserve">                         zdroj EÚ                                      </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
                <w:bCs/>
                <w:iCs/>
                <w:sz w:val="16"/>
                <w:szCs w:val="16"/>
              </w:rPr>
            </w:pPr>
            <w:r w:rsidRPr="00366AA4">
              <w:rPr>
                <w:rFonts w:ascii="Times New Roman" w:hAnsi="Times New Roman"/>
                <w:b/>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237 981</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347 372</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484 790</w:t>
            </w:r>
          </w:p>
        </w:tc>
        <w:tc>
          <w:tcPr>
            <w:tcW w:w="46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487 996</w:t>
            </w:r>
          </w:p>
        </w:tc>
        <w:tc>
          <w:tcPr>
            <w:tcW w:w="46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592 402</w:t>
            </w:r>
          </w:p>
        </w:tc>
        <w:tc>
          <w:tcPr>
            <w:tcW w:w="46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698 138</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ind w:firstLine="320" w:firstLineChars="200"/>
              <w:rPr>
                <w:rFonts w:ascii="Times New Roman" w:hAnsi="Times New Roman"/>
                <w:sz w:val="16"/>
                <w:szCs w:val="16"/>
              </w:rPr>
            </w:pPr>
            <w:r w:rsidRPr="00366AA4">
              <w:rPr>
                <w:rFonts w:ascii="Times New Roman" w:hAnsi="Times New Roman"/>
                <w:sz w:val="16"/>
                <w:szCs w:val="16"/>
              </w:rPr>
              <w:t xml:space="preserve">                         zdroj spolufinancovanie zo ŠR</w:t>
            </w:r>
          </w:p>
        </w:tc>
        <w:tc>
          <w:tcPr>
            <w:tcW w:w="408" w:type="pct"/>
            <w:tcBorders>
              <w:top w:val="single" w:sz="4" w:space="0" w:color="auto"/>
              <w:left w:val="single" w:sz="4" w:space="0" w:color="auto"/>
              <w:bottom w:val="single" w:sz="4" w:space="0" w:color="auto"/>
              <w:right w:val="single" w:sz="4" w:space="0" w:color="auto"/>
            </w:tcBorders>
            <w:textDirection w:val="lrTb"/>
            <w:vAlign w:val="center"/>
            <w:hideMark/>
          </w:tcPr>
          <w:p w:rsidR="006C0389" w:rsidRPr="00366AA4" w:rsidP="000008FE">
            <w:pPr>
              <w:bidi w:val="0"/>
              <w:jc w:val="center"/>
              <w:rPr>
                <w:rFonts w:ascii="Times New Roman" w:hAnsi="Times New Roman"/>
                <w:b/>
                <w:bCs/>
                <w:iCs/>
                <w:sz w:val="16"/>
                <w:szCs w:val="16"/>
              </w:rPr>
            </w:pPr>
            <w:r w:rsidRPr="00366AA4">
              <w:rPr>
                <w:rFonts w:ascii="Times New Roman" w:hAnsi="Times New Roman"/>
                <w:b/>
                <w:bCs/>
                <w:iCs/>
                <w:sz w:val="16"/>
                <w:szCs w:val="16"/>
              </w:rPr>
              <w:t>-</w:t>
            </w:r>
          </w:p>
        </w:tc>
        <w:tc>
          <w:tcPr>
            <w:tcW w:w="44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41 999</w:t>
            </w:r>
          </w:p>
        </w:tc>
        <w:tc>
          <w:tcPr>
            <w:tcW w:w="385" w:type="pct"/>
            <w:tcBorders>
              <w:top w:val="single" w:sz="4" w:space="0" w:color="auto"/>
              <w:left w:val="single" w:sz="4" w:space="0" w:color="auto"/>
              <w:bottom w:val="single" w:sz="4" w:space="0" w:color="auto"/>
              <w:right w:val="single" w:sz="4" w:space="0" w:color="auto"/>
            </w:tcBorders>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58 540</w:t>
            </w:r>
          </w:p>
        </w:tc>
        <w:tc>
          <w:tcPr>
            <w:tcW w:w="48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85 551</w:t>
            </w:r>
          </w:p>
        </w:tc>
        <w:tc>
          <w:tcPr>
            <w:tcW w:w="46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86 186</w:t>
            </w:r>
          </w:p>
        </w:tc>
        <w:tc>
          <w:tcPr>
            <w:tcW w:w="46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104 542</w:t>
            </w:r>
          </w:p>
        </w:tc>
        <w:tc>
          <w:tcPr>
            <w:tcW w:w="46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123 201</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rPr>
                <w:rFonts w:ascii="Times New Roman" w:hAnsi="Times New Roman"/>
                <w:bCs/>
                <w:iCs/>
                <w:sz w:val="16"/>
                <w:szCs w:val="16"/>
              </w:rPr>
            </w:pPr>
            <w:r w:rsidRPr="00366AA4">
              <w:rPr>
                <w:rFonts w:ascii="Times New Roman" w:hAnsi="Times New Roman"/>
                <w:color w:val="000000"/>
                <w:sz w:val="16"/>
                <w:szCs w:val="16"/>
              </w:rPr>
              <w:t>▪ p</w:t>
            </w:r>
            <w:r w:rsidRPr="00366AA4">
              <w:rPr>
                <w:rFonts w:ascii="Times New Roman" w:hAnsi="Times New Roman"/>
                <w:bCs/>
                <w:iCs/>
                <w:sz w:val="16"/>
                <w:szCs w:val="16"/>
              </w:rPr>
              <w:t>ríjmy  z transakcií s fin. akt. a pas., v tom: (FO)</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53 348</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53 348</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15 147</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3 500</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2 213</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18 045</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ind w:firstLine="160" w:firstLineChars="100"/>
              <w:rPr>
                <w:rFonts w:ascii="Times New Roman" w:hAnsi="Times New Roman"/>
                <w:sz w:val="16"/>
                <w:szCs w:val="16"/>
              </w:rPr>
            </w:pPr>
            <w:r w:rsidRPr="00366AA4">
              <w:rPr>
                <w:rFonts w:ascii="Times New Roman" w:hAnsi="Times New Roman"/>
                <w:sz w:val="16"/>
                <w:szCs w:val="16"/>
              </w:rPr>
              <w:t xml:space="preserve">zostatok prostr.  z predchádz. rokov </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53 348</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53 348</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15 147</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3 500</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2 213</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18 045</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rPr>
                <w:rFonts w:ascii="Times New Roman" w:hAnsi="Times New Roman"/>
                <w:bCs/>
                <w:iCs/>
                <w:sz w:val="16"/>
                <w:szCs w:val="16"/>
              </w:rPr>
            </w:pPr>
            <w:r w:rsidRPr="00366AA4">
              <w:rPr>
                <w:rFonts w:ascii="Times New Roman" w:hAnsi="Times New Roman"/>
                <w:color w:val="000000"/>
                <w:sz w:val="16"/>
                <w:szCs w:val="16"/>
              </w:rPr>
              <w:t>▪ p</w:t>
            </w:r>
            <w:r w:rsidRPr="00366AA4">
              <w:rPr>
                <w:rFonts w:ascii="Times New Roman" w:hAnsi="Times New Roman"/>
                <w:bCs/>
                <w:iCs/>
                <w:sz w:val="16"/>
                <w:szCs w:val="16"/>
              </w:rPr>
              <w:t>rijaté  úvery (FO)</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8</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0</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69 175</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0</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0</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0</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ind w:firstLine="160" w:firstLineChars="100"/>
              <w:rPr>
                <w:rFonts w:ascii="Times New Roman" w:hAnsi="Times New Roman"/>
                <w:sz w:val="16"/>
                <w:szCs w:val="16"/>
              </w:rPr>
            </w:pPr>
            <w:r w:rsidRPr="00366AA4">
              <w:rPr>
                <w:rFonts w:ascii="Times New Roman" w:hAnsi="Times New Roman"/>
                <w:sz w:val="16"/>
                <w:szCs w:val="16"/>
              </w:rPr>
              <w:t>tuzemské úvery, pôžičky a NFV</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
                <w:bCs/>
                <w:iCs/>
                <w:sz w:val="16"/>
                <w:szCs w:val="16"/>
              </w:rPr>
            </w:pPr>
            <w:r w:rsidRPr="00366AA4">
              <w:rPr>
                <w:rFonts w:ascii="Times New Roman" w:hAnsi="Times New Roman"/>
                <w:b/>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8</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0</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69 175</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0</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0</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0</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6C0389" w:rsidRPr="00366AA4" w:rsidP="000008FE">
            <w:pPr>
              <w:bidi w:val="0"/>
              <w:rPr>
                <w:rFonts w:ascii="Times New Roman" w:hAnsi="Times New Roman"/>
                <w:b/>
                <w:bCs/>
                <w:iCs/>
                <w:sz w:val="16"/>
                <w:szCs w:val="16"/>
              </w:rPr>
            </w:pPr>
            <w:r w:rsidRPr="00366AA4">
              <w:rPr>
                <w:rFonts w:ascii="Times New Roman" w:hAnsi="Times New Roman"/>
                <w:b/>
                <w:bCs/>
                <w:iCs/>
                <w:sz w:val="16"/>
                <w:szCs w:val="16"/>
              </w:rPr>
              <w:t>Výdavky NDS</w:t>
            </w:r>
          </w:p>
        </w:tc>
        <w:tc>
          <w:tcPr>
            <w:tcW w:w="408" w:type="pc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6C0389" w:rsidRPr="00366AA4" w:rsidP="000008FE">
            <w:pPr>
              <w:bidi w:val="0"/>
              <w:jc w:val="center"/>
              <w:rPr>
                <w:rFonts w:ascii="Times New Roman" w:hAnsi="Times New Roman"/>
                <w:b/>
                <w:bCs/>
                <w:iCs/>
                <w:sz w:val="16"/>
                <w:szCs w:val="16"/>
              </w:rPr>
            </w:pPr>
            <w:r w:rsidRPr="00366AA4">
              <w:rPr>
                <w:rFonts w:ascii="Times New Roman" w:hAnsi="Times New Roman"/>
                <w:b/>
                <w:bCs/>
                <w:iCs/>
                <w:sz w:val="16"/>
                <w:szCs w:val="16"/>
              </w:rPr>
              <w:t>-</w:t>
            </w:r>
          </w:p>
        </w:tc>
        <w:tc>
          <w:tcPr>
            <w:tcW w:w="444"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801 695</w:t>
            </w:r>
          </w:p>
        </w:tc>
        <w:tc>
          <w:tcPr>
            <w:tcW w:w="385"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829 020</w:t>
            </w:r>
          </w:p>
        </w:tc>
        <w:tc>
          <w:tcPr>
            <w:tcW w:w="480"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1 129 375</w:t>
            </w:r>
          </w:p>
        </w:tc>
        <w:tc>
          <w:tcPr>
            <w:tcW w:w="460"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1 024 029</w:t>
            </w:r>
          </w:p>
        </w:tc>
        <w:tc>
          <w:tcPr>
            <w:tcW w:w="460"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1 118 932</w:t>
            </w:r>
          </w:p>
        </w:tc>
        <w:tc>
          <w:tcPr>
            <w:tcW w:w="460" w:type="pct"/>
            <w:tcBorders>
              <w:top w:val="single" w:sz="4" w:space="0" w:color="auto"/>
              <w:left w:val="single" w:sz="4" w:space="0" w:color="auto"/>
              <w:bottom w:val="single" w:sz="4" w:space="0" w:color="auto"/>
              <w:right w:val="single" w:sz="4" w:space="0" w:color="auto"/>
            </w:tcBorders>
            <w:shd w:val="pct25" w:color="000000" w:fill="FFFFFF"/>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1 262 442</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rPr>
                <w:rFonts w:ascii="Times New Roman" w:hAnsi="Times New Roman"/>
                <w:bCs/>
                <w:iCs/>
                <w:sz w:val="16"/>
                <w:szCs w:val="16"/>
              </w:rPr>
            </w:pPr>
            <w:r w:rsidRPr="00366AA4">
              <w:rPr>
                <w:rFonts w:ascii="Times New Roman" w:hAnsi="Times New Roman"/>
                <w:color w:val="000000"/>
                <w:sz w:val="16"/>
                <w:szCs w:val="16"/>
              </w:rPr>
              <w:t>▪ b</w:t>
            </w:r>
            <w:r w:rsidRPr="00366AA4">
              <w:rPr>
                <w:rFonts w:ascii="Times New Roman" w:hAnsi="Times New Roman"/>
                <w:bCs/>
                <w:iCs/>
                <w:sz w:val="16"/>
                <w:szCs w:val="16"/>
              </w:rPr>
              <w:t>ežné  výdavky, v tom:</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291 978</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225 461</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261 849</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190 011</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193 717</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207 629</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ind w:firstLine="160" w:firstLineChars="100"/>
              <w:rPr>
                <w:rFonts w:ascii="Times New Roman" w:hAnsi="Times New Roman"/>
                <w:color w:val="000000"/>
                <w:sz w:val="16"/>
                <w:szCs w:val="16"/>
              </w:rPr>
            </w:pPr>
            <w:r w:rsidRPr="00366AA4">
              <w:rPr>
                <w:rFonts w:ascii="Times New Roman" w:hAnsi="Times New Roman"/>
                <w:color w:val="000000"/>
                <w:sz w:val="16"/>
                <w:szCs w:val="16"/>
              </w:rPr>
              <w:t>mzdy, platy</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20 711</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22 978</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22 967</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23 556</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23 556</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23 556</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ind w:firstLine="160" w:firstLineChars="100"/>
              <w:rPr>
                <w:rFonts w:ascii="Times New Roman" w:hAnsi="Times New Roman"/>
                <w:color w:val="000000"/>
                <w:sz w:val="16"/>
                <w:szCs w:val="16"/>
              </w:rPr>
            </w:pPr>
            <w:r w:rsidRPr="00366AA4">
              <w:rPr>
                <w:rFonts w:ascii="Times New Roman" w:hAnsi="Times New Roman"/>
                <w:color w:val="000000"/>
                <w:sz w:val="16"/>
                <w:szCs w:val="16"/>
              </w:rPr>
              <w:t>poistné</w:t>
            </w:r>
          </w:p>
        </w:tc>
        <w:tc>
          <w:tcPr>
            <w:tcW w:w="408"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7 546</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8 630</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8 382</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8 847</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8 847</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8 847</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ind w:firstLine="160" w:firstLineChars="100"/>
              <w:rPr>
                <w:rFonts w:ascii="Times New Roman" w:hAnsi="Times New Roman"/>
                <w:color w:val="000000"/>
                <w:sz w:val="16"/>
                <w:szCs w:val="16"/>
              </w:rPr>
            </w:pPr>
            <w:r w:rsidRPr="00366AA4">
              <w:rPr>
                <w:rFonts w:ascii="Times New Roman" w:hAnsi="Times New Roman"/>
                <w:color w:val="000000"/>
                <w:sz w:val="16"/>
                <w:szCs w:val="16"/>
              </w:rPr>
              <w:t>tovary a služby</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258 247</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183 113</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226 616</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153 373</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156 602</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169 128</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ind w:firstLine="160" w:firstLineChars="100"/>
              <w:rPr>
                <w:rFonts w:ascii="Times New Roman" w:hAnsi="Times New Roman"/>
                <w:sz w:val="16"/>
                <w:szCs w:val="16"/>
              </w:rPr>
            </w:pPr>
            <w:r w:rsidRPr="00366AA4">
              <w:rPr>
                <w:rFonts w:ascii="Times New Roman" w:hAnsi="Times New Roman"/>
                <w:sz w:val="16"/>
                <w:szCs w:val="16"/>
              </w:rPr>
              <w:t>bežné transfery</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299</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622</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242</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129</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130</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131</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ind w:firstLine="160" w:firstLineChars="100"/>
              <w:rPr>
                <w:rFonts w:ascii="Times New Roman" w:hAnsi="Times New Roman"/>
                <w:color w:val="000000"/>
                <w:sz w:val="16"/>
                <w:szCs w:val="16"/>
              </w:rPr>
            </w:pPr>
            <w:r w:rsidRPr="00366AA4">
              <w:rPr>
                <w:rFonts w:ascii="Times New Roman" w:hAnsi="Times New Roman"/>
                <w:color w:val="000000"/>
                <w:sz w:val="16"/>
                <w:szCs w:val="16"/>
              </w:rPr>
              <w:t>splácanie úrokov a ostatné platby s úvermi</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5 175</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10 118</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3 642</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4 106</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4 582</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5 967</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rPr>
                <w:rFonts w:ascii="Times New Roman" w:hAnsi="Times New Roman"/>
                <w:bCs/>
                <w:iCs/>
                <w:sz w:val="16"/>
                <w:szCs w:val="16"/>
              </w:rPr>
            </w:pPr>
            <w:r w:rsidRPr="00366AA4">
              <w:rPr>
                <w:rFonts w:ascii="Times New Roman" w:hAnsi="Times New Roman"/>
                <w:color w:val="000000"/>
                <w:sz w:val="16"/>
                <w:szCs w:val="16"/>
              </w:rPr>
              <w:t>▪ k</w:t>
            </w:r>
            <w:r w:rsidRPr="00366AA4">
              <w:rPr>
                <w:rFonts w:ascii="Times New Roman" w:hAnsi="Times New Roman"/>
                <w:bCs/>
                <w:iCs/>
                <w:sz w:val="16"/>
                <w:szCs w:val="16"/>
              </w:rPr>
              <w:t>apitálové výdavky, v tom:</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472 540</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566 382</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830 349</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796 841</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888 038</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Cs/>
                <w:iCs/>
                <w:sz w:val="16"/>
                <w:szCs w:val="16"/>
              </w:rPr>
            </w:pPr>
            <w:r w:rsidRPr="00366AA4">
              <w:rPr>
                <w:rFonts w:ascii="Times New Roman" w:hAnsi="Times New Roman"/>
                <w:bCs/>
                <w:iCs/>
                <w:sz w:val="16"/>
                <w:szCs w:val="16"/>
              </w:rPr>
              <w:t>1 017 636</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ind w:firstLine="160" w:firstLineChars="100"/>
              <w:rPr>
                <w:rFonts w:ascii="Times New Roman" w:hAnsi="Times New Roman"/>
                <w:color w:val="000000"/>
                <w:sz w:val="16"/>
                <w:szCs w:val="16"/>
              </w:rPr>
            </w:pPr>
            <w:r w:rsidRPr="00366AA4">
              <w:rPr>
                <w:rFonts w:ascii="Times New Roman" w:hAnsi="Times New Roman"/>
                <w:color w:val="000000"/>
                <w:sz w:val="16"/>
                <w:szCs w:val="16"/>
              </w:rPr>
              <w:t>obstarávanie kapitálových aktív, v tom:</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472 540</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566 382</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830 349</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796 841</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888 038</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1 017 636</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ind w:firstLine="480" w:firstLineChars="300"/>
              <w:rPr>
                <w:rFonts w:ascii="Times New Roman" w:hAnsi="Times New Roman"/>
                <w:sz w:val="16"/>
                <w:szCs w:val="16"/>
              </w:rPr>
            </w:pPr>
            <w:r w:rsidRPr="00366AA4">
              <w:rPr>
                <w:rFonts w:ascii="Times New Roman" w:hAnsi="Times New Roman"/>
                <w:sz w:val="16"/>
                <w:szCs w:val="16"/>
              </w:rPr>
              <w:t>EÚ</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237 981</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347 373</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477 324</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487 996</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592 402</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698 138</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ind w:firstLine="480" w:firstLineChars="300"/>
              <w:rPr>
                <w:rFonts w:ascii="Times New Roman" w:hAnsi="Times New Roman"/>
                <w:sz w:val="16"/>
                <w:szCs w:val="16"/>
              </w:rPr>
            </w:pPr>
            <w:r w:rsidRPr="00366AA4">
              <w:rPr>
                <w:rFonts w:ascii="Times New Roman" w:hAnsi="Times New Roman"/>
                <w:sz w:val="16"/>
                <w:szCs w:val="16"/>
              </w:rPr>
              <w:t>spolufinancovanie zo ŠR</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41 999</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58 540</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84 234</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86 186</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104 542</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123 201</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ind w:firstLine="480" w:firstLineChars="300"/>
              <w:rPr>
                <w:rFonts w:ascii="Times New Roman" w:hAnsi="Times New Roman"/>
                <w:sz w:val="16"/>
                <w:szCs w:val="16"/>
              </w:rPr>
            </w:pPr>
            <w:r w:rsidRPr="00366AA4">
              <w:rPr>
                <w:rFonts w:ascii="Times New Roman" w:hAnsi="Times New Roman"/>
                <w:sz w:val="16"/>
                <w:szCs w:val="16"/>
              </w:rPr>
              <w:t>zdroj ŠR</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192 560</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143 955</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210 726</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172 508</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141 400</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141 400</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ind w:firstLine="480" w:firstLineChars="300"/>
              <w:rPr>
                <w:rFonts w:ascii="Times New Roman" w:hAnsi="Times New Roman"/>
                <w:sz w:val="16"/>
                <w:szCs w:val="16"/>
              </w:rPr>
            </w:pPr>
            <w:r w:rsidRPr="00366AA4">
              <w:rPr>
                <w:rFonts w:ascii="Times New Roman" w:hAnsi="Times New Roman"/>
                <w:sz w:val="16"/>
                <w:szCs w:val="16"/>
              </w:rPr>
              <w:t>ostatné</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0</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16 514</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58 065</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50 151</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49 694</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54 897</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rPr>
                <w:rFonts w:ascii="Times New Roman" w:hAnsi="Times New Roman"/>
                <w:bCs/>
                <w:iCs/>
                <w:sz w:val="16"/>
                <w:szCs w:val="16"/>
              </w:rPr>
            </w:pPr>
            <w:r w:rsidRPr="00366AA4">
              <w:rPr>
                <w:rFonts w:ascii="Times New Roman" w:hAnsi="Times New Roman"/>
                <w:color w:val="000000"/>
                <w:sz w:val="16"/>
                <w:szCs w:val="16"/>
              </w:rPr>
              <w:t>▪ v</w:t>
            </w:r>
            <w:r w:rsidRPr="00366AA4">
              <w:rPr>
                <w:rFonts w:ascii="Times New Roman" w:hAnsi="Times New Roman"/>
                <w:bCs/>
                <w:iCs/>
                <w:sz w:val="16"/>
                <w:szCs w:val="16"/>
              </w:rPr>
              <w:t>ýd. z transakcií s fin. akt. a pas., v tom: (FO)</w:t>
            </w:r>
          </w:p>
        </w:tc>
        <w:tc>
          <w:tcPr>
            <w:tcW w:w="408" w:type="pct"/>
            <w:tcBorders>
              <w:top w:val="single" w:sz="4" w:space="0" w:color="auto"/>
              <w:left w:val="single" w:sz="4" w:space="0" w:color="auto"/>
              <w:bottom w:val="single" w:sz="4" w:space="0" w:color="auto"/>
              <w:right w:val="single" w:sz="4" w:space="0" w:color="auto"/>
            </w:tcBorders>
            <w:textDirection w:val="lrTb"/>
            <w:vAlign w:val="center"/>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37 177</w:t>
            </w:r>
          </w:p>
        </w:tc>
        <w:tc>
          <w:tcPr>
            <w:tcW w:w="385" w:type="pct"/>
            <w:tcBorders>
              <w:top w:val="single" w:sz="4" w:space="0" w:color="auto"/>
              <w:left w:val="single" w:sz="4" w:space="0" w:color="auto"/>
              <w:bottom w:val="single" w:sz="4" w:space="0" w:color="auto"/>
              <w:right w:val="single" w:sz="4" w:space="0" w:color="auto"/>
            </w:tcBorders>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37 177</w:t>
            </w:r>
          </w:p>
        </w:tc>
        <w:tc>
          <w:tcPr>
            <w:tcW w:w="48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37 177</w:t>
            </w:r>
          </w:p>
        </w:tc>
        <w:tc>
          <w:tcPr>
            <w:tcW w:w="46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37 177</w:t>
            </w:r>
          </w:p>
        </w:tc>
        <w:tc>
          <w:tcPr>
            <w:tcW w:w="46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37 177</w:t>
            </w:r>
          </w:p>
        </w:tc>
        <w:tc>
          <w:tcPr>
            <w:tcW w:w="460" w:type="pct"/>
            <w:tcBorders>
              <w:top w:val="single" w:sz="4" w:space="0" w:color="auto"/>
              <w:left w:val="single" w:sz="4" w:space="0" w:color="auto"/>
              <w:bottom w:val="single" w:sz="4" w:space="0" w:color="auto"/>
              <w:right w:val="single" w:sz="4" w:space="0" w:color="auto"/>
            </w:tcBorders>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37 177</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ind w:firstLine="160" w:firstLineChars="100"/>
              <w:rPr>
                <w:rFonts w:ascii="Times New Roman" w:hAnsi="Times New Roman"/>
                <w:color w:val="000000"/>
                <w:sz w:val="16"/>
                <w:szCs w:val="16"/>
              </w:rPr>
            </w:pPr>
            <w:r w:rsidRPr="00366AA4">
              <w:rPr>
                <w:rFonts w:ascii="Times New Roman" w:hAnsi="Times New Roman"/>
                <w:color w:val="000000"/>
                <w:sz w:val="16"/>
                <w:szCs w:val="16"/>
              </w:rPr>
              <w:t>splácanie istiny</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Cs/>
                <w:iCs/>
                <w:sz w:val="16"/>
                <w:szCs w:val="16"/>
              </w:rPr>
            </w:pPr>
            <w:r w:rsidRPr="00366AA4">
              <w:rPr>
                <w:rFonts w:ascii="Times New Roman" w:hAnsi="Times New Roman"/>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rPr>
            </w:pPr>
            <w:r w:rsidRPr="00366AA4">
              <w:rPr>
                <w:rFonts w:ascii="Times New Roman" w:hAnsi="Times New Roman"/>
                <w:sz w:val="16"/>
                <w:szCs w:val="16"/>
              </w:rPr>
              <w:t>37 177</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rPr>
            </w:pPr>
            <w:r w:rsidRPr="00366AA4">
              <w:rPr>
                <w:rFonts w:ascii="Times New Roman" w:hAnsi="Times New Roman"/>
                <w:sz w:val="16"/>
                <w:szCs w:val="16"/>
              </w:rPr>
              <w:t>37 177</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37 177</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37 177</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37 177</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37 177</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6C0389" w:rsidRPr="00366AA4" w:rsidP="000008FE">
            <w:pPr>
              <w:bidi w:val="0"/>
              <w:rPr>
                <w:rFonts w:ascii="Times New Roman" w:hAnsi="Times New Roman"/>
                <w:b/>
                <w:bCs/>
                <w:iCs/>
                <w:sz w:val="16"/>
                <w:szCs w:val="16"/>
              </w:rPr>
            </w:pPr>
            <w:r w:rsidRPr="00366AA4">
              <w:rPr>
                <w:rFonts w:ascii="Times New Roman" w:hAnsi="Times New Roman"/>
                <w:b/>
                <w:bCs/>
                <w:iCs/>
                <w:sz w:val="16"/>
                <w:szCs w:val="16"/>
              </w:rPr>
              <w:t>Celkový prebytok / schodok (+/-)</w:t>
            </w:r>
          </w:p>
        </w:tc>
        <w:tc>
          <w:tcPr>
            <w:tcW w:w="408"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center"/>
            <w:hideMark/>
          </w:tcPr>
          <w:p w:rsidR="006C0389" w:rsidRPr="00366AA4" w:rsidP="000008FE">
            <w:pPr>
              <w:bidi w:val="0"/>
              <w:jc w:val="center"/>
              <w:rPr>
                <w:rFonts w:ascii="Times New Roman" w:hAnsi="Times New Roman"/>
                <w:b/>
                <w:bCs/>
                <w:iCs/>
                <w:sz w:val="16"/>
                <w:szCs w:val="16"/>
              </w:rPr>
            </w:pPr>
            <w:r w:rsidRPr="00366AA4">
              <w:rPr>
                <w:rFonts w:ascii="Times New Roman" w:hAnsi="Times New Roman"/>
                <w:b/>
                <w:bCs/>
                <w:iCs/>
                <w:sz w:val="16"/>
                <w:szCs w:val="16"/>
              </w:rPr>
              <w:t>-</w:t>
            </w:r>
          </w:p>
        </w:tc>
        <w:tc>
          <w:tcPr>
            <w:tcW w:w="444"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15 147</w:t>
            </w:r>
          </w:p>
        </w:tc>
        <w:tc>
          <w:tcPr>
            <w:tcW w:w="385"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53 348</w:t>
            </w:r>
          </w:p>
        </w:tc>
        <w:tc>
          <w:tcPr>
            <w:tcW w:w="480"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3 500</w:t>
            </w:r>
          </w:p>
        </w:tc>
        <w:tc>
          <w:tcPr>
            <w:tcW w:w="460"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2 213</w:t>
            </w:r>
          </w:p>
        </w:tc>
        <w:tc>
          <w:tcPr>
            <w:tcW w:w="460"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18 045</w:t>
            </w:r>
          </w:p>
        </w:tc>
        <w:tc>
          <w:tcPr>
            <w:tcW w:w="460"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17 833</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rPr>
                <w:rFonts w:ascii="Times New Roman" w:hAnsi="Times New Roman"/>
                <w:b/>
                <w:bCs/>
                <w:iCs/>
                <w:color w:val="000000"/>
                <w:sz w:val="16"/>
                <w:szCs w:val="16"/>
              </w:rPr>
            </w:pPr>
            <w:r w:rsidRPr="00366AA4">
              <w:rPr>
                <w:rFonts w:ascii="Times New Roman" w:hAnsi="Times New Roman"/>
                <w:b/>
                <w:bCs/>
                <w:iCs/>
                <w:color w:val="000000"/>
                <w:sz w:val="16"/>
                <w:szCs w:val="16"/>
              </w:rPr>
              <w:t>Vylúčenie finančných operácií</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
                <w:bCs/>
                <w:iCs/>
                <w:sz w:val="16"/>
                <w:szCs w:val="16"/>
              </w:rPr>
            </w:pPr>
            <w:r w:rsidRPr="00366AA4">
              <w:rPr>
                <w:rFonts w:ascii="Times New Roman" w:hAnsi="Times New Roman"/>
                <w:b/>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w:t>
            </w:r>
            <w:r w:rsidRPr="00366AA4">
              <w:rPr>
                <w:rFonts w:ascii="Times New Roman" w:hAnsi="Times New Roman"/>
                <w:b/>
                <w:sz w:val="16"/>
                <w:szCs w:val="16"/>
              </w:rPr>
              <w:t>16 179</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-16 171</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-47 145</w:t>
            </w:r>
          </w:p>
        </w:tc>
        <w:tc>
          <w:tcPr>
            <w:tcW w:w="460"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33 677</w:t>
            </w:r>
          </w:p>
        </w:tc>
        <w:tc>
          <w:tcPr>
            <w:tcW w:w="460"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34 964</w:t>
            </w:r>
          </w:p>
        </w:tc>
        <w:tc>
          <w:tcPr>
            <w:tcW w:w="460"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19 132</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ind w:firstLine="160" w:firstLineChars="100"/>
              <w:rPr>
                <w:rFonts w:ascii="Times New Roman" w:hAnsi="Times New Roman"/>
                <w:color w:val="000000"/>
                <w:sz w:val="16"/>
                <w:szCs w:val="16"/>
              </w:rPr>
            </w:pPr>
            <w:r w:rsidRPr="00366AA4">
              <w:rPr>
                <w:rFonts w:ascii="Times New Roman" w:hAnsi="Times New Roman"/>
                <w:color w:val="000000"/>
                <w:sz w:val="16"/>
                <w:szCs w:val="16"/>
              </w:rPr>
              <w:t>Vylúčenie príjmových FO</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
                <w:bCs/>
                <w:iCs/>
                <w:sz w:val="16"/>
                <w:szCs w:val="16"/>
              </w:rPr>
            </w:pPr>
            <w:r w:rsidRPr="00366AA4">
              <w:rPr>
                <w:rFonts w:ascii="Times New Roman" w:hAnsi="Times New Roman"/>
                <w:b/>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-53 356</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-53 348</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-84 322</w:t>
            </w:r>
          </w:p>
        </w:tc>
        <w:tc>
          <w:tcPr>
            <w:tcW w:w="460"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-3 500</w:t>
            </w:r>
          </w:p>
        </w:tc>
        <w:tc>
          <w:tcPr>
            <w:tcW w:w="460"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-2 213</w:t>
            </w:r>
          </w:p>
        </w:tc>
        <w:tc>
          <w:tcPr>
            <w:tcW w:w="460"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-18 045</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ind w:firstLine="160" w:firstLineChars="100"/>
              <w:rPr>
                <w:rFonts w:ascii="Times New Roman" w:hAnsi="Times New Roman"/>
                <w:color w:val="000000"/>
                <w:sz w:val="16"/>
                <w:szCs w:val="16"/>
              </w:rPr>
            </w:pPr>
            <w:r w:rsidRPr="00366AA4">
              <w:rPr>
                <w:rFonts w:ascii="Times New Roman" w:hAnsi="Times New Roman"/>
                <w:color w:val="000000"/>
                <w:sz w:val="16"/>
                <w:szCs w:val="16"/>
              </w:rPr>
              <w:t>Vylúčenie výdavkových FO</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
                <w:bCs/>
                <w:iCs/>
                <w:sz w:val="16"/>
                <w:szCs w:val="16"/>
              </w:rPr>
            </w:pPr>
            <w:r w:rsidRPr="00366AA4">
              <w:rPr>
                <w:rFonts w:ascii="Times New Roman" w:hAnsi="Times New Roman"/>
                <w:b/>
                <w:bCs/>
                <w:iCs/>
                <w:sz w:val="16"/>
                <w:szCs w:val="16"/>
              </w:rPr>
              <w:t>-</w:t>
            </w: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37 177</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37 177</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37 177</w:t>
            </w:r>
          </w:p>
        </w:tc>
        <w:tc>
          <w:tcPr>
            <w:tcW w:w="460"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37 177</w:t>
            </w:r>
          </w:p>
        </w:tc>
        <w:tc>
          <w:tcPr>
            <w:tcW w:w="460"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37 177</w:t>
            </w:r>
          </w:p>
        </w:tc>
        <w:tc>
          <w:tcPr>
            <w:tcW w:w="460"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37 177</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rPr>
                <w:rFonts w:ascii="Times New Roman" w:hAnsi="Times New Roman"/>
                <w:b/>
                <w:bCs/>
                <w:iCs/>
                <w:sz w:val="16"/>
                <w:szCs w:val="16"/>
              </w:rPr>
            </w:pPr>
            <w:r w:rsidRPr="00366AA4">
              <w:rPr>
                <w:rFonts w:ascii="Times New Roman" w:hAnsi="Times New Roman"/>
                <w:b/>
                <w:bCs/>
                <w:iCs/>
                <w:sz w:val="16"/>
                <w:szCs w:val="16"/>
              </w:rPr>
              <w:t>Medziročná zmena stavu pohľadávok</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
                <w:bCs/>
                <w:iCs/>
                <w:color w:val="000000"/>
                <w:sz w:val="16"/>
                <w:szCs w:val="16"/>
              </w:rPr>
            </w:pP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11 596</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rPr>
                <w:rFonts w:ascii="Times New Roman" w:hAnsi="Times New Roman"/>
                <w:b/>
                <w:bCs/>
                <w:i/>
                <w:iCs/>
                <w:color w:val="000000"/>
                <w:sz w:val="16"/>
                <w:szCs w:val="16"/>
              </w:rPr>
            </w:pPr>
            <w:r w:rsidRPr="00366AA4">
              <w:rPr>
                <w:rFonts w:ascii="Times New Roman" w:hAnsi="Times New Roman"/>
                <w:b/>
                <w:bCs/>
                <w:i/>
                <w:iCs/>
                <w:color w:val="000000"/>
                <w:sz w:val="16"/>
                <w:szCs w:val="16"/>
              </w:rPr>
              <w:t> </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-257</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b/>
                <w:bCs/>
                <w:iCs/>
                <w:sz w:val="16"/>
                <w:szCs w:val="16"/>
              </w:rPr>
            </w:pPr>
          </w:p>
        </w:tc>
        <w:tc>
          <w:tcPr>
            <w:tcW w:w="460"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jc w:val="right"/>
              <w:rPr>
                <w:rFonts w:ascii="Times New Roman" w:hAnsi="Times New Roman"/>
                <w:sz w:val="16"/>
                <w:szCs w:val="16"/>
              </w:rPr>
            </w:pP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 </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rPr>
                <w:rFonts w:ascii="Times New Roman" w:hAnsi="Times New Roman"/>
                <w:b/>
                <w:bCs/>
                <w:iCs/>
                <w:sz w:val="16"/>
                <w:szCs w:val="16"/>
              </w:rPr>
            </w:pPr>
            <w:r w:rsidRPr="00366AA4">
              <w:rPr>
                <w:rFonts w:ascii="Times New Roman" w:hAnsi="Times New Roman"/>
                <w:b/>
                <w:bCs/>
                <w:iCs/>
                <w:sz w:val="16"/>
                <w:szCs w:val="16"/>
              </w:rPr>
              <w:t>Medziročná zmena stavu záväzkov</w:t>
            </w:r>
          </w:p>
        </w:tc>
        <w:tc>
          <w:tcPr>
            <w:tcW w:w="408" w:type="pct"/>
            <w:tcBorders>
              <w:top w:val="single" w:sz="4" w:space="0" w:color="auto"/>
              <w:left w:val="single" w:sz="4" w:space="0" w:color="auto"/>
              <w:bottom w:val="single" w:sz="4" w:space="0" w:color="auto"/>
              <w:right w:val="single" w:sz="4" w:space="0" w:color="auto"/>
            </w:tcBorders>
            <w:noWrap/>
            <w:textDirection w:val="lrTb"/>
            <w:vAlign w:val="center"/>
            <w:hideMark/>
          </w:tcPr>
          <w:p w:rsidR="006C0389" w:rsidRPr="00366AA4" w:rsidP="000008FE">
            <w:pPr>
              <w:bidi w:val="0"/>
              <w:jc w:val="center"/>
              <w:rPr>
                <w:rFonts w:ascii="Times New Roman" w:hAnsi="Times New Roman"/>
                <w:b/>
                <w:bCs/>
                <w:iCs/>
                <w:sz w:val="16"/>
                <w:szCs w:val="16"/>
              </w:rPr>
            </w:pPr>
          </w:p>
        </w:tc>
        <w:tc>
          <w:tcPr>
            <w:tcW w:w="444"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-3 710</w:t>
            </w:r>
          </w:p>
        </w:tc>
        <w:tc>
          <w:tcPr>
            <w:tcW w:w="385" w:type="pct"/>
            <w:tcBorders>
              <w:top w:val="single" w:sz="4" w:space="0" w:color="auto"/>
              <w:left w:val="single" w:sz="4" w:space="0" w:color="auto"/>
              <w:bottom w:val="single" w:sz="4" w:space="0" w:color="auto"/>
              <w:right w:val="single" w:sz="4" w:space="0" w:color="auto"/>
            </w:tcBorders>
            <w:noWrap/>
            <w:textDirection w:val="lrTb"/>
            <w:vAlign w:val="bottom"/>
          </w:tcPr>
          <w:p w:rsidR="006C0389" w:rsidRPr="00366AA4" w:rsidP="000008FE">
            <w:pPr>
              <w:bidi w:val="0"/>
              <w:rPr>
                <w:rFonts w:ascii="Times New Roman" w:hAnsi="Times New Roman"/>
                <w:b/>
                <w:bCs/>
                <w:i/>
                <w:iCs/>
                <w:sz w:val="16"/>
                <w:szCs w:val="16"/>
              </w:rPr>
            </w:pPr>
            <w:r w:rsidRPr="00366AA4">
              <w:rPr>
                <w:rFonts w:ascii="Times New Roman" w:hAnsi="Times New Roman"/>
                <w:b/>
                <w:bCs/>
                <w:i/>
                <w:iCs/>
                <w:sz w:val="16"/>
                <w:szCs w:val="16"/>
              </w:rPr>
              <w:t> </w:t>
            </w:r>
          </w:p>
        </w:tc>
        <w:tc>
          <w:tcPr>
            <w:tcW w:w="48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jc w:val="right"/>
              <w:rPr>
                <w:rFonts w:ascii="Times New Roman" w:hAnsi="Times New Roman"/>
                <w:sz w:val="16"/>
                <w:szCs w:val="16"/>
              </w:rPr>
            </w:pPr>
            <w:r w:rsidRPr="00366AA4">
              <w:rPr>
                <w:rFonts w:ascii="Times New Roman" w:hAnsi="Times New Roman"/>
                <w:sz w:val="16"/>
                <w:szCs w:val="16"/>
              </w:rPr>
              <w:t>-76 683</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rPr>
                <w:rFonts w:ascii="Arial Narrow" w:hAnsi="Arial Narrow"/>
                <w:sz w:val="20"/>
                <w:szCs w:val="20"/>
              </w:rPr>
            </w:pPr>
            <w:r w:rsidRPr="00366AA4">
              <w:rPr>
                <w:rFonts w:ascii="Arial Narrow" w:hAnsi="Arial Narrow"/>
                <w:sz w:val="20"/>
                <w:szCs w:val="20"/>
              </w:rPr>
              <w:t> </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rPr>
                <w:rFonts w:ascii="Arial Narrow" w:hAnsi="Arial Narrow"/>
                <w:sz w:val="20"/>
                <w:szCs w:val="20"/>
              </w:rPr>
            </w:pPr>
            <w:r w:rsidRPr="00366AA4">
              <w:rPr>
                <w:rFonts w:ascii="Arial Narrow" w:hAnsi="Arial Narrow"/>
                <w:sz w:val="20"/>
                <w:szCs w:val="20"/>
              </w:rPr>
              <w:t> </w:t>
            </w:r>
          </w:p>
        </w:tc>
        <w:tc>
          <w:tcPr>
            <w:tcW w:w="460" w:type="pct"/>
            <w:tcBorders>
              <w:top w:val="single" w:sz="4" w:space="0" w:color="auto"/>
              <w:left w:val="single" w:sz="4" w:space="0" w:color="auto"/>
              <w:bottom w:val="single" w:sz="4" w:space="0" w:color="auto"/>
              <w:right w:val="single" w:sz="4" w:space="0" w:color="auto"/>
            </w:tcBorders>
            <w:noWrap/>
            <w:textDirection w:val="lrTb"/>
            <w:vAlign w:val="bottom"/>
            <w:hideMark/>
          </w:tcPr>
          <w:p w:rsidR="006C0389" w:rsidRPr="00366AA4" w:rsidP="000008FE">
            <w:pPr>
              <w:bidi w:val="0"/>
              <w:rPr>
                <w:rFonts w:ascii="Arial Narrow" w:hAnsi="Arial Narrow"/>
                <w:sz w:val="20"/>
                <w:szCs w:val="20"/>
              </w:rPr>
            </w:pPr>
            <w:r w:rsidRPr="00366AA4">
              <w:rPr>
                <w:rFonts w:ascii="Arial Narrow" w:hAnsi="Arial Narrow"/>
                <w:sz w:val="20"/>
                <w:szCs w:val="20"/>
              </w:rPr>
              <w:t> </w:t>
            </w:r>
          </w:p>
        </w:tc>
      </w:tr>
      <w:tr>
        <w:tblPrEx>
          <w:tblW w:w="5000" w:type="pct"/>
          <w:tblCellMar>
            <w:left w:w="70" w:type="dxa"/>
            <w:right w:w="70" w:type="dxa"/>
          </w:tblCellMar>
          <w:tblLook w:val="04A0"/>
        </w:tblPrEx>
        <w:trPr>
          <w:trHeight w:hRule="exact" w:val="255"/>
        </w:trPr>
        <w:tc>
          <w:tcPr>
            <w:tcW w:w="1901"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6C0389" w:rsidRPr="00366AA4" w:rsidP="00A74905">
            <w:pPr>
              <w:bidi w:val="0"/>
              <w:rPr>
                <w:rFonts w:ascii="Times New Roman" w:hAnsi="Times New Roman"/>
                <w:b/>
                <w:bCs/>
                <w:iCs/>
                <w:sz w:val="16"/>
                <w:szCs w:val="16"/>
              </w:rPr>
            </w:pPr>
            <w:r w:rsidRPr="00366AA4">
              <w:rPr>
                <w:rFonts w:ascii="Times New Roman" w:hAnsi="Times New Roman"/>
                <w:b/>
                <w:bCs/>
                <w:iCs/>
                <w:sz w:val="16"/>
                <w:szCs w:val="16"/>
              </w:rPr>
              <w:t>Prebytok</w:t>
            </w:r>
            <w:r w:rsidRPr="003679CA" w:rsidR="00A74905">
              <w:rPr>
                <w:rFonts w:ascii="Times New Roman" w:hAnsi="Times New Roman"/>
                <w:b/>
                <w:bCs/>
                <w:iCs/>
                <w:sz w:val="16"/>
                <w:szCs w:val="16"/>
              </w:rPr>
              <w:t>(+)</w:t>
            </w:r>
            <w:r w:rsidRPr="003679CA">
              <w:rPr>
                <w:rFonts w:ascii="Times New Roman" w:hAnsi="Times New Roman"/>
                <w:b/>
                <w:bCs/>
                <w:iCs/>
                <w:sz w:val="16"/>
                <w:szCs w:val="16"/>
              </w:rPr>
              <w:t xml:space="preserve"> / schodok (-) </w:t>
            </w:r>
            <w:r w:rsidRPr="003679CA" w:rsidR="00A74905">
              <w:rPr>
                <w:rFonts w:ascii="Times New Roman" w:hAnsi="Times New Roman"/>
                <w:b/>
                <w:bCs/>
                <w:iCs/>
                <w:sz w:val="16"/>
                <w:szCs w:val="16"/>
              </w:rPr>
              <w:t xml:space="preserve"> NDS</w:t>
            </w:r>
            <w:r w:rsidR="00A74905">
              <w:rPr>
                <w:rFonts w:ascii="Times New Roman" w:hAnsi="Times New Roman"/>
                <w:b/>
                <w:bCs/>
                <w:iCs/>
                <w:sz w:val="16"/>
                <w:szCs w:val="16"/>
              </w:rPr>
              <w:t xml:space="preserve"> </w:t>
            </w:r>
            <w:r w:rsidRPr="00366AA4">
              <w:rPr>
                <w:rFonts w:ascii="Times New Roman" w:hAnsi="Times New Roman"/>
                <w:b/>
                <w:bCs/>
                <w:iCs/>
                <w:sz w:val="16"/>
                <w:szCs w:val="16"/>
              </w:rPr>
              <w:t>(ESA 2010)</w:t>
            </w:r>
          </w:p>
        </w:tc>
        <w:tc>
          <w:tcPr>
            <w:tcW w:w="408"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6C0389" w:rsidRPr="00366AA4" w:rsidP="001D0808">
            <w:pPr>
              <w:bidi w:val="0"/>
              <w:jc w:val="right"/>
              <w:rPr>
                <w:rFonts w:ascii="Times New Roman" w:hAnsi="Times New Roman"/>
                <w:b/>
                <w:bCs/>
                <w:iCs/>
                <w:sz w:val="16"/>
                <w:szCs w:val="16"/>
              </w:rPr>
            </w:pPr>
            <w:r w:rsidRPr="00366AA4">
              <w:rPr>
                <w:rFonts w:ascii="Times New Roman" w:hAnsi="Times New Roman"/>
                <w:b/>
                <w:bCs/>
                <w:iCs/>
                <w:sz w:val="16"/>
                <w:szCs w:val="16"/>
              </w:rPr>
              <w:t>147 160</w:t>
            </w:r>
          </w:p>
        </w:tc>
        <w:tc>
          <w:tcPr>
            <w:tcW w:w="444"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6 854</w:t>
            </w:r>
          </w:p>
        </w:tc>
        <w:tc>
          <w:tcPr>
            <w:tcW w:w="385"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37 177</w:t>
            </w:r>
          </w:p>
        </w:tc>
        <w:tc>
          <w:tcPr>
            <w:tcW w:w="480"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Arial Narrow" w:hAnsi="Arial Narrow"/>
                <w:b/>
                <w:bCs/>
                <w:i/>
                <w:iCs/>
                <w:sz w:val="20"/>
                <w:szCs w:val="20"/>
              </w:rPr>
              <w:t>-</w:t>
            </w:r>
            <w:r w:rsidRPr="00366AA4">
              <w:rPr>
                <w:rFonts w:ascii="Times New Roman" w:hAnsi="Times New Roman"/>
                <w:b/>
                <w:bCs/>
                <w:iCs/>
                <w:sz w:val="16"/>
                <w:szCs w:val="16"/>
              </w:rPr>
              <w:t>120 585</w:t>
            </w:r>
          </w:p>
        </w:tc>
        <w:tc>
          <w:tcPr>
            <w:tcW w:w="460"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35 890</w:t>
            </w:r>
          </w:p>
        </w:tc>
        <w:tc>
          <w:tcPr>
            <w:tcW w:w="460"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53 009</w:t>
            </w:r>
          </w:p>
        </w:tc>
        <w:tc>
          <w:tcPr>
            <w:tcW w:w="460"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6C0389" w:rsidRPr="00366AA4" w:rsidP="000008FE">
            <w:pPr>
              <w:bidi w:val="0"/>
              <w:jc w:val="right"/>
              <w:rPr>
                <w:rFonts w:ascii="Times New Roman" w:hAnsi="Times New Roman"/>
                <w:b/>
                <w:bCs/>
                <w:iCs/>
                <w:sz w:val="16"/>
                <w:szCs w:val="16"/>
              </w:rPr>
            </w:pPr>
            <w:r w:rsidRPr="00366AA4">
              <w:rPr>
                <w:rFonts w:ascii="Times New Roman" w:hAnsi="Times New Roman"/>
                <w:b/>
                <w:bCs/>
                <w:iCs/>
                <w:sz w:val="16"/>
                <w:szCs w:val="16"/>
              </w:rPr>
              <w:t>36 965</w:t>
            </w:r>
          </w:p>
        </w:tc>
      </w:tr>
    </w:tbl>
    <w:p w:rsidR="006C0389" w:rsidRPr="00366AA4" w:rsidP="006C0389">
      <w:pPr>
        <w:autoSpaceDE w:val="0"/>
        <w:autoSpaceDN w:val="0"/>
        <w:bidi w:val="0"/>
        <w:adjustRightInd w:val="0"/>
        <w:rPr>
          <w:rFonts w:ascii="Times New Roman" w:hAnsi="Times New Roman"/>
          <w:sz w:val="16"/>
          <w:szCs w:val="16"/>
        </w:rPr>
      </w:pPr>
      <w:r w:rsidRPr="00366AA4">
        <w:rPr>
          <w:rFonts w:ascii="Times New Roman" w:hAnsi="Times New Roman"/>
          <w:sz w:val="16"/>
          <w:szCs w:val="16"/>
        </w:rPr>
        <w:t>* Výsledok prebytok/schodok v ESA 2010 je prevzatý z podkladov od NDS pre EUROSTAT do jesennej notifikácie za rok 2013.</w:t>
      </w:r>
    </w:p>
    <w:p w:rsidR="006C0389" w:rsidRPr="006B53D9" w:rsidP="006C0389">
      <w:pPr>
        <w:autoSpaceDE w:val="0"/>
        <w:autoSpaceDN w:val="0"/>
        <w:bidi w:val="0"/>
        <w:adjustRightInd w:val="0"/>
        <w:rPr>
          <w:rFonts w:ascii="Times New Roman" w:hAnsi="Times New Roman"/>
        </w:rPr>
      </w:pPr>
    </w:p>
    <w:p w:rsidR="006C0389" w:rsidRPr="00366AA4" w:rsidP="006C0389">
      <w:pPr>
        <w:bidi w:val="0"/>
        <w:ind w:firstLine="708"/>
        <w:jc w:val="both"/>
        <w:rPr>
          <w:rFonts w:ascii="Times New Roman" w:hAnsi="Times New Roman"/>
        </w:rPr>
      </w:pPr>
      <w:r w:rsidRPr="00366AA4">
        <w:rPr>
          <w:rFonts w:ascii="Times New Roman" w:hAnsi="Times New Roman"/>
        </w:rPr>
        <w:t xml:space="preserve">Príjmy NDS v roku 2016 predstavujú celkovú výšku 1,03 mld. eur, pričom transfer zo štátneho rozpočtu je rozpočtovaný vo výške 776 mil. eur  a  vlastné zdroje NDS v sume </w:t>
      </w:r>
      <w:r w:rsidR="006B53D9">
        <w:rPr>
          <w:rFonts w:ascii="Times New Roman" w:hAnsi="Times New Roman"/>
        </w:rPr>
        <w:t xml:space="preserve">     </w:t>
      </w:r>
      <w:r w:rsidRPr="00366AA4">
        <w:rPr>
          <w:rFonts w:ascii="Times New Roman" w:hAnsi="Times New Roman"/>
        </w:rPr>
        <w:t>251 mil. eur sa navrhujú najmä z diaľničných nálepiek</w:t>
      </w:r>
      <w:r w:rsidRPr="00366AA4">
        <w:rPr>
          <w:rFonts w:ascii="Times New Roman" w:hAnsi="Times New Roman"/>
        </w:rPr>
        <w:t>, mýta, nájmov a výnosov za poskytované služby</w:t>
      </w:r>
      <w:r w:rsidRPr="00366AA4">
        <w:rPr>
          <w:rFonts w:ascii="Times New Roman" w:hAnsi="Times New Roman"/>
        </w:rPr>
        <w:t>. Rozpočtované príjmy v roku 2016 v porovnaní so schváleným rozpočtom roku 2015 sú vyššie o 144 mil. eur, t. j. o 16,3 % najmä z dôvodu zvýšenia kapitálových transferov.</w:t>
      </w:r>
    </w:p>
    <w:p w:rsidR="006C0389" w:rsidRPr="00366AA4" w:rsidP="006C0389">
      <w:pPr>
        <w:bidi w:val="0"/>
        <w:jc w:val="both"/>
        <w:rPr>
          <w:rFonts w:ascii="Times New Roman" w:hAnsi="Times New Roman"/>
          <w:sz w:val="16"/>
          <w:szCs w:val="16"/>
        </w:rPr>
      </w:pPr>
    </w:p>
    <w:p w:rsidR="006C0389" w:rsidRPr="00366AA4" w:rsidP="006C0389">
      <w:pPr>
        <w:bidi w:val="0"/>
        <w:ind w:firstLine="708"/>
        <w:jc w:val="both"/>
        <w:rPr>
          <w:rFonts w:ascii="Times New Roman" w:hAnsi="Times New Roman"/>
        </w:rPr>
      </w:pPr>
      <w:r w:rsidRPr="00366AA4">
        <w:rPr>
          <w:rFonts w:ascii="Times New Roman" w:hAnsi="Times New Roman"/>
        </w:rPr>
        <w:t>Výdavky NDS v roku 2016 sa rozpočtujú v sume 1,02 mld. eur a v porovnaní</w:t>
        <w:br/>
        <w:t>so schváleným rozpočtom roku 2015 sú vyššie o 195 mil. eur, t. j. o 23,5 % najmä z dôvodu zvýšenia kapitálových výdavkov. Bežné výdavky sa rozpočtujú vo výške 190 mil. eur, kapitálové výdavky predstavujú 797 mil. eur a n</w:t>
      </w:r>
      <w:r w:rsidRPr="00366AA4">
        <w:rPr>
          <w:rFonts w:ascii="Times New Roman" w:hAnsi="Times New Roman"/>
        </w:rPr>
        <w:t xml:space="preserve">a splácanie istiny sú rozpočtované výdavky v sume 37,2 mil. eur. Uvedené zdroje sa použijú na prípravu a výstavbu diaľnic a rýchlostných ciest, na ich údržbu a opravy, na úhradu nákladov za mýto, na náklady súvisiace s výrobou a predajom diaľničných nálepiek, na splátky investičného úveru a na ostatné režijné náklady. </w:t>
      </w:r>
    </w:p>
    <w:p w:rsidR="006C0389" w:rsidRPr="00366AA4" w:rsidP="006C0389">
      <w:pPr>
        <w:bidi w:val="0"/>
        <w:jc w:val="both"/>
        <w:rPr>
          <w:rFonts w:ascii="Times New Roman" w:hAnsi="Times New Roman"/>
          <w:sz w:val="16"/>
          <w:szCs w:val="16"/>
        </w:rPr>
      </w:pPr>
    </w:p>
    <w:p w:rsidR="006C0389" w:rsidRPr="00366AA4" w:rsidP="006C0389">
      <w:pPr>
        <w:bidi w:val="0"/>
        <w:jc w:val="both"/>
        <w:rPr>
          <w:rFonts w:ascii="Times New Roman" w:hAnsi="Times New Roman"/>
        </w:rPr>
      </w:pPr>
      <w:r w:rsidRPr="00366AA4">
        <w:rPr>
          <w:rFonts w:ascii="Times New Roman" w:hAnsi="Times New Roman"/>
        </w:rPr>
        <w:tab/>
        <w:t>Celkový hotovostný prebytok NDS sa rozpočtuje v roku 2016 vo výške 2,21 mil. eur, čo v porovnaní so schváleným rozpočtom roku 2015 predstavuje pokles o 51,1</w:t>
      </w:r>
      <w:r w:rsidR="00E61B8F">
        <w:rPr>
          <w:rFonts w:ascii="Times New Roman" w:hAnsi="Times New Roman"/>
        </w:rPr>
        <w:t xml:space="preserve"> </w:t>
      </w:r>
      <w:r w:rsidRPr="00366AA4">
        <w:rPr>
          <w:rFonts w:ascii="Times New Roman" w:hAnsi="Times New Roman"/>
        </w:rPr>
        <w:t>mil. eur, t. j</w:t>
      </w:r>
      <w:r w:rsidR="006B53D9">
        <w:rPr>
          <w:rFonts w:ascii="Times New Roman" w:hAnsi="Times New Roman"/>
        </w:rPr>
        <w:t>.</w:t>
      </w:r>
      <w:r w:rsidRPr="00366AA4">
        <w:rPr>
          <w:rFonts w:ascii="Times New Roman" w:hAnsi="Times New Roman"/>
        </w:rPr>
        <w:t xml:space="preserve"> o 95,9 % a prebytok v metodike ESA 2010 v sume 35,9 mil. eur predstavuje pokles </w:t>
      </w:r>
      <w:r w:rsidR="006244B6">
        <w:rPr>
          <w:rFonts w:ascii="Times New Roman" w:hAnsi="Times New Roman"/>
        </w:rPr>
        <w:br/>
      </w:r>
      <w:r w:rsidRPr="00366AA4">
        <w:rPr>
          <w:rFonts w:ascii="Times New Roman" w:hAnsi="Times New Roman"/>
        </w:rPr>
        <w:t>o 1,29 mil. eur, t. j. o 3,46 %.</w:t>
      </w:r>
    </w:p>
    <w:p w:rsidR="006C0389" w:rsidP="006C0389">
      <w:pPr>
        <w:bidi w:val="0"/>
        <w:jc w:val="both"/>
        <w:rPr>
          <w:rFonts w:ascii="Times New Roman" w:hAnsi="Times New Roman"/>
        </w:rPr>
      </w:pPr>
    </w:p>
    <w:p w:rsidR="006C0389" w:rsidP="006C0389">
      <w:pPr>
        <w:bidi w:val="0"/>
        <w:rPr>
          <w:rFonts w:ascii="Times New Roman" w:hAnsi="Times New Roman"/>
          <w:b/>
        </w:rPr>
      </w:pPr>
      <w:r>
        <w:rPr>
          <w:rFonts w:ascii="Times New Roman" w:hAnsi="Times New Roman"/>
          <w:b/>
        </w:rPr>
        <w:t>18. Agentúra pre núdzové zásoby ropy a ropných výrobkov</w:t>
      </w:r>
    </w:p>
    <w:p w:rsidR="006C0389" w:rsidRPr="00F80EDD" w:rsidP="006C0389">
      <w:pPr>
        <w:bidi w:val="0"/>
        <w:rPr>
          <w:rFonts w:ascii="Times New Roman" w:hAnsi="Times New Roman"/>
          <w:b/>
          <w:sz w:val="16"/>
          <w:szCs w:val="16"/>
        </w:rPr>
      </w:pPr>
    </w:p>
    <w:p w:rsidR="006C0389" w:rsidP="006C0389">
      <w:pPr>
        <w:bidi w:val="0"/>
        <w:jc w:val="both"/>
        <w:rPr>
          <w:rFonts w:ascii="Times New Roman" w:hAnsi="Times New Roman"/>
        </w:rPr>
      </w:pPr>
      <w:r>
        <w:rPr>
          <w:rFonts w:ascii="Times New Roman" w:hAnsi="Times New Roman"/>
        </w:rPr>
        <w:tab/>
      </w:r>
      <w:r w:rsidRPr="00475FF9">
        <w:rPr>
          <w:rFonts w:ascii="Times New Roman" w:hAnsi="Times New Roman"/>
        </w:rPr>
        <w:t>Agentúra pre núdzové zásoby ropy a ropných výrobkov</w:t>
      </w:r>
      <w:r>
        <w:rPr>
          <w:rFonts w:ascii="Times New Roman" w:hAnsi="Times New Roman"/>
        </w:rPr>
        <w:t xml:space="preserve"> (ďalej len „Agentúra“) je záujmovým združením právnických osôb založená za účelom obstarávania a udržiavania núdzových zásob ropy a ropných výrobkov pre potreby ich použitia v stave ropnej núdze, </w:t>
      </w:r>
      <w:r w:rsidRPr="0007066C">
        <w:rPr>
          <w:rFonts w:ascii="Times New Roman" w:hAnsi="Times New Roman"/>
        </w:rPr>
        <w:t>alebo na plnenie medzinárodných záväzkov, ktorými je Slovenská republika viazaná.</w:t>
      </w:r>
      <w:r>
        <w:rPr>
          <w:rFonts w:ascii="Times New Roman" w:hAnsi="Times New Roman"/>
        </w:rPr>
        <w:t xml:space="preserve"> Agentúra bola zriadená zákonom č. 218/2013 Z. z. o núdzových zásobách ropy a ropných výrobkov a o riešení stavu ropnej núdze a o zmene a doplnení niektorých zákonov dňa </w:t>
      </w:r>
      <w:r w:rsidR="00F80EDD">
        <w:rPr>
          <w:rFonts w:ascii="Times New Roman" w:hAnsi="Times New Roman"/>
        </w:rPr>
        <w:t xml:space="preserve">        </w:t>
      </w:r>
      <w:r>
        <w:rPr>
          <w:rFonts w:ascii="Times New Roman" w:hAnsi="Times New Roman"/>
        </w:rPr>
        <w:t xml:space="preserve">13. septembra 2013. </w:t>
      </w:r>
      <w:r w:rsidRPr="00894D21">
        <w:rPr>
          <w:rFonts w:ascii="Times New Roman" w:hAnsi="Times New Roman"/>
        </w:rPr>
        <w:t>Agentúra sa podľa</w:t>
      </w:r>
      <w:r>
        <w:rPr>
          <w:rFonts w:ascii="Times New Roman" w:hAnsi="Times New Roman"/>
        </w:rPr>
        <w:t xml:space="preserve"> novej</w:t>
      </w:r>
      <w:r w:rsidRPr="00894D21">
        <w:rPr>
          <w:rFonts w:ascii="Times New Roman" w:hAnsi="Times New Roman"/>
        </w:rPr>
        <w:t xml:space="preserve"> metodiky ESA 2010</w:t>
      </w:r>
      <w:r>
        <w:rPr>
          <w:rFonts w:ascii="Times New Roman" w:hAnsi="Times New Roman"/>
        </w:rPr>
        <w:t xml:space="preserve"> od roku 2014</w:t>
      </w:r>
      <w:r w:rsidRPr="00894D21">
        <w:rPr>
          <w:rFonts w:ascii="Times New Roman" w:hAnsi="Times New Roman"/>
        </w:rPr>
        <w:t xml:space="preserve"> stala subjektom verejnej správy</w:t>
      </w:r>
      <w:r>
        <w:rPr>
          <w:rFonts w:ascii="Times New Roman" w:hAnsi="Times New Roman"/>
        </w:rPr>
        <w:t>.</w:t>
      </w:r>
      <w:r w:rsidRPr="00894D21">
        <w:rPr>
          <w:rFonts w:ascii="Times New Roman" w:hAnsi="Times New Roman"/>
        </w:rPr>
        <w:t xml:space="preserve">  </w:t>
      </w:r>
    </w:p>
    <w:p w:rsidR="006C0389" w:rsidRPr="00F80EDD" w:rsidP="006C0389">
      <w:pPr>
        <w:bidi w:val="0"/>
        <w:jc w:val="both"/>
        <w:rPr>
          <w:rFonts w:ascii="Times New Roman" w:hAnsi="Times New Roman"/>
          <w:sz w:val="16"/>
          <w:szCs w:val="16"/>
        </w:rPr>
      </w:pPr>
    </w:p>
    <w:p w:rsidR="006C0389" w:rsidP="006C0389">
      <w:pPr>
        <w:bidi w:val="0"/>
        <w:jc w:val="both"/>
        <w:rPr>
          <w:rFonts w:ascii="Times New Roman" w:hAnsi="Times New Roman"/>
        </w:rPr>
      </w:pPr>
      <w:r>
        <w:rPr>
          <w:rFonts w:ascii="Times New Roman" w:hAnsi="Times New Roman"/>
        </w:rPr>
        <w:tab/>
        <w:t>Vývoj príjmovej a výdavkovej časti rozpočtu Agentúry na roky 2016 až 2018 je nasledovný:</w:t>
      </w:r>
    </w:p>
    <w:p w:rsidR="006C0389" w:rsidRPr="00F80EDD" w:rsidP="006C0389">
      <w:pPr>
        <w:bidi w:val="0"/>
        <w:jc w:val="both"/>
        <w:rPr>
          <w:rFonts w:ascii="Times New Roman" w:hAnsi="Times New Roman"/>
          <w:sz w:val="16"/>
          <w:szCs w:val="16"/>
        </w:rPr>
      </w:pPr>
    </w:p>
    <w:tbl>
      <w:tblPr>
        <w:tblStyle w:val="TableNormal"/>
        <w:tblW w:w="9084" w:type="dxa"/>
        <w:tblInd w:w="58" w:type="dxa"/>
        <w:tblLayout w:type="fixed"/>
        <w:tblCellMar>
          <w:left w:w="70" w:type="dxa"/>
          <w:right w:w="70" w:type="dxa"/>
        </w:tblCellMar>
        <w:tblLook w:val="04A0"/>
      </w:tblPr>
      <w:tblGrid>
        <w:gridCol w:w="3981"/>
        <w:gridCol w:w="729"/>
        <w:gridCol w:w="729"/>
        <w:gridCol w:w="729"/>
        <w:gridCol w:w="729"/>
        <w:gridCol w:w="729"/>
        <w:gridCol w:w="729"/>
        <w:gridCol w:w="729"/>
      </w:tblGrid>
      <w:tr>
        <w:tblPrEx>
          <w:tblW w:w="9084" w:type="dxa"/>
          <w:tblInd w:w="58" w:type="dxa"/>
          <w:tblLayout w:type="fixed"/>
          <w:tblCellMar>
            <w:left w:w="70" w:type="dxa"/>
            <w:right w:w="70" w:type="dxa"/>
          </w:tblCellMar>
          <w:tblLook w:val="04A0"/>
        </w:tblPrEx>
        <w:trPr>
          <w:trHeight w:val="255"/>
        </w:trPr>
        <w:tc>
          <w:tcPr>
            <w:tcW w:w="398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bottom"/>
            <w:hideMark/>
          </w:tcPr>
          <w:p w:rsidR="006C0389" w:rsidRPr="007903DA" w:rsidP="000008FE">
            <w:pPr>
              <w:bidi w:val="0"/>
              <w:rPr>
                <w:rFonts w:ascii="Times New Roman" w:hAnsi="Times New Roman"/>
                <w:b/>
                <w:bCs/>
                <w:color w:val="000000"/>
                <w:sz w:val="16"/>
                <w:szCs w:val="16"/>
              </w:rPr>
            </w:pPr>
            <w:r w:rsidRPr="007903DA">
              <w:rPr>
                <w:rFonts w:ascii="Times New Roman" w:hAnsi="Times New Roman"/>
                <w:b/>
                <w:bCs/>
                <w:color w:val="000000"/>
                <w:sz w:val="16"/>
                <w:szCs w:val="16"/>
              </w:rPr>
              <w:t>v tis. eur</w:t>
            </w:r>
          </w:p>
        </w:tc>
        <w:tc>
          <w:tcPr>
            <w:tcW w:w="729"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C0389" w:rsidRPr="007903DA" w:rsidP="000008FE">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2013 S*</w:t>
            </w:r>
          </w:p>
        </w:tc>
        <w:tc>
          <w:tcPr>
            <w:tcW w:w="729"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C0389" w:rsidRPr="007903DA" w:rsidP="000008FE">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2014 S</w:t>
            </w:r>
          </w:p>
        </w:tc>
        <w:tc>
          <w:tcPr>
            <w:tcW w:w="729"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C0389" w:rsidRPr="007903DA" w:rsidP="000008FE">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2015 R</w:t>
            </w:r>
          </w:p>
        </w:tc>
        <w:tc>
          <w:tcPr>
            <w:tcW w:w="729"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C0389" w:rsidRPr="007903DA" w:rsidP="000008FE">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2015 OS</w:t>
            </w:r>
          </w:p>
        </w:tc>
        <w:tc>
          <w:tcPr>
            <w:tcW w:w="729"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C0389" w:rsidRPr="007903DA" w:rsidP="000008FE">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2016 N</w:t>
            </w:r>
          </w:p>
        </w:tc>
        <w:tc>
          <w:tcPr>
            <w:tcW w:w="729"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C0389" w:rsidRPr="007903DA" w:rsidP="000008FE">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2017 N</w:t>
            </w:r>
          </w:p>
        </w:tc>
        <w:tc>
          <w:tcPr>
            <w:tcW w:w="729" w:type="dxa"/>
            <w:tcBorders>
              <w:top w:val="single" w:sz="4" w:space="0" w:color="auto"/>
              <w:left w:val="nil"/>
              <w:bottom w:val="single" w:sz="4" w:space="0" w:color="auto"/>
              <w:right w:val="single" w:sz="4" w:space="0" w:color="auto"/>
            </w:tcBorders>
            <w:shd w:val="clear" w:color="auto" w:fill="A6A6A6"/>
            <w:noWrap/>
            <w:textDirection w:val="lrTb"/>
            <w:vAlign w:val="bottom"/>
            <w:hideMark/>
          </w:tcPr>
          <w:p w:rsidR="006C0389" w:rsidRPr="007903DA" w:rsidP="000008FE">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2018 N</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6C0389" w:rsidRPr="007903DA" w:rsidP="000008FE">
            <w:pPr>
              <w:bidi w:val="0"/>
              <w:rPr>
                <w:rFonts w:ascii="Times New Roman" w:hAnsi="Times New Roman"/>
                <w:b/>
                <w:bCs/>
                <w:color w:val="000000"/>
                <w:sz w:val="16"/>
                <w:szCs w:val="16"/>
              </w:rPr>
            </w:pPr>
            <w:r w:rsidRPr="007903DA">
              <w:rPr>
                <w:rFonts w:ascii="Times New Roman" w:hAnsi="Times New Roman"/>
                <w:b/>
                <w:bCs/>
                <w:color w:val="000000"/>
                <w:sz w:val="16"/>
                <w:szCs w:val="16"/>
              </w:rPr>
              <w:t>Príjmy Agentúry spolu</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 xml:space="preserve"> - </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624 196</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101 975</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85 013</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74 923</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87 171</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100 985</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textDirection w:val="lrTb"/>
            <w:vAlign w:val="center"/>
            <w:hideMark/>
          </w:tcPr>
          <w:p w:rsidR="006C0389" w:rsidRPr="007903DA" w:rsidP="000008FE">
            <w:pPr>
              <w:bidi w:val="0"/>
              <w:rPr>
                <w:rFonts w:ascii="Times New Roman" w:hAnsi="Times New Roman"/>
                <w:b/>
                <w:bCs/>
                <w:color w:val="000000"/>
                <w:sz w:val="16"/>
                <w:szCs w:val="16"/>
              </w:rPr>
            </w:pPr>
            <w:r w:rsidRPr="007903DA">
              <w:rPr>
                <w:rFonts w:ascii="Times New Roman" w:hAnsi="Times New Roman"/>
                <w:b/>
                <w:bCs/>
                <w:color w:val="000000"/>
                <w:sz w:val="16"/>
                <w:szCs w:val="16"/>
              </w:rPr>
              <w:t>z toho:</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 </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textDirection w:val="lrTb"/>
            <w:vAlign w:val="center"/>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xml:space="preserve">▪ nedaňové príjmy, z toho: </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 xml:space="preserve"> - </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52 485</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46 420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52 632</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54 112</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55 895</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57 959</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textDirection w:val="lrTb"/>
            <w:vAlign w:val="center"/>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xml:space="preserve">     poplatky a platby za predaj výrobkov, tovarov a služieb</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52 466</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46 420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52 626</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54 112</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55 895</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57 959</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textDirection w:val="lrTb"/>
            <w:vAlign w:val="center"/>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xml:space="preserve">     úroky z úverov, vkladov</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19</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6</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noWrap/>
            <w:textDirection w:val="lrTb"/>
            <w:vAlign w:val="center"/>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príjmy z transakcií s fin. akt. a pas., z toho (FO)</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 xml:space="preserve"> - </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51 711</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55 555</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32 380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20 811</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31 276</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43 026</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textDirection w:val="lrTb"/>
            <w:vAlign w:val="center"/>
            <w:hideMark/>
          </w:tcPr>
          <w:p w:rsidR="006C0389" w:rsidRPr="007903DA" w:rsidP="000008FE">
            <w:pPr>
              <w:bidi w:val="0"/>
              <w:ind w:firstLine="160" w:firstLineChars="100"/>
              <w:rPr>
                <w:rFonts w:ascii="Times New Roman" w:hAnsi="Times New Roman"/>
                <w:color w:val="000000"/>
                <w:sz w:val="16"/>
                <w:szCs w:val="16"/>
              </w:rPr>
            </w:pPr>
            <w:r w:rsidRPr="007903DA">
              <w:rPr>
                <w:rFonts w:ascii="Times New Roman" w:hAnsi="Times New Roman"/>
                <w:color w:val="000000"/>
                <w:sz w:val="16"/>
                <w:szCs w:val="16"/>
              </w:rPr>
              <w:t xml:space="preserve">  zostatok  prostriedkov z predch.  roka</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51 711</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55 555</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32 380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20 811</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31 276</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43 026</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noWrap/>
            <w:textDirection w:val="lrTb"/>
            <w:vAlign w:val="center"/>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prijaté úvery (FO)</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520 000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textDirection w:val="lrTb"/>
            <w:vAlign w:val="center"/>
            <w:hideMark/>
          </w:tcPr>
          <w:p w:rsidR="006C0389" w:rsidRPr="007903DA" w:rsidP="000008FE">
            <w:pPr>
              <w:bidi w:val="0"/>
              <w:ind w:firstLine="160" w:firstLineChars="100"/>
              <w:rPr>
                <w:rFonts w:ascii="Times New Roman" w:hAnsi="Times New Roman"/>
                <w:color w:val="000000"/>
                <w:sz w:val="16"/>
                <w:szCs w:val="16"/>
              </w:rPr>
            </w:pPr>
            <w:r w:rsidRPr="007903DA">
              <w:rPr>
                <w:rFonts w:ascii="Times New Roman" w:hAnsi="Times New Roman"/>
                <w:color w:val="000000"/>
                <w:sz w:val="16"/>
                <w:szCs w:val="16"/>
              </w:rPr>
              <w:t xml:space="preserve">  tuzemské úvery, pôžičky a NFV</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520 000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6C0389" w:rsidRPr="007903DA" w:rsidP="000008FE">
            <w:pPr>
              <w:bidi w:val="0"/>
              <w:rPr>
                <w:rFonts w:ascii="Times New Roman" w:hAnsi="Times New Roman"/>
                <w:b/>
                <w:bCs/>
                <w:color w:val="000000"/>
                <w:sz w:val="16"/>
                <w:szCs w:val="16"/>
              </w:rPr>
            </w:pPr>
            <w:r w:rsidRPr="007903DA">
              <w:rPr>
                <w:rFonts w:ascii="Times New Roman" w:hAnsi="Times New Roman"/>
                <w:b/>
                <w:bCs/>
                <w:color w:val="000000"/>
                <w:sz w:val="16"/>
                <w:szCs w:val="16"/>
              </w:rPr>
              <w:t>Výdavky Agentúry spolu</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 xml:space="preserve"> - </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591 815</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49 667</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64 202</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43 647</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44 145</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60 245</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textDirection w:val="lrTb"/>
            <w:vAlign w:val="center"/>
            <w:hideMark/>
          </w:tcPr>
          <w:p w:rsidR="006C0389" w:rsidRPr="007903DA" w:rsidP="000008FE">
            <w:pPr>
              <w:bidi w:val="0"/>
              <w:rPr>
                <w:rFonts w:ascii="Times New Roman" w:hAnsi="Times New Roman"/>
                <w:b/>
                <w:bCs/>
                <w:color w:val="000000"/>
                <w:sz w:val="16"/>
                <w:szCs w:val="16"/>
              </w:rPr>
            </w:pPr>
            <w:r w:rsidRPr="007903DA">
              <w:rPr>
                <w:rFonts w:ascii="Times New Roman" w:hAnsi="Times New Roman"/>
                <w:b/>
                <w:bCs/>
                <w:color w:val="000000"/>
                <w:sz w:val="16"/>
                <w:szCs w:val="16"/>
              </w:rPr>
              <w:t>z toho:</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 </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textDirection w:val="lrTb"/>
            <w:vAlign w:val="center"/>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bežné výdavky, z toho:</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31 497</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49 607</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43 536</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43 647</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43 350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43 923</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textDirection w:val="lrTb"/>
            <w:vAlign w:val="center"/>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xml:space="preserve">      mzdy</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308</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290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290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290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290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290</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textDirection w:val="lrTb"/>
            <w:vAlign w:val="center"/>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xml:space="preserve">      poistné</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95</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102</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102</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102</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102</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102</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textDirection w:val="lrTb"/>
            <w:vAlign w:val="center"/>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xml:space="preserve">      tovary a služby</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26 268</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34 091</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34 144</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34 256</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33 958</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34 532</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textDirection w:val="lrTb"/>
            <w:vAlign w:val="center"/>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xml:space="preserve">     splácanie úrokov a ostatné platby s úvermi</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4 826</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15 124</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9 000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9 000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9 000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9 000</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textDirection w:val="lrTb"/>
            <w:vAlign w:val="center"/>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kapitálové výdavky, z toho:</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40 319</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60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20 666</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795</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16 322</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noWrap/>
            <w:textDirection w:val="lrTb"/>
            <w:vAlign w:val="center"/>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xml:space="preserve">      obstarávanie kapitálových aktív</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40 319</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60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20 666</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795</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16 322</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noWrap/>
            <w:textDirection w:val="lrTb"/>
            <w:vAlign w:val="center"/>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výdavky z transakcií s fin. akt. a pas. , z toho: (FO)</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520 000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noWrap/>
            <w:textDirection w:val="lrTb"/>
            <w:vAlign w:val="center"/>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xml:space="preserve">     splácanie istín</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520 000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6C0389" w:rsidRPr="007903DA" w:rsidP="000008FE">
            <w:pPr>
              <w:bidi w:val="0"/>
              <w:rPr>
                <w:rFonts w:ascii="Times New Roman" w:hAnsi="Times New Roman"/>
                <w:b/>
                <w:bCs/>
                <w:color w:val="000000"/>
                <w:sz w:val="16"/>
                <w:szCs w:val="16"/>
              </w:rPr>
            </w:pPr>
            <w:r w:rsidRPr="007903DA">
              <w:rPr>
                <w:rFonts w:ascii="Times New Roman" w:hAnsi="Times New Roman"/>
                <w:b/>
                <w:bCs/>
                <w:color w:val="000000"/>
                <w:sz w:val="16"/>
                <w:szCs w:val="16"/>
              </w:rPr>
              <w:t>Celkový prebytok  Agentúry</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32 380</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52 308</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20 811</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31 276</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43 026</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40 740</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textDirection w:val="lrTb"/>
            <w:vAlign w:val="center"/>
            <w:hideMark/>
          </w:tcPr>
          <w:p w:rsidR="006C0389" w:rsidRPr="007903DA" w:rsidP="000008FE">
            <w:pPr>
              <w:bidi w:val="0"/>
              <w:rPr>
                <w:rFonts w:ascii="Times New Roman" w:hAnsi="Times New Roman"/>
                <w:b/>
                <w:bCs/>
                <w:color w:val="000000"/>
                <w:sz w:val="16"/>
                <w:szCs w:val="16"/>
              </w:rPr>
            </w:pPr>
            <w:r w:rsidRPr="007903DA">
              <w:rPr>
                <w:rFonts w:ascii="Times New Roman" w:hAnsi="Times New Roman"/>
                <w:b/>
                <w:bCs/>
                <w:color w:val="000000"/>
                <w:sz w:val="16"/>
                <w:szCs w:val="16"/>
              </w:rPr>
              <w:t>vylúčenie finančných operácií, z toho:</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-51 711</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-55 555</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-32 380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-20 811</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-31 276</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-43 027</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textDirection w:val="lrTb"/>
            <w:vAlign w:val="center"/>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vylúčenie príjmových (FO)</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-571 711</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-55 555</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-32 380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-20 811</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-31 276</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-43 027</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textDirection w:val="lrTb"/>
            <w:vAlign w:val="center"/>
            <w:hideMark/>
          </w:tcPr>
          <w:p w:rsidR="006C0389" w:rsidRPr="007903DA" w:rsidP="000008FE">
            <w:pPr>
              <w:bidi w:val="0"/>
              <w:rPr>
                <w:rFonts w:ascii="Times New Roman" w:hAnsi="Times New Roman"/>
                <w:color w:val="000000"/>
                <w:sz w:val="16"/>
                <w:szCs w:val="16"/>
              </w:rPr>
            </w:pPr>
            <w:r w:rsidRPr="007903DA">
              <w:rPr>
                <w:rFonts w:ascii="Times New Roman" w:hAnsi="Times New Roman"/>
                <w:color w:val="000000"/>
                <w:sz w:val="16"/>
                <w:szCs w:val="16"/>
              </w:rPr>
              <w:t>▪ vylúčenie výdavkových (FO)</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520 000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color w:val="000000"/>
                <w:sz w:val="16"/>
                <w:szCs w:val="16"/>
              </w:rPr>
            </w:pPr>
            <w:r w:rsidRPr="007903DA">
              <w:rPr>
                <w:rFonts w:ascii="Times New Roman" w:hAnsi="Times New Roman"/>
                <w:color w:val="000000"/>
                <w:sz w:val="16"/>
                <w:szCs w:val="16"/>
              </w:rPr>
              <w:t>0</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textDirection w:val="lrTb"/>
            <w:vAlign w:val="center"/>
            <w:hideMark/>
          </w:tcPr>
          <w:p w:rsidR="006C0389" w:rsidRPr="007903DA" w:rsidP="000008FE">
            <w:pPr>
              <w:bidi w:val="0"/>
              <w:rPr>
                <w:rFonts w:ascii="Times New Roman" w:hAnsi="Times New Roman"/>
                <w:b/>
                <w:bCs/>
                <w:color w:val="000000"/>
                <w:sz w:val="16"/>
                <w:szCs w:val="16"/>
              </w:rPr>
            </w:pPr>
            <w:r w:rsidRPr="007903DA">
              <w:rPr>
                <w:rFonts w:ascii="Times New Roman" w:hAnsi="Times New Roman"/>
                <w:b/>
                <w:bCs/>
                <w:color w:val="000000"/>
                <w:sz w:val="16"/>
                <w:szCs w:val="16"/>
              </w:rPr>
              <w:t>medziročná zmena stavu pohľadávok</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528</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0</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textDirection w:val="lrTb"/>
            <w:vAlign w:val="center"/>
            <w:hideMark/>
          </w:tcPr>
          <w:p w:rsidR="006C0389" w:rsidRPr="007903DA" w:rsidP="000008FE">
            <w:pPr>
              <w:bidi w:val="0"/>
              <w:rPr>
                <w:rFonts w:ascii="Times New Roman" w:hAnsi="Times New Roman"/>
                <w:b/>
                <w:bCs/>
                <w:color w:val="000000"/>
                <w:sz w:val="16"/>
                <w:szCs w:val="16"/>
              </w:rPr>
            </w:pPr>
            <w:r w:rsidRPr="007903DA">
              <w:rPr>
                <w:rFonts w:ascii="Times New Roman" w:hAnsi="Times New Roman"/>
                <w:b/>
                <w:bCs/>
                <w:color w:val="000000"/>
                <w:sz w:val="16"/>
                <w:szCs w:val="16"/>
              </w:rPr>
              <w:t>medziročná zmena stavu záväzkov</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center"/>
              <w:rPr>
                <w:rFonts w:ascii="Times New Roman" w:hAnsi="Times New Roman"/>
                <w:color w:val="000000"/>
                <w:sz w:val="16"/>
                <w:szCs w:val="16"/>
              </w:rPr>
            </w:pPr>
            <w:r w:rsidRPr="007903DA">
              <w:rPr>
                <w:rFonts w:ascii="Times New Roman" w:hAnsi="Times New Roman"/>
                <w:color w:val="000000"/>
                <w:sz w:val="16"/>
                <w:szCs w:val="16"/>
              </w:rPr>
              <w:t>-</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47 937</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0</w:t>
            </w:r>
          </w:p>
        </w:tc>
        <w:tc>
          <w:tcPr>
            <w:tcW w:w="729" w:type="dxa"/>
            <w:tcBorders>
              <w:top w:val="nil"/>
              <w:left w:val="nil"/>
              <w:bottom w:val="single" w:sz="4" w:space="0" w:color="auto"/>
              <w:right w:val="single" w:sz="4" w:space="0" w:color="auto"/>
            </w:tcBorders>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0</w:t>
            </w:r>
          </w:p>
        </w:tc>
      </w:tr>
      <w:tr>
        <w:tblPrEx>
          <w:tblW w:w="9084" w:type="dxa"/>
          <w:tblInd w:w="58" w:type="dxa"/>
          <w:tblLayout w:type="fixed"/>
          <w:tblCellMar>
            <w:left w:w="70" w:type="dxa"/>
            <w:right w:w="70" w:type="dxa"/>
          </w:tblCellMar>
          <w:tblLook w:val="04A0"/>
        </w:tblPrEx>
        <w:trPr>
          <w:trHeight w:val="255"/>
        </w:trPr>
        <w:tc>
          <w:tcPr>
            <w:tcW w:w="3981" w:type="dxa"/>
            <w:tcBorders>
              <w:top w:val="nil"/>
              <w:left w:val="single" w:sz="4" w:space="0" w:color="auto"/>
              <w:bottom w:val="single" w:sz="4" w:space="0" w:color="auto"/>
              <w:right w:val="single" w:sz="4" w:space="0" w:color="auto"/>
            </w:tcBorders>
            <w:shd w:val="clear" w:color="auto" w:fill="BFBFBF"/>
            <w:noWrap/>
            <w:textDirection w:val="lrTb"/>
            <w:vAlign w:val="center"/>
            <w:hideMark/>
          </w:tcPr>
          <w:p w:rsidR="006C0389" w:rsidRPr="007903DA" w:rsidP="000008FE">
            <w:pPr>
              <w:bidi w:val="0"/>
              <w:rPr>
                <w:rFonts w:ascii="Times New Roman" w:hAnsi="Times New Roman"/>
                <w:b/>
                <w:bCs/>
                <w:color w:val="000000"/>
                <w:sz w:val="16"/>
                <w:szCs w:val="16"/>
              </w:rPr>
            </w:pPr>
            <w:r w:rsidRPr="007903DA">
              <w:rPr>
                <w:rFonts w:ascii="Times New Roman" w:hAnsi="Times New Roman"/>
                <w:b/>
                <w:bCs/>
                <w:color w:val="000000"/>
                <w:sz w:val="16"/>
                <w:szCs w:val="16"/>
              </w:rPr>
              <w:t>Prebytok</w:t>
            </w:r>
            <w:r w:rsidRPr="003679CA" w:rsidR="00A74905">
              <w:rPr>
                <w:rFonts w:ascii="Times New Roman" w:hAnsi="Times New Roman"/>
                <w:b/>
                <w:bCs/>
                <w:sz w:val="16"/>
                <w:szCs w:val="16"/>
              </w:rPr>
              <w:t>(+)</w:t>
            </w:r>
            <w:r w:rsidRPr="003679CA">
              <w:rPr>
                <w:rFonts w:ascii="Times New Roman" w:hAnsi="Times New Roman"/>
                <w:b/>
                <w:bCs/>
                <w:sz w:val="16"/>
                <w:szCs w:val="16"/>
              </w:rPr>
              <w:t>/schodok</w:t>
            </w:r>
            <w:r w:rsidRPr="003679CA" w:rsidR="00A74905">
              <w:rPr>
                <w:rFonts w:ascii="Times New Roman" w:hAnsi="Times New Roman"/>
                <w:b/>
                <w:bCs/>
                <w:sz w:val="16"/>
                <w:szCs w:val="16"/>
              </w:rPr>
              <w:t>(-)</w:t>
            </w:r>
            <w:r w:rsidRPr="00A74905">
              <w:rPr>
                <w:rFonts w:ascii="Times New Roman" w:hAnsi="Times New Roman"/>
                <w:b/>
                <w:bCs/>
                <w:color w:val="FF0000"/>
                <w:sz w:val="16"/>
                <w:szCs w:val="16"/>
              </w:rPr>
              <w:t xml:space="preserve"> </w:t>
            </w:r>
            <w:r w:rsidR="00A74905">
              <w:rPr>
                <w:rFonts w:ascii="Times New Roman" w:hAnsi="Times New Roman"/>
                <w:b/>
                <w:bCs/>
                <w:color w:val="FF0000"/>
                <w:sz w:val="16"/>
                <w:szCs w:val="16"/>
              </w:rPr>
              <w:t xml:space="preserve"> </w:t>
            </w:r>
            <w:r w:rsidRPr="007903DA">
              <w:rPr>
                <w:rFonts w:ascii="Times New Roman" w:hAnsi="Times New Roman"/>
                <w:b/>
                <w:bCs/>
                <w:color w:val="000000"/>
                <w:sz w:val="16"/>
                <w:szCs w:val="16"/>
              </w:rPr>
              <w:t>Agentúry (ESA 2010)</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-41 352</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29 134</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-3 247</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-11 569</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10 465</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11 750</w:t>
            </w:r>
          </w:p>
        </w:tc>
        <w:tc>
          <w:tcPr>
            <w:tcW w:w="729" w:type="dxa"/>
            <w:tcBorders>
              <w:top w:val="nil"/>
              <w:left w:val="nil"/>
              <w:bottom w:val="single" w:sz="4" w:space="0" w:color="auto"/>
              <w:right w:val="single" w:sz="4" w:space="0" w:color="auto"/>
            </w:tcBorders>
            <w:shd w:val="clear" w:color="auto" w:fill="BFBFBF"/>
            <w:noWrap/>
            <w:textDirection w:val="lrTb"/>
            <w:vAlign w:val="bottom"/>
            <w:hideMark/>
          </w:tcPr>
          <w:p w:rsidR="006C0389" w:rsidRPr="007903DA" w:rsidP="000008FE">
            <w:pPr>
              <w:bidi w:val="0"/>
              <w:jc w:val="right"/>
              <w:rPr>
                <w:rFonts w:ascii="Times New Roman" w:hAnsi="Times New Roman"/>
                <w:b/>
                <w:bCs/>
                <w:color w:val="000000"/>
                <w:sz w:val="16"/>
                <w:szCs w:val="16"/>
              </w:rPr>
            </w:pPr>
            <w:r w:rsidRPr="007903DA">
              <w:rPr>
                <w:rFonts w:ascii="Times New Roman" w:hAnsi="Times New Roman"/>
                <w:b/>
                <w:bCs/>
                <w:color w:val="000000"/>
                <w:sz w:val="16"/>
                <w:szCs w:val="16"/>
              </w:rPr>
              <w:t>-2 286</w:t>
            </w:r>
          </w:p>
        </w:tc>
      </w:tr>
      <w:tr>
        <w:tblPrEx>
          <w:tblW w:w="9084" w:type="dxa"/>
          <w:tblInd w:w="58" w:type="dxa"/>
          <w:tblLayout w:type="fixed"/>
          <w:tblCellMar>
            <w:left w:w="70" w:type="dxa"/>
            <w:right w:w="70" w:type="dxa"/>
          </w:tblCellMar>
          <w:tblLook w:val="04A0"/>
        </w:tblPrEx>
        <w:trPr>
          <w:trHeight w:val="255"/>
        </w:trPr>
        <w:tc>
          <w:tcPr>
            <w:tcW w:w="9084" w:type="dxa"/>
            <w:gridSpan w:val="8"/>
            <w:tcBorders>
              <w:top w:val="nil"/>
              <w:left w:val="nil"/>
              <w:bottom w:val="nil"/>
              <w:right w:val="nil"/>
            </w:tcBorders>
            <w:noWrap/>
            <w:textDirection w:val="lrTb"/>
            <w:vAlign w:val="bottom"/>
            <w:hideMark/>
          </w:tcPr>
          <w:p w:rsidR="006C0389" w:rsidRPr="007903DA" w:rsidP="000008FE">
            <w:pPr>
              <w:bidi w:val="0"/>
              <w:rPr>
                <w:rFonts w:ascii="Times New Roman" w:hAnsi="Times New Roman"/>
                <w:color w:val="000000"/>
                <w:szCs w:val="22"/>
              </w:rPr>
            </w:pPr>
            <w:r w:rsidRPr="007903DA">
              <w:rPr>
                <w:rFonts w:ascii="Times New Roman" w:hAnsi="Times New Roman"/>
                <w:color w:val="000000"/>
                <w:sz w:val="16"/>
                <w:szCs w:val="16"/>
              </w:rPr>
              <w:t>*Výsledok prebytok/schodok ESA 2010 je prevzatý z podkladov od Agentúry pre EUROSTAT do jesennej notifikácie za rok 2013.</w:t>
            </w:r>
          </w:p>
        </w:tc>
      </w:tr>
    </w:tbl>
    <w:p w:rsidR="006C0389" w:rsidP="006C0389">
      <w:pPr>
        <w:bidi w:val="0"/>
        <w:jc w:val="both"/>
        <w:rPr>
          <w:rFonts w:ascii="Times New Roman" w:hAnsi="Times New Roman"/>
        </w:rPr>
      </w:pPr>
    </w:p>
    <w:p w:rsidR="006C0389" w:rsidP="006C0389">
      <w:pPr>
        <w:bidi w:val="0"/>
        <w:ind w:firstLine="708"/>
        <w:jc w:val="both"/>
        <w:rPr>
          <w:rFonts w:ascii="Times New Roman" w:hAnsi="Times New Roman"/>
        </w:rPr>
      </w:pPr>
      <w:r>
        <w:rPr>
          <w:rFonts w:ascii="Times New Roman" w:hAnsi="Times New Roman"/>
        </w:rPr>
        <w:t xml:space="preserve">Príjmy Agentúry na rok 2016 sa rozpočtujú v sume 74,9 mil. eur. V porovnaní so schváleným rozpočtom na rok 2015 sú nižšie o 27,1 mil. eur, čo predstavuje pokles o 26,5 % z dôvodu poklesu zostatku prostriedkov z predchádzajúceho roka. </w:t>
      </w:r>
      <w:r w:rsidRPr="009A6A70">
        <w:rPr>
          <w:rFonts w:ascii="Times New Roman" w:hAnsi="Times New Roman"/>
        </w:rPr>
        <w:t>Rozhodujúci príjem Agentúry predstavuje príjem z povinného poplatku za udržiavanie núdzových zásob ropy a ropných výrobkov, ktorý Agentúra rozpočtuje na rok 2016 vo výške 54,1 mil. eur</w:t>
      </w:r>
      <w:r w:rsidRPr="009D3446">
        <w:rPr>
          <w:rFonts w:ascii="Times New Roman" w:hAnsi="Times New Roman"/>
        </w:rPr>
        <w:t>. V porovnaní so schváleným rozpočtom na rok 2015 dochádza pri týchto príjmoch k nárastu o 7,69 mil. eur, čo pre</w:t>
      </w:r>
      <w:r>
        <w:rPr>
          <w:rFonts w:ascii="Times New Roman" w:hAnsi="Times New Roman"/>
        </w:rPr>
        <w:t>d</w:t>
      </w:r>
      <w:r w:rsidRPr="009D3446">
        <w:rPr>
          <w:rFonts w:ascii="Times New Roman" w:hAnsi="Times New Roman"/>
        </w:rPr>
        <w:t>stavuje 16,6 %.</w:t>
      </w:r>
    </w:p>
    <w:p w:rsidR="00F80EDD" w:rsidRPr="00F80EDD" w:rsidP="006C0389">
      <w:pPr>
        <w:bidi w:val="0"/>
        <w:ind w:firstLine="708"/>
        <w:jc w:val="both"/>
        <w:rPr>
          <w:rFonts w:ascii="Times New Roman" w:hAnsi="Times New Roman"/>
          <w:sz w:val="16"/>
          <w:szCs w:val="16"/>
        </w:rPr>
      </w:pPr>
    </w:p>
    <w:p w:rsidR="006C0389" w:rsidP="006C0389">
      <w:pPr>
        <w:bidi w:val="0"/>
        <w:ind w:firstLine="708"/>
        <w:jc w:val="both"/>
        <w:rPr>
          <w:rFonts w:ascii="Times New Roman" w:hAnsi="Times New Roman"/>
        </w:rPr>
      </w:pPr>
      <w:r w:rsidRPr="002B3429">
        <w:rPr>
          <w:rFonts w:ascii="Times New Roman" w:hAnsi="Times New Roman"/>
        </w:rPr>
        <w:t>Výdavky Agentúry na rok 2016 sa rozpočtujú v sume 43,6 mil. eur</w:t>
      </w:r>
      <w:r>
        <w:rPr>
          <w:rFonts w:ascii="Times New Roman" w:hAnsi="Times New Roman"/>
        </w:rPr>
        <w:t>,</w:t>
      </w:r>
      <w:r w:rsidRPr="002B3429">
        <w:rPr>
          <w:rFonts w:ascii="Times New Roman" w:hAnsi="Times New Roman"/>
        </w:rPr>
        <w:t xml:space="preserve"> čo predstavuje oproti schválenému rozpočtu roku 2015 pokles o 6,02 mil. eur, t. j. o 12,1 % najmä z dôvodu poklesu výdavkov na splácanie úrokov a ostatných platieb súvisiacich s úverom, pôžičkou a návratnou finančnou výpomocou o 6,12 mil. eur</w:t>
      </w:r>
      <w:r>
        <w:rPr>
          <w:rFonts w:ascii="Times New Roman" w:hAnsi="Times New Roman"/>
        </w:rPr>
        <w:t xml:space="preserve">, t. j. o 40,5 % </w:t>
      </w:r>
      <w:r w:rsidRPr="002B3429">
        <w:rPr>
          <w:rFonts w:ascii="Times New Roman" w:hAnsi="Times New Roman"/>
        </w:rPr>
        <w:t>v súvislosti s návratnou finančnou výpomocou. Osobné výdavky vo výške 392 tis. eur zachovávajú úroveň schváleného rozpočtu roku 2015. Naopak Agentúra predpokladá nárast výdavkov na tovary a služby o sumu 165 tis. eur t. j. o 0,48 %. Agentúra nerozpočtuje kapitálové výdavky.</w:t>
      </w:r>
      <w:r w:rsidRPr="00EB57CB">
        <w:rPr>
          <w:rFonts w:ascii="Times New Roman" w:hAnsi="Times New Roman"/>
        </w:rPr>
        <w:t xml:space="preserve"> </w:t>
      </w:r>
    </w:p>
    <w:p w:rsidR="006C0389" w:rsidRPr="00F80EDD" w:rsidP="006C0389">
      <w:pPr>
        <w:bidi w:val="0"/>
        <w:ind w:firstLine="708"/>
        <w:jc w:val="both"/>
        <w:rPr>
          <w:rFonts w:ascii="Times New Roman" w:hAnsi="Times New Roman"/>
          <w:sz w:val="16"/>
          <w:szCs w:val="16"/>
        </w:rPr>
      </w:pPr>
    </w:p>
    <w:p w:rsidR="006C0389" w:rsidP="006244B6">
      <w:pPr>
        <w:bidi w:val="0"/>
        <w:ind w:firstLine="708"/>
        <w:jc w:val="both"/>
        <w:rPr>
          <w:rFonts w:ascii="Times New Roman" w:hAnsi="Times New Roman"/>
        </w:rPr>
      </w:pPr>
      <w:r w:rsidRPr="00195666">
        <w:rPr>
          <w:rFonts w:ascii="Times New Roman" w:hAnsi="Times New Roman"/>
        </w:rPr>
        <w:t xml:space="preserve">Celkový hotovostný prebytok Agentúry sa rozpočtuje v roku 2016 vo výške </w:t>
      </w:r>
      <w:r w:rsidR="006244B6">
        <w:rPr>
          <w:rFonts w:ascii="Times New Roman" w:hAnsi="Times New Roman"/>
        </w:rPr>
        <w:br/>
      </w:r>
      <w:r w:rsidRPr="00195666">
        <w:rPr>
          <w:rFonts w:ascii="Times New Roman" w:hAnsi="Times New Roman"/>
        </w:rPr>
        <w:t>31,3 mil. eur. Podľa metodiky ESA 2010 Agentúra dosiahne prebytok hospodárenia vo výške 10,5 mil. eur.</w:t>
      </w:r>
    </w:p>
    <w:p w:rsidR="006C0389" w:rsidRPr="006244B6" w:rsidP="006C0389">
      <w:pPr>
        <w:bidi w:val="0"/>
        <w:jc w:val="both"/>
        <w:rPr>
          <w:rFonts w:ascii="Times New Roman" w:hAnsi="Times New Roman"/>
          <w:sz w:val="16"/>
        </w:rPr>
      </w:pPr>
    </w:p>
    <w:p w:rsidR="006C0389" w:rsidRPr="00994288" w:rsidP="006C0389">
      <w:pPr>
        <w:bidi w:val="0"/>
        <w:rPr>
          <w:rFonts w:ascii="Times New Roman" w:hAnsi="Times New Roman"/>
        </w:rPr>
      </w:pPr>
      <w:r>
        <w:rPr>
          <w:rFonts w:ascii="Times New Roman" w:hAnsi="Times New Roman"/>
          <w:b/>
          <w:bCs/>
        </w:rPr>
        <w:t>19</w:t>
      </w:r>
      <w:r w:rsidRPr="00994288">
        <w:rPr>
          <w:rFonts w:ascii="Times New Roman" w:hAnsi="Times New Roman"/>
          <w:b/>
          <w:bCs/>
        </w:rPr>
        <w:t xml:space="preserve">. </w:t>
      </w:r>
      <w:r>
        <w:rPr>
          <w:rFonts w:ascii="Times New Roman" w:hAnsi="Times New Roman"/>
          <w:b/>
          <w:bCs/>
        </w:rPr>
        <w:t>Eximbanka SR</w:t>
      </w:r>
    </w:p>
    <w:p w:rsidR="006C0389" w:rsidRPr="00BC31DD" w:rsidP="006C0389">
      <w:pPr>
        <w:bidi w:val="0"/>
        <w:ind w:firstLine="708"/>
        <w:jc w:val="both"/>
        <w:rPr>
          <w:rFonts w:ascii="Times New Roman" w:hAnsi="Times New Roman"/>
          <w:sz w:val="16"/>
          <w:szCs w:val="16"/>
        </w:rPr>
      </w:pPr>
    </w:p>
    <w:p w:rsidR="006C0389" w:rsidP="006C0389">
      <w:pPr>
        <w:bidi w:val="0"/>
        <w:ind w:firstLine="708"/>
        <w:jc w:val="both"/>
        <w:rPr>
          <w:rFonts w:ascii="Times New Roman" w:hAnsi="Times New Roman"/>
        </w:rPr>
      </w:pPr>
      <w:r>
        <w:rPr>
          <w:rFonts w:ascii="Times New Roman" w:hAnsi="Times New Roman"/>
        </w:rPr>
        <w:t>Eximbanka SR sa podľa metodiky ESA 2010 stala subjektom verejnej správy  v jesennej notifikácii 2014. Vývoj príjmovej a výdavkovej časti rozpočtu banky na roky 2016 až 2018 je nasledovný:</w:t>
      </w:r>
    </w:p>
    <w:p w:rsidR="006C0389" w:rsidRPr="00626E9E" w:rsidP="006C0389">
      <w:pPr>
        <w:bidi w:val="0"/>
        <w:ind w:firstLine="708"/>
        <w:jc w:val="both"/>
        <w:rPr>
          <w:rFonts w:ascii="Times New Roman" w:hAnsi="Times New Roman"/>
          <w:sz w:val="16"/>
          <w:szCs w:val="16"/>
        </w:rPr>
      </w:pPr>
    </w:p>
    <w:tbl>
      <w:tblPr>
        <w:tblStyle w:val="TableNormal"/>
        <w:tblW w:w="5202" w:type="pct"/>
        <w:tblCellMar>
          <w:left w:w="70" w:type="dxa"/>
          <w:right w:w="70" w:type="dxa"/>
        </w:tblCellMar>
        <w:tblLook w:val="04A0"/>
      </w:tblPr>
      <w:tblGrid>
        <w:gridCol w:w="3372"/>
        <w:gridCol w:w="810"/>
        <w:gridCol w:w="924"/>
        <w:gridCol w:w="772"/>
        <w:gridCol w:w="926"/>
        <w:gridCol w:w="926"/>
        <w:gridCol w:w="928"/>
        <w:gridCol w:w="924"/>
      </w:tblGrid>
      <w:tr>
        <w:tblPrEx>
          <w:tblW w:w="5202" w:type="pct"/>
          <w:tblCellMar>
            <w:left w:w="70" w:type="dxa"/>
            <w:right w:w="70" w:type="dxa"/>
          </w:tblCellMar>
          <w:tblLook w:val="04A0"/>
        </w:tblPrEx>
        <w:trPr>
          <w:trHeight w:val="227"/>
        </w:trPr>
        <w:tc>
          <w:tcPr>
            <w:tcW w:w="1760" w:type="pct"/>
            <w:tcBorders>
              <w:top w:val="single" w:sz="4" w:space="0" w:color="auto"/>
              <w:left w:val="single" w:sz="4" w:space="0" w:color="auto"/>
              <w:bottom w:val="single" w:sz="4" w:space="0" w:color="auto"/>
              <w:right w:val="single" w:sz="4" w:space="0" w:color="auto"/>
            </w:tcBorders>
            <w:shd w:val="clear" w:color="auto" w:fill="A6A6A6"/>
            <w:textDirection w:val="lrTb"/>
            <w:vAlign w:val="bottom"/>
            <w:hideMark/>
          </w:tcPr>
          <w:p w:rsidR="006C0389" w:rsidRPr="0027101F" w:rsidP="000008FE">
            <w:pPr>
              <w:bidi w:val="0"/>
              <w:rPr>
                <w:rFonts w:ascii="Times New Roman" w:hAnsi="Times New Roman"/>
                <w:b/>
                <w:sz w:val="16"/>
                <w:szCs w:val="16"/>
              </w:rPr>
            </w:pPr>
            <w:r w:rsidRPr="0027101F">
              <w:rPr>
                <w:rFonts w:ascii="Times New Roman" w:hAnsi="Times New Roman"/>
                <w:b/>
                <w:sz w:val="16"/>
                <w:szCs w:val="16"/>
              </w:rPr>
              <w:t xml:space="preserve"> v tis. eur</w:t>
            </w:r>
          </w:p>
        </w:tc>
        <w:tc>
          <w:tcPr>
            <w:tcW w:w="423" w:type="pct"/>
            <w:tcBorders>
              <w:top w:val="single" w:sz="4" w:space="0" w:color="auto"/>
              <w:left w:val="nil"/>
              <w:bottom w:val="single" w:sz="4" w:space="0" w:color="auto"/>
              <w:right w:val="single" w:sz="4" w:space="0" w:color="auto"/>
            </w:tcBorders>
            <w:shd w:val="clear" w:color="000000" w:fill="A6A6A6"/>
            <w:textDirection w:val="lrTb"/>
            <w:vAlign w:val="bottom"/>
            <w:hideMark/>
          </w:tcPr>
          <w:p w:rsidR="006C0389" w:rsidRPr="00AA4327" w:rsidP="000008FE">
            <w:pPr>
              <w:bidi w:val="0"/>
              <w:jc w:val="center"/>
              <w:rPr>
                <w:rFonts w:ascii="Times New Roman" w:hAnsi="Times New Roman"/>
                <w:b/>
                <w:bCs/>
                <w:sz w:val="16"/>
                <w:szCs w:val="16"/>
              </w:rPr>
            </w:pPr>
            <w:r w:rsidRPr="00AA4327">
              <w:rPr>
                <w:rFonts w:ascii="Times New Roman" w:hAnsi="Times New Roman"/>
                <w:b/>
                <w:bCs/>
                <w:sz w:val="16"/>
                <w:szCs w:val="16"/>
              </w:rPr>
              <w:t>2013 S*</w:t>
            </w:r>
          </w:p>
        </w:tc>
        <w:tc>
          <w:tcPr>
            <w:tcW w:w="482" w:type="pct"/>
            <w:tcBorders>
              <w:top w:val="single" w:sz="4" w:space="0" w:color="auto"/>
              <w:left w:val="nil"/>
              <w:bottom w:val="single" w:sz="4" w:space="0" w:color="auto"/>
              <w:right w:val="single" w:sz="4" w:space="0" w:color="auto"/>
            </w:tcBorders>
            <w:shd w:val="clear" w:color="000000" w:fill="A6A6A6"/>
            <w:textDirection w:val="lrTb"/>
            <w:vAlign w:val="bottom"/>
            <w:hideMark/>
          </w:tcPr>
          <w:p w:rsidR="006C0389" w:rsidRPr="00AA4327" w:rsidP="003656D5">
            <w:pPr>
              <w:bidi w:val="0"/>
              <w:jc w:val="center"/>
              <w:rPr>
                <w:rFonts w:ascii="Times New Roman" w:hAnsi="Times New Roman"/>
                <w:b/>
                <w:bCs/>
                <w:sz w:val="16"/>
                <w:szCs w:val="16"/>
              </w:rPr>
            </w:pPr>
            <w:r w:rsidRPr="00AA4327">
              <w:rPr>
                <w:rFonts w:ascii="Times New Roman" w:hAnsi="Times New Roman"/>
                <w:b/>
                <w:bCs/>
                <w:sz w:val="16"/>
                <w:szCs w:val="16"/>
              </w:rPr>
              <w:t>2014 S</w:t>
            </w:r>
          </w:p>
        </w:tc>
        <w:tc>
          <w:tcPr>
            <w:tcW w:w="403" w:type="pct"/>
            <w:tcBorders>
              <w:top w:val="single" w:sz="4" w:space="0" w:color="auto"/>
              <w:left w:val="nil"/>
              <w:bottom w:val="single" w:sz="4" w:space="0" w:color="auto"/>
              <w:right w:val="single" w:sz="4" w:space="0" w:color="auto"/>
            </w:tcBorders>
            <w:shd w:val="clear" w:color="000000" w:fill="A6A6A6"/>
            <w:textDirection w:val="lrTb"/>
            <w:vAlign w:val="bottom"/>
            <w:hideMark/>
          </w:tcPr>
          <w:p w:rsidR="006C0389" w:rsidRPr="00AA4327" w:rsidP="003656D5">
            <w:pPr>
              <w:bidi w:val="0"/>
              <w:jc w:val="center"/>
              <w:rPr>
                <w:rFonts w:ascii="Times New Roman" w:hAnsi="Times New Roman"/>
                <w:b/>
                <w:bCs/>
                <w:sz w:val="16"/>
                <w:szCs w:val="16"/>
              </w:rPr>
            </w:pPr>
            <w:r w:rsidRPr="00AA4327">
              <w:rPr>
                <w:rFonts w:ascii="Times New Roman" w:hAnsi="Times New Roman"/>
                <w:b/>
                <w:bCs/>
                <w:sz w:val="16"/>
                <w:szCs w:val="16"/>
              </w:rPr>
              <w:t>2015 R</w:t>
            </w:r>
          </w:p>
        </w:tc>
        <w:tc>
          <w:tcPr>
            <w:tcW w:w="483" w:type="pct"/>
            <w:tcBorders>
              <w:top w:val="single" w:sz="4" w:space="0" w:color="auto"/>
              <w:left w:val="nil"/>
              <w:bottom w:val="single" w:sz="4" w:space="0" w:color="auto"/>
              <w:right w:val="single" w:sz="4" w:space="0" w:color="auto"/>
            </w:tcBorders>
            <w:shd w:val="clear" w:color="000000" w:fill="A6A6A6"/>
            <w:textDirection w:val="lrTb"/>
            <w:vAlign w:val="bottom"/>
            <w:hideMark/>
          </w:tcPr>
          <w:p w:rsidR="006C0389" w:rsidRPr="00AA4327" w:rsidP="000008FE">
            <w:pPr>
              <w:bidi w:val="0"/>
              <w:jc w:val="center"/>
              <w:rPr>
                <w:rFonts w:ascii="Times New Roman" w:hAnsi="Times New Roman"/>
                <w:b/>
                <w:bCs/>
                <w:sz w:val="16"/>
                <w:szCs w:val="16"/>
              </w:rPr>
            </w:pPr>
            <w:r w:rsidRPr="00AA4327">
              <w:rPr>
                <w:rFonts w:ascii="Times New Roman" w:hAnsi="Times New Roman"/>
                <w:b/>
                <w:bCs/>
                <w:sz w:val="16"/>
                <w:szCs w:val="16"/>
              </w:rPr>
              <w:t>OS 2015</w:t>
            </w:r>
          </w:p>
        </w:tc>
        <w:tc>
          <w:tcPr>
            <w:tcW w:w="483" w:type="pct"/>
            <w:tcBorders>
              <w:top w:val="single" w:sz="4" w:space="0" w:color="auto"/>
              <w:left w:val="nil"/>
              <w:bottom w:val="single" w:sz="4" w:space="0" w:color="auto"/>
              <w:right w:val="single" w:sz="4" w:space="0" w:color="auto"/>
            </w:tcBorders>
            <w:shd w:val="clear" w:color="000000" w:fill="A6A6A6"/>
            <w:textDirection w:val="lrTb"/>
            <w:vAlign w:val="bottom"/>
            <w:hideMark/>
          </w:tcPr>
          <w:p w:rsidR="006C0389" w:rsidRPr="00AA4327" w:rsidP="000008FE">
            <w:pPr>
              <w:bidi w:val="0"/>
              <w:jc w:val="center"/>
              <w:rPr>
                <w:rFonts w:ascii="Times New Roman" w:hAnsi="Times New Roman"/>
                <w:b/>
                <w:bCs/>
                <w:sz w:val="16"/>
                <w:szCs w:val="16"/>
              </w:rPr>
            </w:pPr>
            <w:r w:rsidRPr="00AA4327">
              <w:rPr>
                <w:rFonts w:ascii="Times New Roman" w:hAnsi="Times New Roman"/>
                <w:b/>
                <w:bCs/>
                <w:sz w:val="16"/>
                <w:szCs w:val="16"/>
              </w:rPr>
              <w:t>N 2016</w:t>
            </w:r>
          </w:p>
        </w:tc>
        <w:tc>
          <w:tcPr>
            <w:tcW w:w="484" w:type="pct"/>
            <w:tcBorders>
              <w:top w:val="single" w:sz="4" w:space="0" w:color="auto"/>
              <w:left w:val="nil"/>
              <w:bottom w:val="single" w:sz="4" w:space="0" w:color="auto"/>
              <w:right w:val="single" w:sz="4" w:space="0" w:color="auto"/>
            </w:tcBorders>
            <w:shd w:val="clear" w:color="000000" w:fill="A6A6A6"/>
            <w:textDirection w:val="lrTb"/>
            <w:vAlign w:val="bottom"/>
            <w:hideMark/>
          </w:tcPr>
          <w:p w:rsidR="006C0389" w:rsidRPr="00AA4327" w:rsidP="000008FE">
            <w:pPr>
              <w:bidi w:val="0"/>
              <w:jc w:val="center"/>
              <w:rPr>
                <w:rFonts w:ascii="Times New Roman" w:hAnsi="Times New Roman"/>
                <w:b/>
                <w:bCs/>
                <w:sz w:val="16"/>
                <w:szCs w:val="16"/>
              </w:rPr>
            </w:pPr>
            <w:r w:rsidRPr="00AA4327">
              <w:rPr>
                <w:rFonts w:ascii="Times New Roman" w:hAnsi="Times New Roman"/>
                <w:b/>
                <w:bCs/>
                <w:sz w:val="16"/>
                <w:szCs w:val="16"/>
              </w:rPr>
              <w:t>N 2017</w:t>
            </w:r>
          </w:p>
        </w:tc>
        <w:tc>
          <w:tcPr>
            <w:tcW w:w="483" w:type="pct"/>
            <w:tcBorders>
              <w:top w:val="single" w:sz="4" w:space="0" w:color="auto"/>
              <w:left w:val="nil"/>
              <w:bottom w:val="single" w:sz="4" w:space="0" w:color="auto"/>
              <w:right w:val="single" w:sz="4" w:space="0" w:color="auto"/>
            </w:tcBorders>
            <w:shd w:val="clear" w:color="000000" w:fill="A6A6A6"/>
            <w:textDirection w:val="lrTb"/>
            <w:vAlign w:val="bottom"/>
            <w:hideMark/>
          </w:tcPr>
          <w:p w:rsidR="006C0389" w:rsidRPr="00AA4327" w:rsidP="000008FE">
            <w:pPr>
              <w:bidi w:val="0"/>
              <w:jc w:val="center"/>
              <w:rPr>
                <w:rFonts w:ascii="Times New Roman" w:hAnsi="Times New Roman"/>
                <w:b/>
                <w:bCs/>
                <w:sz w:val="16"/>
                <w:szCs w:val="16"/>
              </w:rPr>
            </w:pPr>
            <w:r w:rsidRPr="00AA4327">
              <w:rPr>
                <w:rFonts w:ascii="Times New Roman" w:hAnsi="Times New Roman"/>
                <w:b/>
                <w:bCs/>
                <w:sz w:val="16"/>
                <w:szCs w:val="16"/>
              </w:rPr>
              <w:t>N 2018</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6C0389" w:rsidRPr="00AA4327" w:rsidP="000008FE">
            <w:pPr>
              <w:bidi w:val="0"/>
              <w:rPr>
                <w:rFonts w:ascii="Times New Roman" w:hAnsi="Times New Roman"/>
                <w:b/>
                <w:bCs/>
                <w:sz w:val="16"/>
                <w:szCs w:val="16"/>
              </w:rPr>
            </w:pPr>
            <w:r w:rsidRPr="00AA4327">
              <w:rPr>
                <w:rFonts w:ascii="Times New Roman" w:hAnsi="Times New Roman"/>
                <w:b/>
                <w:bCs/>
                <w:sz w:val="16"/>
                <w:szCs w:val="16"/>
              </w:rPr>
              <w:t>Príjmy Eximbanky spolu</w:t>
            </w:r>
          </w:p>
        </w:tc>
        <w:tc>
          <w:tcPr>
            <w:tcW w:w="423"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center"/>
              <w:rPr>
                <w:rFonts w:ascii="Times New Roman" w:hAnsi="Times New Roman"/>
                <w:b/>
                <w:bCs/>
                <w:sz w:val="16"/>
                <w:szCs w:val="16"/>
              </w:rPr>
            </w:pPr>
            <w:r w:rsidRPr="00AA4327">
              <w:rPr>
                <w:rFonts w:ascii="Times New Roman" w:hAnsi="Times New Roman"/>
                <w:b/>
                <w:bCs/>
                <w:sz w:val="16"/>
                <w:szCs w:val="16"/>
              </w:rPr>
              <w:t>-</w:t>
            </w:r>
          </w:p>
        </w:tc>
        <w:tc>
          <w:tcPr>
            <w:tcW w:w="482"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1 215 970</w:t>
            </w:r>
          </w:p>
        </w:tc>
        <w:tc>
          <w:tcPr>
            <w:tcW w:w="403"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14 378</w:t>
            </w:r>
          </w:p>
        </w:tc>
        <w:tc>
          <w:tcPr>
            <w:tcW w:w="483"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1 171 411</w:t>
            </w:r>
          </w:p>
        </w:tc>
        <w:tc>
          <w:tcPr>
            <w:tcW w:w="483"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1 310 139</w:t>
            </w:r>
          </w:p>
        </w:tc>
        <w:tc>
          <w:tcPr>
            <w:tcW w:w="484"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1 320 652</w:t>
            </w:r>
          </w:p>
        </w:tc>
        <w:tc>
          <w:tcPr>
            <w:tcW w:w="483"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1 331 202</w:t>
            </w:r>
          </w:p>
        </w:tc>
      </w:tr>
      <w:tr>
        <w:tblPrEx>
          <w:tblW w:w="5202" w:type="pct"/>
          <w:tblCellMar>
            <w:left w:w="70" w:type="dxa"/>
            <w:right w:w="70" w:type="dxa"/>
          </w:tblCellMar>
          <w:tblLook w:val="04A0"/>
        </w:tblPrEx>
        <w:trPr>
          <w:trHeight w:val="227"/>
        </w:trPr>
        <w:tc>
          <w:tcPr>
            <w:tcW w:w="4517" w:type="pct"/>
            <w:gridSpan w:val="7"/>
            <w:tcBorders>
              <w:top w:val="single" w:sz="4" w:space="0" w:color="auto"/>
              <w:left w:val="single" w:sz="4" w:space="0" w:color="auto"/>
              <w:bottom w:val="single" w:sz="4" w:space="0" w:color="auto"/>
              <w:right w:val="nil"/>
            </w:tcBorders>
            <w:noWrap/>
            <w:textDirection w:val="lrTb"/>
            <w:vAlign w:val="bottom"/>
            <w:hideMark/>
          </w:tcPr>
          <w:p w:rsidR="006C0389" w:rsidRPr="00AA4327" w:rsidP="000008FE">
            <w:pPr>
              <w:bidi w:val="0"/>
              <w:rPr>
                <w:rFonts w:ascii="Times New Roman" w:hAnsi="Times New Roman"/>
                <w:b/>
                <w:bCs/>
                <w:iCs/>
                <w:sz w:val="16"/>
                <w:szCs w:val="16"/>
              </w:rPr>
            </w:pPr>
            <w:r w:rsidRPr="00AA4327">
              <w:rPr>
                <w:rFonts w:ascii="Times New Roman" w:hAnsi="Times New Roman"/>
                <w:b/>
                <w:bCs/>
                <w:iCs/>
                <w:sz w:val="16"/>
                <w:szCs w:val="16"/>
              </w:rPr>
              <w:t>z toho:</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rPr>
                <w:rFonts w:ascii="Times New Roman" w:hAnsi="Times New Roman"/>
                <w:sz w:val="16"/>
                <w:szCs w:val="16"/>
              </w:rPr>
            </w:pPr>
            <w:r w:rsidRPr="00AA4327">
              <w:rPr>
                <w:rFonts w:ascii="Times New Roman" w:hAnsi="Times New Roman"/>
                <w:sz w:val="16"/>
                <w:szCs w:val="16"/>
              </w:rPr>
              <w:t> </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textDirection w:val="lrTb"/>
            <w:vAlign w:val="center"/>
            <w:hideMark/>
          </w:tcPr>
          <w:p w:rsidR="006C0389" w:rsidRPr="00AA4327" w:rsidP="000008FE">
            <w:pPr>
              <w:bidi w:val="0"/>
              <w:rPr>
                <w:rFonts w:ascii="Times New Roman" w:hAnsi="Times New Roman"/>
                <w:sz w:val="16"/>
                <w:szCs w:val="16"/>
              </w:rPr>
            </w:pPr>
            <w:r w:rsidRPr="00AA4327">
              <w:rPr>
                <w:rFonts w:ascii="Times New Roman" w:hAnsi="Times New Roman"/>
                <w:sz w:val="16"/>
                <w:szCs w:val="16"/>
              </w:rPr>
              <w:t>▪   nedaňové príjmy, z toho:</w:t>
            </w:r>
          </w:p>
        </w:tc>
        <w:tc>
          <w:tcPr>
            <w:tcW w:w="423" w:type="pct"/>
            <w:tcBorders>
              <w:top w:val="nil"/>
              <w:left w:val="nil"/>
              <w:bottom w:val="single" w:sz="4" w:space="0" w:color="auto"/>
              <w:right w:val="single" w:sz="4" w:space="0" w:color="auto"/>
            </w:tcBorders>
            <w:textDirection w:val="lrTb"/>
            <w:vAlign w:val="bottom"/>
            <w:hideMark/>
          </w:tcPr>
          <w:p w:rsidR="006C0389" w:rsidRPr="00AA4327" w:rsidP="000008FE">
            <w:pPr>
              <w:bidi w:val="0"/>
              <w:jc w:val="center"/>
              <w:rPr>
                <w:rFonts w:ascii="Times New Roman" w:hAnsi="Times New Roman"/>
                <w:sz w:val="16"/>
                <w:szCs w:val="16"/>
              </w:rPr>
            </w:pPr>
            <w:r w:rsidRPr="00AA4327">
              <w:rPr>
                <w:rFonts w:ascii="Times New Roman" w:hAnsi="Times New Roman"/>
                <w:sz w:val="16"/>
                <w:szCs w:val="16"/>
              </w:rPr>
              <w:t>-</w:t>
            </w:r>
          </w:p>
        </w:tc>
        <w:tc>
          <w:tcPr>
            <w:tcW w:w="482" w:type="pct"/>
            <w:tcBorders>
              <w:top w:val="nil"/>
              <w:left w:val="nil"/>
              <w:bottom w:val="single" w:sz="4" w:space="0" w:color="auto"/>
              <w:right w:val="single" w:sz="4" w:space="0" w:color="auto"/>
            </w:tcBorders>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14 564</w:t>
            </w:r>
          </w:p>
        </w:tc>
        <w:tc>
          <w:tcPr>
            <w:tcW w:w="403" w:type="pct"/>
            <w:tcBorders>
              <w:top w:val="nil"/>
              <w:left w:val="nil"/>
              <w:bottom w:val="single" w:sz="4" w:space="0" w:color="auto"/>
              <w:right w:val="single" w:sz="4" w:space="0" w:color="auto"/>
            </w:tcBorders>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13 823</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15 400</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15 850</w:t>
            </w:r>
          </w:p>
        </w:tc>
        <w:tc>
          <w:tcPr>
            <w:tcW w:w="484"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16 200</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16 450</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textDirection w:val="lrTb"/>
            <w:vAlign w:val="center"/>
            <w:hideMark/>
          </w:tcPr>
          <w:p w:rsidR="006C0389" w:rsidRPr="00AA4327" w:rsidP="000008FE">
            <w:pPr>
              <w:bidi w:val="0"/>
              <w:rPr>
                <w:rFonts w:ascii="Times New Roman" w:hAnsi="Times New Roman"/>
                <w:sz w:val="16"/>
                <w:szCs w:val="16"/>
              </w:rPr>
            </w:pPr>
            <w:r w:rsidRPr="00AA4327">
              <w:rPr>
                <w:rFonts w:ascii="Times New Roman" w:hAnsi="Times New Roman"/>
                <w:sz w:val="16"/>
                <w:szCs w:val="16"/>
              </w:rPr>
              <w:t xml:space="preserve">         úroky z úverov, vkladov, z toho:</w:t>
            </w:r>
          </w:p>
        </w:tc>
        <w:tc>
          <w:tcPr>
            <w:tcW w:w="423" w:type="pct"/>
            <w:tcBorders>
              <w:top w:val="nil"/>
              <w:left w:val="nil"/>
              <w:bottom w:val="single" w:sz="4" w:space="0" w:color="auto"/>
              <w:right w:val="single" w:sz="4" w:space="0" w:color="auto"/>
            </w:tcBorders>
            <w:textDirection w:val="lrTb"/>
            <w:vAlign w:val="bottom"/>
            <w:hideMark/>
          </w:tcPr>
          <w:p w:rsidR="006C0389" w:rsidRPr="00AA4327" w:rsidP="000008FE">
            <w:pPr>
              <w:bidi w:val="0"/>
              <w:jc w:val="center"/>
              <w:rPr>
                <w:rFonts w:ascii="Times New Roman" w:hAnsi="Times New Roman"/>
                <w:sz w:val="16"/>
                <w:szCs w:val="16"/>
              </w:rPr>
            </w:pPr>
            <w:r w:rsidRPr="00AA4327">
              <w:rPr>
                <w:rFonts w:ascii="Times New Roman" w:hAnsi="Times New Roman"/>
                <w:sz w:val="16"/>
                <w:szCs w:val="16"/>
              </w:rPr>
              <w:t>-</w:t>
            </w:r>
          </w:p>
        </w:tc>
        <w:tc>
          <w:tcPr>
            <w:tcW w:w="482" w:type="pct"/>
            <w:tcBorders>
              <w:top w:val="nil"/>
              <w:left w:val="nil"/>
              <w:bottom w:val="single" w:sz="4" w:space="0" w:color="auto"/>
              <w:right w:val="single" w:sz="4" w:space="0" w:color="auto"/>
            </w:tcBorders>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7 809</w:t>
            </w:r>
          </w:p>
        </w:tc>
        <w:tc>
          <w:tcPr>
            <w:tcW w:w="403" w:type="pct"/>
            <w:tcBorders>
              <w:top w:val="nil"/>
              <w:left w:val="nil"/>
              <w:bottom w:val="single" w:sz="4" w:space="0" w:color="auto"/>
              <w:right w:val="single" w:sz="4" w:space="0" w:color="auto"/>
            </w:tcBorders>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7 397</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7 300</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7 500</w:t>
            </w:r>
          </w:p>
        </w:tc>
        <w:tc>
          <w:tcPr>
            <w:tcW w:w="484"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7 550</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7 600</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textDirection w:val="lrTb"/>
            <w:vAlign w:val="center"/>
            <w:hideMark/>
          </w:tcPr>
          <w:p w:rsidR="006C0389" w:rsidRPr="00AA4327" w:rsidP="000008FE">
            <w:pPr>
              <w:bidi w:val="0"/>
              <w:rPr>
                <w:rFonts w:ascii="Times New Roman" w:hAnsi="Times New Roman"/>
                <w:sz w:val="16"/>
                <w:szCs w:val="16"/>
              </w:rPr>
            </w:pPr>
            <w:r w:rsidRPr="00AA4327">
              <w:rPr>
                <w:rFonts w:ascii="Times New Roman" w:hAnsi="Times New Roman"/>
                <w:sz w:val="16"/>
                <w:szCs w:val="16"/>
              </w:rPr>
              <w:t xml:space="preserve">         ostatné nedaňové príjmy</w:t>
            </w:r>
          </w:p>
        </w:tc>
        <w:tc>
          <w:tcPr>
            <w:tcW w:w="423" w:type="pct"/>
            <w:tcBorders>
              <w:top w:val="nil"/>
              <w:left w:val="nil"/>
              <w:bottom w:val="single" w:sz="4" w:space="0" w:color="auto"/>
              <w:right w:val="single" w:sz="4" w:space="0" w:color="auto"/>
            </w:tcBorders>
            <w:textDirection w:val="lrTb"/>
            <w:vAlign w:val="bottom"/>
            <w:hideMark/>
          </w:tcPr>
          <w:p w:rsidR="006C0389" w:rsidRPr="00AA4327" w:rsidP="000008FE">
            <w:pPr>
              <w:bidi w:val="0"/>
              <w:jc w:val="center"/>
              <w:rPr>
                <w:rFonts w:ascii="Times New Roman" w:hAnsi="Times New Roman"/>
                <w:sz w:val="16"/>
                <w:szCs w:val="16"/>
              </w:rPr>
            </w:pPr>
            <w:r w:rsidRPr="00AA4327">
              <w:rPr>
                <w:rFonts w:ascii="Times New Roman" w:hAnsi="Times New Roman"/>
                <w:sz w:val="16"/>
                <w:szCs w:val="16"/>
              </w:rPr>
              <w:t>-</w:t>
            </w:r>
          </w:p>
        </w:tc>
        <w:tc>
          <w:tcPr>
            <w:tcW w:w="482" w:type="pct"/>
            <w:tcBorders>
              <w:top w:val="nil"/>
              <w:left w:val="nil"/>
              <w:bottom w:val="single" w:sz="4" w:space="0" w:color="auto"/>
              <w:right w:val="single" w:sz="4" w:space="0" w:color="auto"/>
            </w:tcBorders>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6 755</w:t>
            </w:r>
          </w:p>
        </w:tc>
        <w:tc>
          <w:tcPr>
            <w:tcW w:w="403" w:type="pct"/>
            <w:tcBorders>
              <w:top w:val="nil"/>
              <w:left w:val="nil"/>
              <w:bottom w:val="single" w:sz="4" w:space="0" w:color="auto"/>
              <w:right w:val="single" w:sz="4" w:space="0" w:color="auto"/>
            </w:tcBorders>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6 426</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8 100</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8 350</w:t>
            </w:r>
          </w:p>
        </w:tc>
        <w:tc>
          <w:tcPr>
            <w:tcW w:w="484"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8 650</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8 850</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textDirection w:val="lrTb"/>
            <w:vAlign w:val="center"/>
            <w:hideMark/>
          </w:tcPr>
          <w:p w:rsidR="006C0389" w:rsidRPr="00AA4327" w:rsidP="000008FE">
            <w:pPr>
              <w:bidi w:val="0"/>
              <w:rPr>
                <w:rFonts w:ascii="Times New Roman" w:hAnsi="Times New Roman"/>
                <w:sz w:val="16"/>
                <w:szCs w:val="16"/>
              </w:rPr>
            </w:pPr>
            <w:r w:rsidRPr="00AA4327">
              <w:rPr>
                <w:rFonts w:ascii="Times New Roman" w:hAnsi="Times New Roman"/>
                <w:sz w:val="16"/>
                <w:szCs w:val="16"/>
              </w:rPr>
              <w:t>▪   granty a transfery, z toho</w:t>
            </w:r>
          </w:p>
        </w:tc>
        <w:tc>
          <w:tcPr>
            <w:tcW w:w="423" w:type="pct"/>
            <w:tcBorders>
              <w:top w:val="nil"/>
              <w:left w:val="nil"/>
              <w:bottom w:val="single" w:sz="4" w:space="0" w:color="auto"/>
              <w:right w:val="single" w:sz="4" w:space="0" w:color="auto"/>
            </w:tcBorders>
            <w:textDirection w:val="lrTb"/>
            <w:vAlign w:val="bottom"/>
            <w:hideMark/>
          </w:tcPr>
          <w:p w:rsidR="006C0389" w:rsidRPr="00AA4327" w:rsidP="000008FE">
            <w:pPr>
              <w:bidi w:val="0"/>
              <w:jc w:val="center"/>
              <w:rPr>
                <w:rFonts w:ascii="Times New Roman" w:hAnsi="Times New Roman"/>
                <w:sz w:val="16"/>
                <w:szCs w:val="16"/>
              </w:rPr>
            </w:pPr>
            <w:r w:rsidRPr="00AA4327">
              <w:rPr>
                <w:rFonts w:ascii="Times New Roman" w:hAnsi="Times New Roman"/>
                <w:sz w:val="16"/>
                <w:szCs w:val="16"/>
              </w:rPr>
              <w:t>-</w:t>
            </w:r>
          </w:p>
        </w:tc>
        <w:tc>
          <w:tcPr>
            <w:tcW w:w="482" w:type="pct"/>
            <w:tcBorders>
              <w:top w:val="nil"/>
              <w:left w:val="nil"/>
              <w:bottom w:val="single" w:sz="4" w:space="0" w:color="auto"/>
              <w:right w:val="single" w:sz="4" w:space="0" w:color="auto"/>
            </w:tcBorders>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0</w:t>
            </w:r>
          </w:p>
        </w:tc>
        <w:tc>
          <w:tcPr>
            <w:tcW w:w="403" w:type="pct"/>
            <w:tcBorders>
              <w:top w:val="nil"/>
              <w:left w:val="nil"/>
              <w:bottom w:val="single" w:sz="4" w:space="0" w:color="auto"/>
              <w:right w:val="single" w:sz="4" w:space="0" w:color="auto"/>
            </w:tcBorders>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0</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0</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0</w:t>
            </w:r>
          </w:p>
        </w:tc>
        <w:tc>
          <w:tcPr>
            <w:tcW w:w="484"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0</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0</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textDirection w:val="lrTb"/>
            <w:vAlign w:val="center"/>
            <w:hideMark/>
          </w:tcPr>
          <w:p w:rsidR="006C0389" w:rsidRPr="00AA4327" w:rsidP="000008FE">
            <w:pPr>
              <w:bidi w:val="0"/>
              <w:rPr>
                <w:rFonts w:ascii="Times New Roman" w:hAnsi="Times New Roman"/>
                <w:sz w:val="16"/>
                <w:szCs w:val="16"/>
              </w:rPr>
            </w:pPr>
            <w:r w:rsidRPr="00AA4327">
              <w:rPr>
                <w:rFonts w:ascii="Times New Roman" w:hAnsi="Times New Roman"/>
                <w:sz w:val="16"/>
                <w:szCs w:val="16"/>
              </w:rPr>
              <w:t>▪   príjmové finančné operácie, z toho:</w:t>
            </w:r>
          </w:p>
        </w:tc>
        <w:tc>
          <w:tcPr>
            <w:tcW w:w="423" w:type="pct"/>
            <w:tcBorders>
              <w:top w:val="nil"/>
              <w:left w:val="nil"/>
              <w:bottom w:val="single" w:sz="4" w:space="0" w:color="auto"/>
              <w:right w:val="single" w:sz="4" w:space="0" w:color="auto"/>
            </w:tcBorders>
            <w:textDirection w:val="lrTb"/>
            <w:vAlign w:val="bottom"/>
            <w:hideMark/>
          </w:tcPr>
          <w:p w:rsidR="006C0389" w:rsidRPr="00AA4327" w:rsidP="000008FE">
            <w:pPr>
              <w:bidi w:val="0"/>
              <w:jc w:val="center"/>
              <w:rPr>
                <w:rFonts w:ascii="Times New Roman" w:hAnsi="Times New Roman"/>
                <w:sz w:val="16"/>
                <w:szCs w:val="16"/>
              </w:rPr>
            </w:pPr>
            <w:r w:rsidRPr="00AA4327">
              <w:rPr>
                <w:rFonts w:ascii="Times New Roman" w:hAnsi="Times New Roman"/>
                <w:sz w:val="16"/>
                <w:szCs w:val="16"/>
              </w:rPr>
              <w:t>-</w:t>
            </w:r>
          </w:p>
        </w:tc>
        <w:tc>
          <w:tcPr>
            <w:tcW w:w="482" w:type="pct"/>
            <w:tcBorders>
              <w:top w:val="nil"/>
              <w:left w:val="nil"/>
              <w:bottom w:val="single" w:sz="4" w:space="0" w:color="auto"/>
              <w:right w:val="single" w:sz="4" w:space="0" w:color="auto"/>
            </w:tcBorders>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1 132 006</w:t>
            </w:r>
          </w:p>
        </w:tc>
        <w:tc>
          <w:tcPr>
            <w:tcW w:w="403" w:type="pct"/>
            <w:tcBorders>
              <w:top w:val="nil"/>
              <w:left w:val="nil"/>
              <w:bottom w:val="single" w:sz="4" w:space="0" w:color="auto"/>
              <w:right w:val="single" w:sz="4" w:space="0" w:color="auto"/>
            </w:tcBorders>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555</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1 106 011</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1 214 289</w:t>
            </w:r>
          </w:p>
        </w:tc>
        <w:tc>
          <w:tcPr>
            <w:tcW w:w="484"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1 224 452</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1 234 752</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textDirection w:val="lrTb"/>
            <w:vAlign w:val="center"/>
            <w:hideMark/>
          </w:tcPr>
          <w:p w:rsidR="006C0389" w:rsidRPr="00AA4327" w:rsidP="000008FE">
            <w:pPr>
              <w:bidi w:val="0"/>
              <w:ind w:firstLine="160" w:firstLineChars="100"/>
              <w:rPr>
                <w:rFonts w:ascii="Times New Roman" w:hAnsi="Times New Roman"/>
                <w:sz w:val="16"/>
                <w:szCs w:val="16"/>
              </w:rPr>
            </w:pPr>
            <w:r w:rsidRPr="00AA4327">
              <w:rPr>
                <w:rFonts w:ascii="Times New Roman" w:hAnsi="Times New Roman"/>
                <w:sz w:val="16"/>
                <w:szCs w:val="16"/>
              </w:rPr>
              <w:t xml:space="preserve">     prevod prostriedkov z predchádzajúcich rokov</w:t>
            </w:r>
          </w:p>
        </w:tc>
        <w:tc>
          <w:tcPr>
            <w:tcW w:w="423" w:type="pct"/>
            <w:tcBorders>
              <w:top w:val="nil"/>
              <w:left w:val="nil"/>
              <w:bottom w:val="single" w:sz="4" w:space="0" w:color="auto"/>
              <w:right w:val="single" w:sz="4" w:space="0" w:color="auto"/>
            </w:tcBorders>
            <w:textDirection w:val="lrTb"/>
            <w:vAlign w:val="bottom"/>
            <w:hideMark/>
          </w:tcPr>
          <w:p w:rsidR="006C0389" w:rsidRPr="00AA4327" w:rsidP="000008FE">
            <w:pPr>
              <w:bidi w:val="0"/>
              <w:jc w:val="center"/>
              <w:rPr>
                <w:rFonts w:ascii="Times New Roman" w:hAnsi="Times New Roman"/>
                <w:sz w:val="16"/>
                <w:szCs w:val="16"/>
              </w:rPr>
            </w:pPr>
            <w:r w:rsidRPr="00AA4327">
              <w:rPr>
                <w:rFonts w:ascii="Times New Roman" w:hAnsi="Times New Roman"/>
                <w:sz w:val="16"/>
                <w:szCs w:val="16"/>
              </w:rPr>
              <w:t>-</w:t>
            </w:r>
          </w:p>
        </w:tc>
        <w:tc>
          <w:tcPr>
            <w:tcW w:w="482" w:type="pct"/>
            <w:tcBorders>
              <w:top w:val="nil"/>
              <w:left w:val="nil"/>
              <w:bottom w:val="single" w:sz="4" w:space="0" w:color="auto"/>
              <w:right w:val="single" w:sz="4" w:space="0" w:color="auto"/>
            </w:tcBorders>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133 714</w:t>
            </w:r>
          </w:p>
        </w:tc>
        <w:tc>
          <w:tcPr>
            <w:tcW w:w="403" w:type="pct"/>
            <w:tcBorders>
              <w:top w:val="nil"/>
              <w:left w:val="nil"/>
              <w:bottom w:val="single" w:sz="4" w:space="0" w:color="auto"/>
              <w:right w:val="single" w:sz="4" w:space="0" w:color="auto"/>
            </w:tcBorders>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555</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106 011</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154 289</w:t>
            </w:r>
          </w:p>
        </w:tc>
        <w:tc>
          <w:tcPr>
            <w:tcW w:w="484"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144 452</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144 752</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6C0389" w:rsidRPr="00AA4327" w:rsidP="000008FE">
            <w:pPr>
              <w:bidi w:val="0"/>
              <w:rPr>
                <w:rFonts w:ascii="Times New Roman" w:hAnsi="Times New Roman"/>
                <w:b/>
                <w:bCs/>
                <w:sz w:val="16"/>
                <w:szCs w:val="16"/>
              </w:rPr>
            </w:pPr>
            <w:r w:rsidRPr="00AA4327">
              <w:rPr>
                <w:rFonts w:ascii="Times New Roman" w:hAnsi="Times New Roman"/>
                <w:b/>
                <w:bCs/>
                <w:sz w:val="16"/>
                <w:szCs w:val="16"/>
              </w:rPr>
              <w:t>Výdavky Eximbanky spolu</w:t>
            </w:r>
          </w:p>
        </w:tc>
        <w:tc>
          <w:tcPr>
            <w:tcW w:w="423"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center"/>
              <w:rPr>
                <w:rFonts w:ascii="Times New Roman" w:hAnsi="Times New Roman"/>
                <w:b/>
                <w:bCs/>
                <w:sz w:val="16"/>
                <w:szCs w:val="16"/>
              </w:rPr>
            </w:pPr>
            <w:r w:rsidRPr="00AA4327">
              <w:rPr>
                <w:rFonts w:ascii="Times New Roman" w:hAnsi="Times New Roman"/>
                <w:b/>
                <w:bCs/>
                <w:sz w:val="16"/>
                <w:szCs w:val="16"/>
              </w:rPr>
              <w:t>-</w:t>
            </w:r>
          </w:p>
        </w:tc>
        <w:tc>
          <w:tcPr>
            <w:tcW w:w="482"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1 109 959</w:t>
            </w:r>
          </w:p>
        </w:tc>
        <w:tc>
          <w:tcPr>
            <w:tcW w:w="403"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13 428</w:t>
            </w:r>
          </w:p>
        </w:tc>
        <w:tc>
          <w:tcPr>
            <w:tcW w:w="483"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1 017 122</w:t>
            </w:r>
          </w:p>
        </w:tc>
        <w:tc>
          <w:tcPr>
            <w:tcW w:w="483"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1 165 687</w:t>
            </w:r>
          </w:p>
        </w:tc>
        <w:tc>
          <w:tcPr>
            <w:tcW w:w="484"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1 175 900</w:t>
            </w:r>
          </w:p>
        </w:tc>
        <w:tc>
          <w:tcPr>
            <w:tcW w:w="483"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1 185 907</w:t>
            </w:r>
          </w:p>
        </w:tc>
      </w:tr>
      <w:tr>
        <w:tblPrEx>
          <w:tblW w:w="5202" w:type="pct"/>
          <w:tblCellMar>
            <w:left w:w="70" w:type="dxa"/>
            <w:right w:w="70" w:type="dxa"/>
          </w:tblCellMar>
          <w:tblLook w:val="04A0"/>
        </w:tblPrEx>
        <w:trPr>
          <w:trHeight w:val="227"/>
        </w:trPr>
        <w:tc>
          <w:tcPr>
            <w:tcW w:w="4517" w:type="pct"/>
            <w:gridSpan w:val="7"/>
            <w:tcBorders>
              <w:top w:val="single" w:sz="4" w:space="0" w:color="auto"/>
              <w:left w:val="single" w:sz="4" w:space="0" w:color="auto"/>
              <w:bottom w:val="single" w:sz="4" w:space="0" w:color="auto"/>
              <w:right w:val="nil"/>
            </w:tcBorders>
            <w:noWrap/>
            <w:textDirection w:val="lrTb"/>
            <w:vAlign w:val="bottom"/>
            <w:hideMark/>
          </w:tcPr>
          <w:p w:rsidR="006C0389" w:rsidRPr="00AA4327" w:rsidP="000008FE">
            <w:pPr>
              <w:bidi w:val="0"/>
              <w:rPr>
                <w:rFonts w:ascii="Times New Roman" w:hAnsi="Times New Roman"/>
                <w:b/>
                <w:bCs/>
                <w:iCs/>
                <w:sz w:val="16"/>
                <w:szCs w:val="16"/>
              </w:rPr>
            </w:pPr>
            <w:r w:rsidRPr="00AA4327">
              <w:rPr>
                <w:rFonts w:ascii="Times New Roman" w:hAnsi="Times New Roman"/>
                <w:b/>
                <w:bCs/>
                <w:iCs/>
                <w:sz w:val="16"/>
                <w:szCs w:val="16"/>
              </w:rPr>
              <w:t>z toho:</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rPr>
                <w:rFonts w:ascii="Times New Roman" w:hAnsi="Times New Roman"/>
                <w:sz w:val="16"/>
                <w:szCs w:val="16"/>
              </w:rPr>
            </w:pPr>
            <w:r w:rsidRPr="00AA4327">
              <w:rPr>
                <w:rFonts w:ascii="Times New Roman" w:hAnsi="Times New Roman"/>
                <w:sz w:val="16"/>
                <w:szCs w:val="16"/>
              </w:rPr>
              <w:t> </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textDirection w:val="lrTb"/>
            <w:vAlign w:val="center"/>
            <w:hideMark/>
          </w:tcPr>
          <w:p w:rsidR="006C0389" w:rsidRPr="00AA4327" w:rsidP="000008FE">
            <w:pPr>
              <w:bidi w:val="0"/>
              <w:rPr>
                <w:rFonts w:ascii="Times New Roman" w:hAnsi="Times New Roman"/>
                <w:sz w:val="16"/>
                <w:szCs w:val="16"/>
              </w:rPr>
            </w:pPr>
            <w:r w:rsidRPr="00AA4327">
              <w:rPr>
                <w:rFonts w:ascii="Times New Roman" w:hAnsi="Times New Roman"/>
                <w:sz w:val="16"/>
                <w:szCs w:val="16"/>
              </w:rPr>
              <w:t>▪   bežné výdavky, z toho:</w:t>
            </w:r>
          </w:p>
        </w:tc>
        <w:tc>
          <w:tcPr>
            <w:tcW w:w="423" w:type="pct"/>
            <w:tcBorders>
              <w:top w:val="nil"/>
              <w:left w:val="nil"/>
              <w:bottom w:val="single" w:sz="4" w:space="0" w:color="auto"/>
              <w:right w:val="single" w:sz="4" w:space="0" w:color="auto"/>
            </w:tcBorders>
            <w:textDirection w:val="lrTb"/>
            <w:vAlign w:val="bottom"/>
            <w:hideMark/>
          </w:tcPr>
          <w:p w:rsidR="006C0389" w:rsidRPr="00AA4327" w:rsidP="000008FE">
            <w:pPr>
              <w:bidi w:val="0"/>
              <w:jc w:val="center"/>
              <w:rPr>
                <w:rFonts w:ascii="Times New Roman" w:hAnsi="Times New Roman"/>
                <w:sz w:val="16"/>
                <w:szCs w:val="16"/>
              </w:rPr>
            </w:pPr>
            <w:r w:rsidRPr="00AA4327">
              <w:rPr>
                <w:rFonts w:ascii="Times New Roman" w:hAnsi="Times New Roman"/>
                <w:sz w:val="16"/>
                <w:szCs w:val="16"/>
              </w:rPr>
              <w:t>-</w:t>
            </w:r>
          </w:p>
        </w:tc>
        <w:tc>
          <w:tcPr>
            <w:tcW w:w="482" w:type="pct"/>
            <w:tcBorders>
              <w:top w:val="nil"/>
              <w:left w:val="nil"/>
              <w:bottom w:val="single" w:sz="4" w:space="0" w:color="auto"/>
              <w:right w:val="single" w:sz="4" w:space="0" w:color="auto"/>
            </w:tcBorders>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12 494</w:t>
            </w:r>
          </w:p>
        </w:tc>
        <w:tc>
          <w:tcPr>
            <w:tcW w:w="403" w:type="pct"/>
            <w:tcBorders>
              <w:top w:val="nil"/>
              <w:left w:val="nil"/>
              <w:bottom w:val="single" w:sz="4" w:space="0" w:color="auto"/>
              <w:right w:val="single" w:sz="4" w:space="0" w:color="auto"/>
            </w:tcBorders>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13 428</w:t>
            </w:r>
          </w:p>
        </w:tc>
        <w:tc>
          <w:tcPr>
            <w:tcW w:w="483"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15 532</w:t>
            </w:r>
          </w:p>
        </w:tc>
        <w:tc>
          <w:tcPr>
            <w:tcW w:w="483"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13 687</w:t>
            </w:r>
          </w:p>
        </w:tc>
        <w:tc>
          <w:tcPr>
            <w:tcW w:w="484"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14 000</w:t>
            </w:r>
          </w:p>
        </w:tc>
        <w:tc>
          <w:tcPr>
            <w:tcW w:w="483"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14 107</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6C0389" w:rsidRPr="00AA4327" w:rsidP="000008FE">
            <w:pPr>
              <w:bidi w:val="0"/>
              <w:ind w:firstLine="160" w:firstLineChars="100"/>
              <w:rPr>
                <w:rFonts w:ascii="Times New Roman" w:hAnsi="Times New Roman"/>
                <w:sz w:val="16"/>
                <w:szCs w:val="16"/>
              </w:rPr>
            </w:pPr>
            <w:r w:rsidRPr="00AA4327">
              <w:rPr>
                <w:rFonts w:ascii="Times New Roman" w:hAnsi="Times New Roman"/>
                <w:sz w:val="16"/>
                <w:szCs w:val="16"/>
              </w:rPr>
              <w:t xml:space="preserve">      mzdy </w:t>
            </w:r>
          </w:p>
        </w:tc>
        <w:tc>
          <w:tcPr>
            <w:tcW w:w="423" w:type="pct"/>
            <w:tcBorders>
              <w:top w:val="nil"/>
              <w:left w:val="nil"/>
              <w:bottom w:val="single" w:sz="4" w:space="0" w:color="auto"/>
              <w:right w:val="single" w:sz="4" w:space="0" w:color="auto"/>
            </w:tcBorders>
            <w:shd w:val="clear" w:color="000000" w:fill="FFFFFF"/>
            <w:textDirection w:val="lrTb"/>
            <w:vAlign w:val="bottom"/>
            <w:hideMark/>
          </w:tcPr>
          <w:p w:rsidR="006C0389" w:rsidRPr="00AA4327" w:rsidP="000008FE">
            <w:pPr>
              <w:bidi w:val="0"/>
              <w:jc w:val="center"/>
              <w:rPr>
                <w:rFonts w:ascii="Times New Roman" w:hAnsi="Times New Roman"/>
                <w:sz w:val="16"/>
                <w:szCs w:val="16"/>
              </w:rPr>
            </w:pPr>
            <w:r w:rsidRPr="00AA4327">
              <w:rPr>
                <w:rFonts w:ascii="Times New Roman" w:hAnsi="Times New Roman"/>
                <w:sz w:val="16"/>
                <w:szCs w:val="16"/>
              </w:rPr>
              <w:t>-</w:t>
            </w:r>
          </w:p>
        </w:tc>
        <w:tc>
          <w:tcPr>
            <w:tcW w:w="482" w:type="pct"/>
            <w:tcBorders>
              <w:top w:val="nil"/>
              <w:left w:val="nil"/>
              <w:bottom w:val="single" w:sz="4" w:space="0" w:color="auto"/>
              <w:right w:val="single" w:sz="4" w:space="0" w:color="auto"/>
            </w:tcBorders>
            <w:shd w:val="clear" w:color="000000" w:fill="FFFFFF"/>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2 871</w:t>
            </w:r>
          </w:p>
        </w:tc>
        <w:tc>
          <w:tcPr>
            <w:tcW w:w="403" w:type="pct"/>
            <w:tcBorders>
              <w:top w:val="nil"/>
              <w:left w:val="nil"/>
              <w:bottom w:val="single" w:sz="4" w:space="0" w:color="auto"/>
              <w:right w:val="single" w:sz="4" w:space="0" w:color="auto"/>
            </w:tcBorders>
            <w:shd w:val="clear" w:color="000000" w:fill="FFFFFF"/>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3 345</w:t>
            </w:r>
          </w:p>
        </w:tc>
        <w:tc>
          <w:tcPr>
            <w:tcW w:w="483"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3 300</w:t>
            </w:r>
          </w:p>
        </w:tc>
        <w:tc>
          <w:tcPr>
            <w:tcW w:w="483"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3 350</w:t>
            </w:r>
          </w:p>
        </w:tc>
        <w:tc>
          <w:tcPr>
            <w:tcW w:w="484"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3 400</w:t>
            </w:r>
          </w:p>
        </w:tc>
        <w:tc>
          <w:tcPr>
            <w:tcW w:w="483"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3 450</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6C0389" w:rsidRPr="00AA4327" w:rsidP="000008FE">
            <w:pPr>
              <w:bidi w:val="0"/>
              <w:ind w:firstLine="160" w:firstLineChars="100"/>
              <w:rPr>
                <w:rFonts w:ascii="Times New Roman" w:hAnsi="Times New Roman"/>
                <w:sz w:val="16"/>
                <w:szCs w:val="16"/>
              </w:rPr>
            </w:pPr>
            <w:r w:rsidRPr="00AA4327">
              <w:rPr>
                <w:rFonts w:ascii="Times New Roman" w:hAnsi="Times New Roman"/>
                <w:sz w:val="16"/>
                <w:szCs w:val="16"/>
              </w:rPr>
              <w:t xml:space="preserve">      odvody</w:t>
            </w:r>
          </w:p>
        </w:tc>
        <w:tc>
          <w:tcPr>
            <w:tcW w:w="423" w:type="pct"/>
            <w:tcBorders>
              <w:top w:val="nil"/>
              <w:left w:val="nil"/>
              <w:bottom w:val="single" w:sz="4" w:space="0" w:color="auto"/>
              <w:right w:val="single" w:sz="4" w:space="0" w:color="auto"/>
            </w:tcBorders>
            <w:shd w:val="clear" w:color="000000" w:fill="FFFFFF"/>
            <w:textDirection w:val="lrTb"/>
            <w:vAlign w:val="bottom"/>
            <w:hideMark/>
          </w:tcPr>
          <w:p w:rsidR="006C0389" w:rsidRPr="00AA4327" w:rsidP="000008FE">
            <w:pPr>
              <w:bidi w:val="0"/>
              <w:jc w:val="center"/>
              <w:rPr>
                <w:rFonts w:ascii="Times New Roman" w:hAnsi="Times New Roman"/>
                <w:sz w:val="16"/>
                <w:szCs w:val="16"/>
              </w:rPr>
            </w:pPr>
            <w:r w:rsidRPr="00AA4327">
              <w:rPr>
                <w:rFonts w:ascii="Times New Roman" w:hAnsi="Times New Roman"/>
                <w:sz w:val="16"/>
                <w:szCs w:val="16"/>
              </w:rPr>
              <w:t>-</w:t>
            </w:r>
          </w:p>
        </w:tc>
        <w:tc>
          <w:tcPr>
            <w:tcW w:w="482" w:type="pct"/>
            <w:tcBorders>
              <w:top w:val="nil"/>
              <w:left w:val="nil"/>
              <w:bottom w:val="single" w:sz="4" w:space="0" w:color="auto"/>
              <w:right w:val="single" w:sz="4" w:space="0" w:color="auto"/>
            </w:tcBorders>
            <w:shd w:val="clear" w:color="000000" w:fill="FFFFFF"/>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1 111</w:t>
            </w:r>
          </w:p>
        </w:tc>
        <w:tc>
          <w:tcPr>
            <w:tcW w:w="403" w:type="pct"/>
            <w:tcBorders>
              <w:top w:val="nil"/>
              <w:left w:val="nil"/>
              <w:bottom w:val="single" w:sz="4" w:space="0" w:color="auto"/>
              <w:right w:val="single" w:sz="4" w:space="0" w:color="auto"/>
            </w:tcBorders>
            <w:shd w:val="clear" w:color="000000" w:fill="FFFFFF"/>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1 230</w:t>
            </w:r>
          </w:p>
        </w:tc>
        <w:tc>
          <w:tcPr>
            <w:tcW w:w="483"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1 180</w:t>
            </w:r>
          </w:p>
        </w:tc>
        <w:tc>
          <w:tcPr>
            <w:tcW w:w="483"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1 190</w:t>
            </w:r>
          </w:p>
        </w:tc>
        <w:tc>
          <w:tcPr>
            <w:tcW w:w="484"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1 200</w:t>
            </w:r>
          </w:p>
        </w:tc>
        <w:tc>
          <w:tcPr>
            <w:tcW w:w="483"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1 200</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shd w:val="clear" w:color="000000" w:fill="FFFFFF"/>
            <w:textDirection w:val="lrTb"/>
            <w:vAlign w:val="center"/>
            <w:hideMark/>
          </w:tcPr>
          <w:p w:rsidR="006C0389" w:rsidRPr="00AA4327" w:rsidP="000008FE">
            <w:pPr>
              <w:bidi w:val="0"/>
              <w:ind w:firstLine="160" w:firstLineChars="100"/>
              <w:rPr>
                <w:rFonts w:ascii="Times New Roman" w:hAnsi="Times New Roman"/>
                <w:sz w:val="16"/>
                <w:szCs w:val="16"/>
              </w:rPr>
            </w:pPr>
            <w:r w:rsidRPr="00AA4327">
              <w:rPr>
                <w:rFonts w:ascii="Times New Roman" w:hAnsi="Times New Roman"/>
                <w:sz w:val="16"/>
                <w:szCs w:val="16"/>
              </w:rPr>
              <w:t xml:space="preserve">      tovary a služby</w:t>
            </w:r>
          </w:p>
        </w:tc>
        <w:tc>
          <w:tcPr>
            <w:tcW w:w="423" w:type="pct"/>
            <w:tcBorders>
              <w:top w:val="nil"/>
              <w:left w:val="nil"/>
              <w:bottom w:val="single" w:sz="4" w:space="0" w:color="auto"/>
              <w:right w:val="single" w:sz="4" w:space="0" w:color="auto"/>
            </w:tcBorders>
            <w:shd w:val="clear" w:color="000000" w:fill="FFFFFF"/>
            <w:textDirection w:val="lrTb"/>
            <w:vAlign w:val="bottom"/>
            <w:hideMark/>
          </w:tcPr>
          <w:p w:rsidR="006C0389" w:rsidRPr="00AA4327" w:rsidP="000008FE">
            <w:pPr>
              <w:bidi w:val="0"/>
              <w:jc w:val="center"/>
              <w:rPr>
                <w:rFonts w:ascii="Times New Roman" w:hAnsi="Times New Roman"/>
                <w:sz w:val="16"/>
                <w:szCs w:val="16"/>
              </w:rPr>
            </w:pPr>
            <w:r w:rsidRPr="00AA4327">
              <w:rPr>
                <w:rFonts w:ascii="Times New Roman" w:hAnsi="Times New Roman"/>
                <w:sz w:val="16"/>
                <w:szCs w:val="16"/>
              </w:rPr>
              <w:t>-</w:t>
            </w:r>
          </w:p>
        </w:tc>
        <w:tc>
          <w:tcPr>
            <w:tcW w:w="482" w:type="pct"/>
            <w:tcBorders>
              <w:top w:val="nil"/>
              <w:left w:val="nil"/>
              <w:bottom w:val="single" w:sz="4" w:space="0" w:color="auto"/>
              <w:right w:val="single" w:sz="4" w:space="0" w:color="auto"/>
            </w:tcBorders>
            <w:shd w:val="clear" w:color="000000" w:fill="FFFFFF"/>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3 517</w:t>
            </w:r>
          </w:p>
        </w:tc>
        <w:tc>
          <w:tcPr>
            <w:tcW w:w="403" w:type="pct"/>
            <w:tcBorders>
              <w:top w:val="nil"/>
              <w:left w:val="nil"/>
              <w:bottom w:val="single" w:sz="4" w:space="0" w:color="auto"/>
              <w:right w:val="single" w:sz="4" w:space="0" w:color="auto"/>
            </w:tcBorders>
            <w:shd w:val="clear" w:color="000000" w:fill="FFFFFF"/>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2 454</w:t>
            </w:r>
          </w:p>
        </w:tc>
        <w:tc>
          <w:tcPr>
            <w:tcW w:w="483"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5 882</w:t>
            </w:r>
          </w:p>
        </w:tc>
        <w:tc>
          <w:tcPr>
            <w:tcW w:w="483"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3 907</w:t>
            </w:r>
          </w:p>
        </w:tc>
        <w:tc>
          <w:tcPr>
            <w:tcW w:w="484"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4 060</w:t>
            </w:r>
          </w:p>
        </w:tc>
        <w:tc>
          <w:tcPr>
            <w:tcW w:w="483"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4 117</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textDirection w:val="lrTb"/>
            <w:vAlign w:val="center"/>
            <w:hideMark/>
          </w:tcPr>
          <w:p w:rsidR="006C0389" w:rsidRPr="00AA4327" w:rsidP="000008FE">
            <w:pPr>
              <w:bidi w:val="0"/>
              <w:rPr>
                <w:rFonts w:ascii="Times New Roman" w:hAnsi="Times New Roman"/>
                <w:sz w:val="16"/>
                <w:szCs w:val="16"/>
              </w:rPr>
            </w:pPr>
            <w:r w:rsidRPr="00AA4327">
              <w:rPr>
                <w:rFonts w:ascii="Times New Roman" w:hAnsi="Times New Roman"/>
                <w:sz w:val="16"/>
                <w:szCs w:val="16"/>
              </w:rPr>
              <w:t xml:space="preserve">          splácanie úrokov a ostatné platby s úvermi</w:t>
            </w:r>
          </w:p>
        </w:tc>
        <w:tc>
          <w:tcPr>
            <w:tcW w:w="423" w:type="pct"/>
            <w:tcBorders>
              <w:top w:val="nil"/>
              <w:left w:val="nil"/>
              <w:bottom w:val="single" w:sz="4" w:space="0" w:color="auto"/>
              <w:right w:val="single" w:sz="4" w:space="0" w:color="auto"/>
            </w:tcBorders>
            <w:textDirection w:val="lrTb"/>
            <w:vAlign w:val="bottom"/>
            <w:hideMark/>
          </w:tcPr>
          <w:p w:rsidR="006C0389" w:rsidRPr="00AA4327" w:rsidP="000008FE">
            <w:pPr>
              <w:bidi w:val="0"/>
              <w:jc w:val="center"/>
              <w:rPr>
                <w:rFonts w:ascii="Times New Roman" w:hAnsi="Times New Roman"/>
                <w:sz w:val="16"/>
                <w:szCs w:val="16"/>
              </w:rPr>
            </w:pPr>
            <w:r w:rsidRPr="00AA4327">
              <w:rPr>
                <w:rFonts w:ascii="Times New Roman" w:hAnsi="Times New Roman"/>
                <w:sz w:val="16"/>
                <w:szCs w:val="16"/>
              </w:rPr>
              <w:t>-</w:t>
            </w:r>
          </w:p>
        </w:tc>
        <w:tc>
          <w:tcPr>
            <w:tcW w:w="482" w:type="pct"/>
            <w:tcBorders>
              <w:top w:val="nil"/>
              <w:left w:val="nil"/>
              <w:bottom w:val="single" w:sz="4" w:space="0" w:color="auto"/>
              <w:right w:val="single" w:sz="4" w:space="0" w:color="auto"/>
            </w:tcBorders>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3 977</w:t>
            </w:r>
          </w:p>
        </w:tc>
        <w:tc>
          <w:tcPr>
            <w:tcW w:w="403" w:type="pct"/>
            <w:tcBorders>
              <w:top w:val="nil"/>
              <w:left w:val="nil"/>
              <w:bottom w:val="single" w:sz="4" w:space="0" w:color="auto"/>
              <w:right w:val="single" w:sz="4" w:space="0" w:color="auto"/>
            </w:tcBorders>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6 399</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5 100</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5 200</w:t>
            </w:r>
          </w:p>
        </w:tc>
        <w:tc>
          <w:tcPr>
            <w:tcW w:w="484"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5 300</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5 300</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textDirection w:val="lrTb"/>
            <w:vAlign w:val="center"/>
            <w:hideMark/>
          </w:tcPr>
          <w:p w:rsidR="006C0389" w:rsidRPr="00AA4327" w:rsidP="000008FE">
            <w:pPr>
              <w:bidi w:val="0"/>
              <w:rPr>
                <w:rFonts w:ascii="Times New Roman" w:hAnsi="Times New Roman"/>
                <w:sz w:val="16"/>
                <w:szCs w:val="16"/>
              </w:rPr>
            </w:pPr>
            <w:r w:rsidRPr="00AA4327">
              <w:rPr>
                <w:rFonts w:ascii="Times New Roman" w:hAnsi="Times New Roman"/>
                <w:sz w:val="16"/>
                <w:szCs w:val="16"/>
              </w:rPr>
              <w:t xml:space="preserve">▪   výdavky z transakcií s fin. akt. a pas., z toho: (FO) </w:t>
            </w:r>
          </w:p>
        </w:tc>
        <w:tc>
          <w:tcPr>
            <w:tcW w:w="423" w:type="pct"/>
            <w:tcBorders>
              <w:top w:val="nil"/>
              <w:left w:val="nil"/>
              <w:bottom w:val="single" w:sz="4" w:space="0" w:color="auto"/>
              <w:right w:val="single" w:sz="4" w:space="0" w:color="auto"/>
            </w:tcBorders>
            <w:textDirection w:val="lrTb"/>
            <w:vAlign w:val="bottom"/>
            <w:hideMark/>
          </w:tcPr>
          <w:p w:rsidR="006C0389" w:rsidRPr="00AA4327" w:rsidP="000008FE">
            <w:pPr>
              <w:bidi w:val="0"/>
              <w:jc w:val="center"/>
              <w:rPr>
                <w:rFonts w:ascii="Times New Roman" w:hAnsi="Times New Roman"/>
                <w:sz w:val="16"/>
                <w:szCs w:val="16"/>
              </w:rPr>
            </w:pPr>
            <w:r w:rsidRPr="00AA4327">
              <w:rPr>
                <w:rFonts w:ascii="Times New Roman" w:hAnsi="Times New Roman"/>
                <w:sz w:val="16"/>
                <w:szCs w:val="16"/>
              </w:rPr>
              <w:t>-</w:t>
            </w:r>
          </w:p>
        </w:tc>
        <w:tc>
          <w:tcPr>
            <w:tcW w:w="482" w:type="pct"/>
            <w:tcBorders>
              <w:top w:val="nil"/>
              <w:left w:val="nil"/>
              <w:bottom w:val="single" w:sz="4" w:space="0" w:color="auto"/>
              <w:right w:val="single" w:sz="4" w:space="0" w:color="auto"/>
            </w:tcBorders>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1 097 465</w:t>
            </w:r>
          </w:p>
        </w:tc>
        <w:tc>
          <w:tcPr>
            <w:tcW w:w="403" w:type="pct"/>
            <w:tcBorders>
              <w:top w:val="nil"/>
              <w:left w:val="nil"/>
              <w:bottom w:val="single" w:sz="4" w:space="0" w:color="auto"/>
              <w:right w:val="single" w:sz="4" w:space="0" w:color="auto"/>
            </w:tcBorders>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0</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1 000 000</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1 150 000</w:t>
            </w:r>
          </w:p>
        </w:tc>
        <w:tc>
          <w:tcPr>
            <w:tcW w:w="484"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1 160 000</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bCs/>
                <w:iCs/>
                <w:sz w:val="16"/>
                <w:szCs w:val="16"/>
              </w:rPr>
            </w:pPr>
            <w:r w:rsidRPr="00AA4327">
              <w:rPr>
                <w:rFonts w:ascii="Times New Roman" w:hAnsi="Times New Roman"/>
                <w:bCs/>
                <w:iCs/>
                <w:sz w:val="16"/>
                <w:szCs w:val="16"/>
              </w:rPr>
              <w:t>1 170 000</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6C0389" w:rsidRPr="00AA4327" w:rsidP="000008FE">
            <w:pPr>
              <w:bidi w:val="0"/>
              <w:rPr>
                <w:rFonts w:ascii="Times New Roman" w:hAnsi="Times New Roman"/>
                <w:b/>
                <w:bCs/>
                <w:sz w:val="16"/>
                <w:szCs w:val="16"/>
              </w:rPr>
            </w:pPr>
            <w:r w:rsidRPr="00AA4327">
              <w:rPr>
                <w:rFonts w:ascii="Times New Roman" w:hAnsi="Times New Roman"/>
                <w:b/>
                <w:bCs/>
                <w:sz w:val="16"/>
                <w:szCs w:val="16"/>
              </w:rPr>
              <w:t>Celkový prebytok Eximbanky</w:t>
            </w:r>
          </w:p>
        </w:tc>
        <w:tc>
          <w:tcPr>
            <w:tcW w:w="423"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center"/>
              <w:rPr>
                <w:rFonts w:ascii="Times New Roman" w:hAnsi="Times New Roman"/>
                <w:b/>
                <w:bCs/>
                <w:sz w:val="16"/>
                <w:szCs w:val="16"/>
              </w:rPr>
            </w:pPr>
            <w:r w:rsidRPr="00AA4327">
              <w:rPr>
                <w:rFonts w:ascii="Times New Roman" w:hAnsi="Times New Roman"/>
                <w:b/>
                <w:bCs/>
                <w:sz w:val="16"/>
                <w:szCs w:val="16"/>
              </w:rPr>
              <w:t>-</w:t>
            </w:r>
          </w:p>
        </w:tc>
        <w:tc>
          <w:tcPr>
            <w:tcW w:w="482"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106 011</w:t>
            </w:r>
          </w:p>
        </w:tc>
        <w:tc>
          <w:tcPr>
            <w:tcW w:w="403"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950</w:t>
            </w:r>
          </w:p>
        </w:tc>
        <w:tc>
          <w:tcPr>
            <w:tcW w:w="483" w:type="pct"/>
            <w:tcBorders>
              <w:top w:val="nil"/>
              <w:left w:val="nil"/>
              <w:bottom w:val="single" w:sz="4" w:space="0" w:color="auto"/>
              <w:right w:val="single" w:sz="4" w:space="0" w:color="auto"/>
            </w:tcBorders>
            <w:shd w:val="clear" w:color="auto" w:fill="BFBFBF"/>
            <w:noWrap/>
            <w:textDirection w:val="lrTb"/>
            <w:vAlign w:val="center"/>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154 289</w:t>
            </w:r>
          </w:p>
        </w:tc>
        <w:tc>
          <w:tcPr>
            <w:tcW w:w="483" w:type="pct"/>
            <w:tcBorders>
              <w:top w:val="nil"/>
              <w:left w:val="nil"/>
              <w:bottom w:val="single" w:sz="4" w:space="0" w:color="auto"/>
              <w:right w:val="single" w:sz="4" w:space="0" w:color="auto"/>
            </w:tcBorders>
            <w:shd w:val="clear" w:color="auto" w:fill="BFBFBF"/>
            <w:noWrap/>
            <w:textDirection w:val="lrTb"/>
            <w:vAlign w:val="center"/>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144 452</w:t>
            </w:r>
          </w:p>
        </w:tc>
        <w:tc>
          <w:tcPr>
            <w:tcW w:w="484" w:type="pct"/>
            <w:tcBorders>
              <w:top w:val="nil"/>
              <w:left w:val="nil"/>
              <w:bottom w:val="single" w:sz="4" w:space="0" w:color="auto"/>
              <w:right w:val="single" w:sz="4" w:space="0" w:color="auto"/>
            </w:tcBorders>
            <w:shd w:val="clear" w:color="auto" w:fill="BFBFBF"/>
            <w:noWrap/>
            <w:textDirection w:val="lrTb"/>
            <w:vAlign w:val="center"/>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144 752</w:t>
            </w:r>
          </w:p>
        </w:tc>
        <w:tc>
          <w:tcPr>
            <w:tcW w:w="483" w:type="pct"/>
            <w:tcBorders>
              <w:top w:val="nil"/>
              <w:left w:val="nil"/>
              <w:bottom w:val="single" w:sz="4" w:space="0" w:color="auto"/>
              <w:right w:val="single" w:sz="4" w:space="0" w:color="auto"/>
            </w:tcBorders>
            <w:shd w:val="clear" w:color="auto" w:fill="BFBFBF"/>
            <w:noWrap/>
            <w:textDirection w:val="lrTb"/>
            <w:vAlign w:val="center"/>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145 295</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noWrap/>
            <w:textDirection w:val="lrTb"/>
            <w:vAlign w:val="center"/>
            <w:hideMark/>
          </w:tcPr>
          <w:p w:rsidR="006C0389" w:rsidRPr="00AA4327" w:rsidP="000008FE">
            <w:pPr>
              <w:bidi w:val="0"/>
              <w:rPr>
                <w:rFonts w:ascii="Times New Roman" w:hAnsi="Times New Roman"/>
                <w:b/>
                <w:bCs/>
                <w:iCs/>
                <w:sz w:val="16"/>
                <w:szCs w:val="16"/>
              </w:rPr>
            </w:pPr>
            <w:r w:rsidRPr="00AA4327">
              <w:rPr>
                <w:rFonts w:ascii="Times New Roman" w:hAnsi="Times New Roman"/>
                <w:b/>
                <w:bCs/>
                <w:iCs/>
                <w:sz w:val="16"/>
                <w:szCs w:val="16"/>
              </w:rPr>
              <w:t>vylúčenie finančných operácií</w:t>
            </w:r>
          </w:p>
        </w:tc>
        <w:tc>
          <w:tcPr>
            <w:tcW w:w="42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center"/>
              <w:rPr>
                <w:rFonts w:ascii="Times New Roman" w:hAnsi="Times New Roman"/>
                <w:b/>
                <w:bCs/>
                <w:iCs/>
                <w:sz w:val="16"/>
                <w:szCs w:val="16"/>
              </w:rPr>
            </w:pPr>
            <w:r w:rsidRPr="00AA4327">
              <w:rPr>
                <w:rFonts w:ascii="Times New Roman" w:hAnsi="Times New Roman"/>
                <w:b/>
                <w:bCs/>
                <w:iCs/>
                <w:sz w:val="16"/>
                <w:szCs w:val="16"/>
              </w:rPr>
              <w:t>-</w:t>
            </w:r>
          </w:p>
        </w:tc>
        <w:tc>
          <w:tcPr>
            <w:tcW w:w="482"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-103 941</w:t>
            </w:r>
          </w:p>
        </w:tc>
        <w:tc>
          <w:tcPr>
            <w:tcW w:w="40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-555</w:t>
            </w:r>
          </w:p>
        </w:tc>
        <w:tc>
          <w:tcPr>
            <w:tcW w:w="483"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-156 011</w:t>
            </w:r>
          </w:p>
        </w:tc>
        <w:tc>
          <w:tcPr>
            <w:tcW w:w="483"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-144 289</w:t>
            </w:r>
          </w:p>
        </w:tc>
        <w:tc>
          <w:tcPr>
            <w:tcW w:w="484"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-144 452</w:t>
            </w:r>
          </w:p>
        </w:tc>
        <w:tc>
          <w:tcPr>
            <w:tcW w:w="483" w:type="pct"/>
            <w:tcBorders>
              <w:top w:val="nil"/>
              <w:left w:val="nil"/>
              <w:bottom w:val="single" w:sz="4" w:space="0" w:color="auto"/>
              <w:right w:val="single" w:sz="4" w:space="0" w:color="auto"/>
            </w:tcBorders>
            <w:noWrap/>
            <w:textDirection w:val="lrTb"/>
            <w:vAlign w:val="center"/>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-144 752</w:t>
            </w:r>
          </w:p>
        </w:tc>
      </w:tr>
      <w:tr>
        <w:tblPrEx>
          <w:tblW w:w="5202" w:type="pct"/>
          <w:tblCellMar>
            <w:left w:w="70" w:type="dxa"/>
            <w:right w:w="70" w:type="dxa"/>
          </w:tblCellMar>
          <w:tblLook w:val="04A0"/>
        </w:tblPrEx>
        <w:trPr>
          <w:trHeight w:val="227"/>
        </w:trPr>
        <w:tc>
          <w:tcPr>
            <w:tcW w:w="4517" w:type="pct"/>
            <w:gridSpan w:val="7"/>
            <w:tcBorders>
              <w:top w:val="single" w:sz="4" w:space="0" w:color="auto"/>
              <w:left w:val="single" w:sz="4" w:space="0" w:color="auto"/>
              <w:bottom w:val="single" w:sz="4" w:space="0" w:color="auto"/>
              <w:right w:val="nil"/>
            </w:tcBorders>
            <w:noWrap/>
            <w:textDirection w:val="lrTb"/>
            <w:vAlign w:val="bottom"/>
            <w:hideMark/>
          </w:tcPr>
          <w:p w:rsidR="006C0389" w:rsidRPr="00AA4327" w:rsidP="000008FE">
            <w:pPr>
              <w:bidi w:val="0"/>
              <w:rPr>
                <w:rFonts w:ascii="Times New Roman" w:hAnsi="Times New Roman"/>
                <w:b/>
                <w:bCs/>
                <w:iCs/>
                <w:sz w:val="16"/>
                <w:szCs w:val="16"/>
              </w:rPr>
            </w:pPr>
            <w:r w:rsidRPr="00AA4327">
              <w:rPr>
                <w:rFonts w:ascii="Times New Roman" w:hAnsi="Times New Roman"/>
                <w:b/>
                <w:bCs/>
                <w:iCs/>
                <w:sz w:val="16"/>
                <w:szCs w:val="16"/>
              </w:rPr>
              <w:t>z toho:</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rPr>
                <w:rFonts w:ascii="Times New Roman" w:hAnsi="Times New Roman"/>
                <w:sz w:val="16"/>
                <w:szCs w:val="16"/>
              </w:rPr>
            </w:pPr>
            <w:r w:rsidRPr="00AA4327">
              <w:rPr>
                <w:rFonts w:ascii="Times New Roman" w:hAnsi="Times New Roman"/>
                <w:sz w:val="16"/>
                <w:szCs w:val="16"/>
              </w:rPr>
              <w:t> </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noWrap/>
            <w:textDirection w:val="lrTb"/>
            <w:vAlign w:val="center"/>
            <w:hideMark/>
          </w:tcPr>
          <w:p w:rsidR="006C0389" w:rsidRPr="00AA4327" w:rsidP="000008FE">
            <w:pPr>
              <w:bidi w:val="0"/>
              <w:rPr>
                <w:rFonts w:ascii="Times New Roman" w:hAnsi="Times New Roman"/>
                <w:sz w:val="16"/>
                <w:szCs w:val="16"/>
              </w:rPr>
            </w:pPr>
            <w:r w:rsidRPr="00AA4327">
              <w:rPr>
                <w:rFonts w:ascii="Times New Roman" w:hAnsi="Times New Roman"/>
                <w:sz w:val="16"/>
                <w:szCs w:val="16"/>
              </w:rPr>
              <w:t xml:space="preserve">    ▪   vylúčenie príjmových finančných operácií</w:t>
            </w:r>
          </w:p>
        </w:tc>
        <w:tc>
          <w:tcPr>
            <w:tcW w:w="42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center"/>
              <w:rPr>
                <w:rFonts w:ascii="Times New Roman" w:hAnsi="Times New Roman"/>
                <w:sz w:val="16"/>
                <w:szCs w:val="16"/>
              </w:rPr>
            </w:pPr>
            <w:r w:rsidRPr="00AA4327">
              <w:rPr>
                <w:rFonts w:ascii="Times New Roman" w:hAnsi="Times New Roman"/>
                <w:sz w:val="16"/>
                <w:szCs w:val="16"/>
              </w:rPr>
              <w:t>-</w:t>
            </w:r>
          </w:p>
        </w:tc>
        <w:tc>
          <w:tcPr>
            <w:tcW w:w="482"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-1 201 406</w:t>
            </w:r>
          </w:p>
        </w:tc>
        <w:tc>
          <w:tcPr>
            <w:tcW w:w="40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-555</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-1 156 011</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-1 294 289</w:t>
            </w:r>
          </w:p>
        </w:tc>
        <w:tc>
          <w:tcPr>
            <w:tcW w:w="484"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-1 304 452</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-1 314 752</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noWrap/>
            <w:textDirection w:val="lrTb"/>
            <w:vAlign w:val="center"/>
            <w:hideMark/>
          </w:tcPr>
          <w:p w:rsidR="006C0389" w:rsidRPr="00AA4327" w:rsidP="000008FE">
            <w:pPr>
              <w:bidi w:val="0"/>
              <w:rPr>
                <w:rFonts w:ascii="Times New Roman" w:hAnsi="Times New Roman"/>
                <w:sz w:val="16"/>
                <w:szCs w:val="16"/>
              </w:rPr>
            </w:pPr>
            <w:r w:rsidRPr="00AA4327">
              <w:rPr>
                <w:rFonts w:ascii="Times New Roman" w:hAnsi="Times New Roman"/>
                <w:sz w:val="16"/>
                <w:szCs w:val="16"/>
              </w:rPr>
              <w:t xml:space="preserve">    ▪   vylúčenie výdavkových finančných operácií</w:t>
            </w:r>
          </w:p>
        </w:tc>
        <w:tc>
          <w:tcPr>
            <w:tcW w:w="42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center"/>
              <w:rPr>
                <w:rFonts w:ascii="Times New Roman" w:hAnsi="Times New Roman"/>
                <w:sz w:val="16"/>
                <w:szCs w:val="16"/>
              </w:rPr>
            </w:pPr>
            <w:r w:rsidRPr="00AA4327">
              <w:rPr>
                <w:rFonts w:ascii="Times New Roman" w:hAnsi="Times New Roman"/>
                <w:sz w:val="16"/>
                <w:szCs w:val="16"/>
              </w:rPr>
              <w:t>-</w:t>
            </w:r>
          </w:p>
        </w:tc>
        <w:tc>
          <w:tcPr>
            <w:tcW w:w="482"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1 097 465</w:t>
            </w:r>
          </w:p>
        </w:tc>
        <w:tc>
          <w:tcPr>
            <w:tcW w:w="40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0</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1 000 000</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1 150 000</w:t>
            </w:r>
          </w:p>
        </w:tc>
        <w:tc>
          <w:tcPr>
            <w:tcW w:w="484"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1 160 000</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sz w:val="16"/>
                <w:szCs w:val="16"/>
              </w:rPr>
            </w:pPr>
            <w:r w:rsidRPr="00AA4327">
              <w:rPr>
                <w:rFonts w:ascii="Times New Roman" w:hAnsi="Times New Roman"/>
                <w:sz w:val="16"/>
                <w:szCs w:val="16"/>
              </w:rPr>
              <w:t>1 170 000</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noWrap/>
            <w:textDirection w:val="lrTb"/>
            <w:vAlign w:val="center"/>
            <w:hideMark/>
          </w:tcPr>
          <w:p w:rsidR="006C0389" w:rsidRPr="00AA4327" w:rsidP="000008FE">
            <w:pPr>
              <w:bidi w:val="0"/>
              <w:rPr>
                <w:rFonts w:ascii="Times New Roman" w:hAnsi="Times New Roman"/>
                <w:iCs/>
                <w:sz w:val="16"/>
                <w:szCs w:val="16"/>
              </w:rPr>
            </w:pPr>
            <w:r w:rsidRPr="00AA4327">
              <w:rPr>
                <w:rFonts w:ascii="Times New Roman" w:hAnsi="Times New Roman"/>
                <w:iCs/>
                <w:sz w:val="16"/>
                <w:szCs w:val="16"/>
              </w:rPr>
              <w:t>Ostatné úpravy</w:t>
            </w:r>
          </w:p>
        </w:tc>
        <w:tc>
          <w:tcPr>
            <w:tcW w:w="42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center"/>
              <w:rPr>
                <w:rFonts w:ascii="Times New Roman" w:hAnsi="Times New Roman"/>
                <w:iCs/>
                <w:sz w:val="16"/>
                <w:szCs w:val="16"/>
              </w:rPr>
            </w:pPr>
            <w:r w:rsidRPr="00AA4327">
              <w:rPr>
                <w:rFonts w:ascii="Times New Roman" w:hAnsi="Times New Roman"/>
                <w:iCs/>
                <w:sz w:val="16"/>
                <w:szCs w:val="16"/>
              </w:rPr>
              <w:t>-</w:t>
            </w:r>
          </w:p>
        </w:tc>
        <w:tc>
          <w:tcPr>
            <w:tcW w:w="482" w:type="pct"/>
            <w:tcBorders>
              <w:top w:val="nil"/>
              <w:left w:val="nil"/>
              <w:bottom w:val="single" w:sz="4" w:space="0" w:color="auto"/>
              <w:right w:val="single" w:sz="4" w:space="0" w:color="auto"/>
            </w:tcBorders>
            <w:noWrap/>
            <w:textDirection w:val="lrTb"/>
            <w:vAlign w:val="bottom"/>
            <w:hideMark/>
          </w:tcPr>
          <w:p w:rsidR="006C0389" w:rsidRPr="00AA4327" w:rsidP="003656D5">
            <w:pPr>
              <w:bidi w:val="0"/>
              <w:jc w:val="right"/>
              <w:rPr>
                <w:rFonts w:ascii="Times New Roman" w:hAnsi="Times New Roman"/>
                <w:iCs/>
                <w:sz w:val="16"/>
                <w:szCs w:val="16"/>
              </w:rPr>
            </w:pPr>
            <w:r w:rsidR="003656D5">
              <w:rPr>
                <w:rFonts w:ascii="Times New Roman" w:hAnsi="Times New Roman"/>
                <w:iCs/>
                <w:sz w:val="16"/>
                <w:szCs w:val="16"/>
              </w:rPr>
              <w:t>5 384</w:t>
            </w:r>
          </w:p>
        </w:tc>
        <w:tc>
          <w:tcPr>
            <w:tcW w:w="40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iCs/>
                <w:sz w:val="16"/>
                <w:szCs w:val="16"/>
              </w:rPr>
            </w:pPr>
            <w:r w:rsidRPr="00AA4327">
              <w:rPr>
                <w:rFonts w:ascii="Times New Roman" w:hAnsi="Times New Roman"/>
                <w:iCs/>
                <w:sz w:val="16"/>
                <w:szCs w:val="16"/>
              </w:rPr>
              <w:t>-</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iCs/>
                <w:sz w:val="16"/>
                <w:szCs w:val="16"/>
              </w:rPr>
            </w:pPr>
            <w:r w:rsidRPr="00AA4327">
              <w:rPr>
                <w:rFonts w:ascii="Times New Roman" w:hAnsi="Times New Roman"/>
                <w:iCs/>
                <w:sz w:val="16"/>
                <w:szCs w:val="16"/>
              </w:rPr>
              <w:t>-</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iCs/>
                <w:sz w:val="16"/>
                <w:szCs w:val="16"/>
              </w:rPr>
            </w:pPr>
            <w:r w:rsidRPr="00AA4327">
              <w:rPr>
                <w:rFonts w:ascii="Times New Roman" w:hAnsi="Times New Roman"/>
                <w:iCs/>
                <w:sz w:val="16"/>
                <w:szCs w:val="16"/>
              </w:rPr>
              <w:t>-</w:t>
            </w:r>
          </w:p>
        </w:tc>
        <w:tc>
          <w:tcPr>
            <w:tcW w:w="484"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iCs/>
                <w:sz w:val="16"/>
                <w:szCs w:val="16"/>
              </w:rPr>
            </w:pPr>
            <w:r w:rsidRPr="00AA4327">
              <w:rPr>
                <w:rFonts w:ascii="Times New Roman" w:hAnsi="Times New Roman"/>
                <w:iCs/>
                <w:sz w:val="16"/>
                <w:szCs w:val="16"/>
              </w:rPr>
              <w:t>-</w:t>
            </w:r>
          </w:p>
        </w:tc>
        <w:tc>
          <w:tcPr>
            <w:tcW w:w="483" w:type="pct"/>
            <w:tcBorders>
              <w:top w:val="nil"/>
              <w:left w:val="nil"/>
              <w:bottom w:val="single" w:sz="4" w:space="0" w:color="auto"/>
              <w:right w:val="single" w:sz="4" w:space="0" w:color="auto"/>
            </w:tcBorders>
            <w:noWrap/>
            <w:textDirection w:val="lrTb"/>
            <w:vAlign w:val="bottom"/>
            <w:hideMark/>
          </w:tcPr>
          <w:p w:rsidR="006C0389" w:rsidRPr="00AA4327" w:rsidP="000008FE">
            <w:pPr>
              <w:bidi w:val="0"/>
              <w:jc w:val="right"/>
              <w:rPr>
                <w:rFonts w:ascii="Times New Roman" w:hAnsi="Times New Roman"/>
                <w:iCs/>
                <w:sz w:val="16"/>
                <w:szCs w:val="16"/>
              </w:rPr>
            </w:pPr>
            <w:r w:rsidRPr="00AA4327">
              <w:rPr>
                <w:rFonts w:ascii="Times New Roman" w:hAnsi="Times New Roman"/>
                <w:iCs/>
                <w:sz w:val="16"/>
                <w:szCs w:val="16"/>
              </w:rPr>
              <w:t>-</w:t>
            </w:r>
          </w:p>
        </w:tc>
      </w:tr>
      <w:tr>
        <w:tblPrEx>
          <w:tblW w:w="5202" w:type="pct"/>
          <w:tblCellMar>
            <w:left w:w="70" w:type="dxa"/>
            <w:right w:w="70" w:type="dxa"/>
          </w:tblCellMar>
          <w:tblLook w:val="04A0"/>
        </w:tblPrEx>
        <w:trPr>
          <w:trHeight w:val="227"/>
        </w:trPr>
        <w:tc>
          <w:tcPr>
            <w:tcW w:w="1760" w:type="pct"/>
            <w:tcBorders>
              <w:top w:val="nil"/>
              <w:left w:val="single" w:sz="4" w:space="0" w:color="auto"/>
              <w:bottom w:val="single" w:sz="4" w:space="0" w:color="auto"/>
              <w:right w:val="single" w:sz="4" w:space="0" w:color="auto"/>
            </w:tcBorders>
            <w:shd w:val="clear" w:color="auto" w:fill="BFBFBF"/>
            <w:noWrap/>
            <w:textDirection w:val="lrTb"/>
            <w:vAlign w:val="center"/>
            <w:hideMark/>
          </w:tcPr>
          <w:p w:rsidR="006C0389" w:rsidRPr="00AA4327" w:rsidP="00A74905">
            <w:pPr>
              <w:bidi w:val="0"/>
              <w:rPr>
                <w:rFonts w:ascii="Times New Roman" w:hAnsi="Times New Roman"/>
                <w:b/>
                <w:bCs/>
                <w:iCs/>
                <w:sz w:val="16"/>
                <w:szCs w:val="16"/>
              </w:rPr>
            </w:pPr>
            <w:r w:rsidRPr="00AA4327">
              <w:rPr>
                <w:rFonts w:ascii="Times New Roman" w:hAnsi="Times New Roman"/>
                <w:b/>
                <w:bCs/>
                <w:iCs/>
                <w:sz w:val="16"/>
                <w:szCs w:val="16"/>
              </w:rPr>
              <w:t>Prebytok</w:t>
            </w:r>
            <w:r w:rsidRPr="003679CA" w:rsidR="00A74905">
              <w:rPr>
                <w:rFonts w:ascii="Times New Roman" w:hAnsi="Times New Roman"/>
                <w:b/>
                <w:bCs/>
                <w:iCs/>
                <w:sz w:val="16"/>
                <w:szCs w:val="16"/>
              </w:rPr>
              <w:t>(+)/schodok(-)</w:t>
            </w:r>
            <w:r w:rsidRPr="00AA4327">
              <w:rPr>
                <w:rFonts w:ascii="Times New Roman" w:hAnsi="Times New Roman"/>
                <w:b/>
                <w:bCs/>
                <w:iCs/>
                <w:sz w:val="16"/>
                <w:szCs w:val="16"/>
              </w:rPr>
              <w:t>Eximbanky (ESA 2010)</w:t>
            </w:r>
          </w:p>
        </w:tc>
        <w:tc>
          <w:tcPr>
            <w:tcW w:w="423"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3656D5">
            <w:pPr>
              <w:bidi w:val="0"/>
              <w:jc w:val="right"/>
              <w:rPr>
                <w:rFonts w:ascii="Times New Roman" w:hAnsi="Times New Roman"/>
                <w:b/>
                <w:bCs/>
                <w:iCs/>
                <w:sz w:val="16"/>
                <w:szCs w:val="16"/>
              </w:rPr>
            </w:pPr>
            <w:r w:rsidRPr="0027101F">
              <w:rPr>
                <w:rFonts w:ascii="Times New Roman" w:hAnsi="Times New Roman"/>
                <w:b/>
                <w:bCs/>
                <w:iCs/>
                <w:sz w:val="16"/>
                <w:szCs w:val="16"/>
              </w:rPr>
              <w:t>-2</w:t>
            </w:r>
            <w:r>
              <w:rPr>
                <w:rFonts w:ascii="Times New Roman" w:hAnsi="Times New Roman"/>
                <w:b/>
                <w:bCs/>
                <w:iCs/>
                <w:sz w:val="16"/>
                <w:szCs w:val="16"/>
              </w:rPr>
              <w:t> </w:t>
            </w:r>
            <w:r w:rsidRPr="0027101F">
              <w:rPr>
                <w:rFonts w:ascii="Times New Roman" w:hAnsi="Times New Roman"/>
                <w:b/>
                <w:bCs/>
                <w:iCs/>
                <w:sz w:val="16"/>
                <w:szCs w:val="16"/>
              </w:rPr>
              <w:t>845</w:t>
            </w:r>
          </w:p>
        </w:tc>
        <w:tc>
          <w:tcPr>
            <w:tcW w:w="482"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3656D5">
            <w:pPr>
              <w:bidi w:val="0"/>
              <w:jc w:val="right"/>
              <w:rPr>
                <w:rFonts w:ascii="Times New Roman" w:hAnsi="Times New Roman"/>
                <w:b/>
                <w:bCs/>
                <w:iCs/>
                <w:sz w:val="16"/>
                <w:szCs w:val="16"/>
              </w:rPr>
            </w:pPr>
            <w:r w:rsidR="003656D5">
              <w:rPr>
                <w:rFonts w:ascii="Times New Roman" w:hAnsi="Times New Roman"/>
                <w:b/>
                <w:bCs/>
                <w:iCs/>
                <w:sz w:val="16"/>
                <w:szCs w:val="16"/>
              </w:rPr>
              <w:t>7 454</w:t>
            </w:r>
          </w:p>
        </w:tc>
        <w:tc>
          <w:tcPr>
            <w:tcW w:w="403"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395</w:t>
            </w:r>
          </w:p>
        </w:tc>
        <w:tc>
          <w:tcPr>
            <w:tcW w:w="483"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-1 722</w:t>
            </w:r>
          </w:p>
        </w:tc>
        <w:tc>
          <w:tcPr>
            <w:tcW w:w="483"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163</w:t>
            </w:r>
          </w:p>
        </w:tc>
        <w:tc>
          <w:tcPr>
            <w:tcW w:w="484"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300</w:t>
            </w:r>
          </w:p>
        </w:tc>
        <w:tc>
          <w:tcPr>
            <w:tcW w:w="483" w:type="pct"/>
            <w:tcBorders>
              <w:top w:val="nil"/>
              <w:left w:val="nil"/>
              <w:bottom w:val="single" w:sz="4" w:space="0" w:color="auto"/>
              <w:right w:val="single" w:sz="4" w:space="0" w:color="auto"/>
            </w:tcBorders>
            <w:shd w:val="clear" w:color="auto" w:fill="BFBFBF"/>
            <w:noWrap/>
            <w:textDirection w:val="lrTb"/>
            <w:vAlign w:val="bottom"/>
            <w:hideMark/>
          </w:tcPr>
          <w:p w:rsidR="006C0389" w:rsidRPr="00AA4327" w:rsidP="000008FE">
            <w:pPr>
              <w:bidi w:val="0"/>
              <w:jc w:val="right"/>
              <w:rPr>
                <w:rFonts w:ascii="Times New Roman" w:hAnsi="Times New Roman"/>
                <w:b/>
                <w:bCs/>
                <w:iCs/>
                <w:sz w:val="16"/>
                <w:szCs w:val="16"/>
              </w:rPr>
            </w:pPr>
            <w:r w:rsidRPr="00AA4327">
              <w:rPr>
                <w:rFonts w:ascii="Times New Roman" w:hAnsi="Times New Roman"/>
                <w:b/>
                <w:bCs/>
                <w:iCs/>
                <w:sz w:val="16"/>
                <w:szCs w:val="16"/>
              </w:rPr>
              <w:t>543</w:t>
            </w:r>
          </w:p>
        </w:tc>
      </w:tr>
      <w:tr>
        <w:tblPrEx>
          <w:tblW w:w="5202" w:type="pct"/>
          <w:tblCellMar>
            <w:left w:w="70" w:type="dxa"/>
            <w:right w:w="70" w:type="dxa"/>
          </w:tblCellMar>
          <w:tblLook w:val="04A0"/>
        </w:tblPrEx>
        <w:trPr>
          <w:trHeight w:val="227"/>
        </w:trPr>
        <w:tc>
          <w:tcPr>
            <w:tcW w:w="5000" w:type="pct"/>
            <w:gridSpan w:val="8"/>
            <w:tcBorders>
              <w:top w:val="single" w:sz="4" w:space="0" w:color="auto"/>
              <w:left w:val="nil"/>
              <w:bottom w:val="nil"/>
              <w:right w:val="nil"/>
            </w:tcBorders>
            <w:textDirection w:val="lrTb"/>
            <w:vAlign w:val="top"/>
            <w:hideMark/>
          </w:tcPr>
          <w:p w:rsidR="006C0389" w:rsidP="000008FE">
            <w:pPr>
              <w:autoSpaceDE w:val="0"/>
              <w:autoSpaceDN w:val="0"/>
              <w:bidi w:val="0"/>
              <w:adjustRightInd w:val="0"/>
              <w:rPr>
                <w:rFonts w:ascii="Times New Roman" w:hAnsi="Times New Roman"/>
                <w:sz w:val="16"/>
                <w:szCs w:val="16"/>
              </w:rPr>
            </w:pPr>
            <w:r>
              <w:rPr>
                <w:rFonts w:ascii="Times New Roman" w:hAnsi="Times New Roman"/>
                <w:sz w:val="16"/>
                <w:szCs w:val="16"/>
              </w:rPr>
              <w:t>* V</w:t>
            </w:r>
            <w:r w:rsidRPr="00933E53">
              <w:rPr>
                <w:rFonts w:ascii="Times New Roman" w:hAnsi="Times New Roman"/>
                <w:sz w:val="16"/>
                <w:szCs w:val="16"/>
              </w:rPr>
              <w:t>ýsledok prebytok</w:t>
            </w:r>
            <w:r>
              <w:rPr>
                <w:rFonts w:ascii="Times New Roman" w:hAnsi="Times New Roman"/>
                <w:sz w:val="16"/>
                <w:szCs w:val="16"/>
              </w:rPr>
              <w:t>/schodok</w:t>
            </w:r>
            <w:r w:rsidRPr="00933E53">
              <w:rPr>
                <w:rFonts w:ascii="Times New Roman" w:hAnsi="Times New Roman"/>
                <w:sz w:val="16"/>
                <w:szCs w:val="16"/>
              </w:rPr>
              <w:t xml:space="preserve"> v ESA 2010</w:t>
            </w:r>
            <w:r>
              <w:rPr>
                <w:rFonts w:ascii="Times New Roman" w:hAnsi="Times New Roman"/>
                <w:sz w:val="16"/>
                <w:szCs w:val="16"/>
              </w:rPr>
              <w:t xml:space="preserve"> je</w:t>
            </w:r>
            <w:r w:rsidRPr="00933E53">
              <w:rPr>
                <w:rFonts w:ascii="Times New Roman" w:hAnsi="Times New Roman"/>
                <w:sz w:val="16"/>
                <w:szCs w:val="16"/>
              </w:rPr>
              <w:t xml:space="preserve"> prevzatý z</w:t>
            </w:r>
            <w:r>
              <w:rPr>
                <w:rFonts w:ascii="Times New Roman" w:hAnsi="Times New Roman"/>
                <w:sz w:val="16"/>
                <w:szCs w:val="16"/>
              </w:rPr>
              <w:t> </w:t>
            </w:r>
            <w:r w:rsidRPr="00933E53">
              <w:rPr>
                <w:rFonts w:ascii="Times New Roman" w:hAnsi="Times New Roman"/>
                <w:sz w:val="16"/>
                <w:szCs w:val="16"/>
              </w:rPr>
              <w:t>podkladov</w:t>
            </w:r>
            <w:r>
              <w:rPr>
                <w:rFonts w:ascii="Times New Roman" w:hAnsi="Times New Roman"/>
                <w:sz w:val="16"/>
                <w:szCs w:val="16"/>
              </w:rPr>
              <w:t xml:space="preserve"> od  EXIMBANKY</w:t>
            </w:r>
            <w:r w:rsidRPr="00933E53">
              <w:rPr>
                <w:rFonts w:ascii="Times New Roman" w:hAnsi="Times New Roman"/>
                <w:sz w:val="16"/>
                <w:szCs w:val="16"/>
              </w:rPr>
              <w:t xml:space="preserve"> pre</w:t>
            </w:r>
            <w:r>
              <w:rPr>
                <w:rFonts w:ascii="Times New Roman" w:hAnsi="Times New Roman"/>
                <w:sz w:val="16"/>
                <w:szCs w:val="16"/>
              </w:rPr>
              <w:t xml:space="preserve"> </w:t>
            </w:r>
            <w:r w:rsidRPr="00933E53">
              <w:rPr>
                <w:rFonts w:ascii="Times New Roman" w:hAnsi="Times New Roman"/>
                <w:sz w:val="16"/>
                <w:szCs w:val="16"/>
              </w:rPr>
              <w:t>EUROSTAT do j</w:t>
            </w:r>
            <w:r>
              <w:rPr>
                <w:rFonts w:ascii="Times New Roman" w:hAnsi="Times New Roman"/>
                <w:sz w:val="16"/>
                <w:szCs w:val="16"/>
              </w:rPr>
              <w:t>esennej</w:t>
            </w:r>
            <w:r w:rsidRPr="00933E53">
              <w:rPr>
                <w:rFonts w:ascii="Times New Roman" w:hAnsi="Times New Roman"/>
                <w:sz w:val="16"/>
                <w:szCs w:val="16"/>
              </w:rPr>
              <w:t xml:space="preserve"> notifikácie za rok 2013</w:t>
            </w:r>
            <w:r>
              <w:rPr>
                <w:rFonts w:ascii="Times New Roman" w:hAnsi="Times New Roman"/>
                <w:sz w:val="16"/>
                <w:szCs w:val="16"/>
              </w:rPr>
              <w:t>.</w:t>
            </w:r>
          </w:p>
          <w:p w:rsidR="006C0389" w:rsidRPr="00AA4327" w:rsidP="000008FE">
            <w:pPr>
              <w:bidi w:val="0"/>
              <w:rPr>
                <w:rFonts w:ascii="Times New Roman" w:hAnsi="Times New Roman"/>
                <w:sz w:val="16"/>
                <w:szCs w:val="16"/>
              </w:rPr>
            </w:pPr>
          </w:p>
        </w:tc>
      </w:tr>
    </w:tbl>
    <w:p w:rsidR="006C0389" w:rsidRPr="00626E9E" w:rsidP="006C0389">
      <w:pPr>
        <w:bidi w:val="0"/>
        <w:ind w:firstLine="708"/>
        <w:jc w:val="both"/>
        <w:rPr>
          <w:rFonts w:ascii="Times New Roman" w:hAnsi="Times New Roman"/>
          <w:b/>
          <w:bCs/>
          <w:sz w:val="16"/>
          <w:szCs w:val="16"/>
        </w:rPr>
      </w:pPr>
    </w:p>
    <w:p w:rsidR="006C0389" w:rsidP="006C0389">
      <w:pPr>
        <w:bidi w:val="0"/>
        <w:ind w:firstLine="708"/>
        <w:jc w:val="both"/>
        <w:rPr>
          <w:rFonts w:ascii="Times New Roman" w:hAnsi="Times New Roman"/>
        </w:rPr>
      </w:pPr>
      <w:r>
        <w:rPr>
          <w:rFonts w:ascii="Times New Roman" w:hAnsi="Times New Roman"/>
        </w:rPr>
        <w:t xml:space="preserve">Eximbanka SR (ďalej len „banka“) je zriadená </w:t>
      </w:r>
      <w:r w:rsidRPr="005B7DC4">
        <w:rPr>
          <w:rFonts w:ascii="Times New Roman" w:hAnsi="Times New Roman"/>
        </w:rPr>
        <w:t>zákonom č. 80/1997 Z. z. o Exportno-importnej banke Slovenskej republiky v znení</w:t>
      </w:r>
      <w:r>
        <w:rPr>
          <w:rFonts w:ascii="Times New Roman" w:hAnsi="Times New Roman"/>
        </w:rPr>
        <w:t xml:space="preserve"> v znení neskorších predpisov.</w:t>
      </w:r>
    </w:p>
    <w:p w:rsidR="006C0389" w:rsidRPr="00626E9E" w:rsidP="006C0389">
      <w:pPr>
        <w:bidi w:val="0"/>
        <w:ind w:firstLine="708"/>
        <w:jc w:val="both"/>
        <w:rPr>
          <w:rFonts w:ascii="Times New Roman" w:hAnsi="Times New Roman"/>
          <w:sz w:val="16"/>
          <w:szCs w:val="16"/>
        </w:rPr>
      </w:pPr>
    </w:p>
    <w:p w:rsidR="006C0389" w:rsidP="006C0389">
      <w:pPr>
        <w:bidi w:val="0"/>
        <w:ind w:firstLine="708"/>
        <w:jc w:val="both"/>
        <w:rPr>
          <w:rFonts w:ascii="Times New Roman" w:hAnsi="Times New Roman"/>
        </w:rPr>
      </w:pPr>
      <w:r>
        <w:rPr>
          <w:rFonts w:ascii="Times New Roman" w:hAnsi="Times New Roman"/>
        </w:rPr>
        <w:t>Hlavnými cieľmi a činnosťami banky je zohľadniť</w:t>
      </w:r>
      <w:r w:rsidRPr="005B7DC4">
        <w:rPr>
          <w:rFonts w:ascii="Times New Roman" w:hAnsi="Times New Roman"/>
        </w:rPr>
        <w:t xml:space="preserve"> potreby slovenských exportérov </w:t>
      </w:r>
      <w:r w:rsidR="00003F01">
        <w:rPr>
          <w:rFonts w:ascii="Times New Roman" w:hAnsi="Times New Roman"/>
        </w:rPr>
        <w:t xml:space="preserve">      </w:t>
      </w:r>
      <w:r w:rsidRPr="005B7DC4">
        <w:rPr>
          <w:rFonts w:ascii="Times New Roman" w:hAnsi="Times New Roman"/>
        </w:rPr>
        <w:t>a zámery hospodárskej politiky vlády SR</w:t>
      </w:r>
      <w:r>
        <w:rPr>
          <w:rFonts w:ascii="Times New Roman" w:hAnsi="Times New Roman"/>
        </w:rPr>
        <w:t xml:space="preserve"> v oblasti zahraničného obchodu teritoriálnym a produktovým zameraním podpory exportu, podporou exportných činností bankovými </w:t>
      </w:r>
      <w:r w:rsidR="00003F01">
        <w:rPr>
          <w:rFonts w:ascii="Times New Roman" w:hAnsi="Times New Roman"/>
        </w:rPr>
        <w:t xml:space="preserve">         </w:t>
      </w:r>
      <w:r>
        <w:rPr>
          <w:rFonts w:ascii="Times New Roman" w:hAnsi="Times New Roman"/>
        </w:rPr>
        <w:t>a poisťovacími produktmi a zefektívnením riadenia rizika.</w:t>
      </w:r>
    </w:p>
    <w:p w:rsidR="006C0389" w:rsidRPr="00626E9E" w:rsidP="006C0389">
      <w:pPr>
        <w:bidi w:val="0"/>
        <w:ind w:firstLine="708"/>
        <w:jc w:val="both"/>
        <w:rPr>
          <w:rFonts w:ascii="Times New Roman" w:hAnsi="Times New Roman"/>
          <w:sz w:val="16"/>
          <w:szCs w:val="16"/>
          <w:highlight w:val="yellow"/>
        </w:rPr>
      </w:pPr>
    </w:p>
    <w:p w:rsidR="006C0389" w:rsidP="006C0389">
      <w:pPr>
        <w:bidi w:val="0"/>
        <w:ind w:firstLine="708"/>
        <w:jc w:val="both"/>
        <w:rPr>
          <w:rFonts w:ascii="Times New Roman" w:hAnsi="Times New Roman"/>
        </w:rPr>
      </w:pPr>
      <w:r>
        <w:rPr>
          <w:rFonts w:ascii="Times New Roman" w:hAnsi="Times New Roman"/>
        </w:rPr>
        <w:t xml:space="preserve">Príjmy banky na rok 2016 sú rozpočtované vo výške 1,31 mld. eur. Príjmy </w:t>
      </w:r>
      <w:r w:rsidR="00BC0E40">
        <w:rPr>
          <w:rFonts w:ascii="Times New Roman" w:hAnsi="Times New Roman"/>
        </w:rPr>
        <w:t xml:space="preserve">zo splátok tuzemských </w:t>
      </w:r>
      <w:r>
        <w:rPr>
          <w:rFonts w:ascii="Times New Roman" w:hAnsi="Times New Roman"/>
        </w:rPr>
        <w:t xml:space="preserve">úverov </w:t>
      </w:r>
      <w:r w:rsidR="00BC0E40">
        <w:rPr>
          <w:rFonts w:ascii="Times New Roman" w:hAnsi="Times New Roman"/>
        </w:rPr>
        <w:t xml:space="preserve">a z  pôžičiek sú </w:t>
      </w:r>
      <w:r>
        <w:rPr>
          <w:rFonts w:ascii="Times New Roman" w:hAnsi="Times New Roman"/>
        </w:rPr>
        <w:t xml:space="preserve">vo výške 240 mil. eur a ostatné príjmy vo výške </w:t>
      </w:r>
      <w:r w:rsidR="006244B6">
        <w:rPr>
          <w:rFonts w:ascii="Times New Roman" w:hAnsi="Times New Roman"/>
        </w:rPr>
        <w:br/>
      </w:r>
      <w:r>
        <w:rPr>
          <w:rFonts w:ascii="Times New Roman" w:hAnsi="Times New Roman"/>
        </w:rPr>
        <w:t>1,07 mld. eur predstavujú najmä príjmy z predaja poistenia, záruk a kurzových ziskov. Súčasťou príjmov banky sú aj prostriedky z predchádzajúcich rokov vo výške 154 mil. eur.</w:t>
      </w:r>
    </w:p>
    <w:p w:rsidR="006C0389" w:rsidRPr="00626E9E" w:rsidP="006C0389">
      <w:pPr>
        <w:bidi w:val="0"/>
        <w:ind w:firstLine="708"/>
        <w:jc w:val="both"/>
        <w:rPr>
          <w:rFonts w:ascii="Times New Roman" w:hAnsi="Times New Roman"/>
          <w:sz w:val="16"/>
          <w:szCs w:val="16"/>
        </w:rPr>
      </w:pPr>
    </w:p>
    <w:p w:rsidR="006C0389" w:rsidP="006C0389">
      <w:pPr>
        <w:bidi w:val="0"/>
        <w:ind w:firstLine="709"/>
        <w:jc w:val="both"/>
        <w:rPr>
          <w:rFonts w:ascii="Times New Roman" w:hAnsi="Times New Roman"/>
        </w:rPr>
      </w:pPr>
      <w:r>
        <w:rPr>
          <w:rFonts w:ascii="Times New Roman" w:hAnsi="Times New Roman"/>
        </w:rPr>
        <w:t>Výdavky banky v roku 2016 sú rozpočtované vo výške 1,17 mld. eur. Výdavky sú určené na prevádzku banky - mzdy a s tým súvisiace odvody, náklady na informačné systémy, cestovné, kancelárske potreby a iné.</w:t>
      </w:r>
    </w:p>
    <w:p w:rsidR="006C0389" w:rsidRPr="00626E9E" w:rsidP="006C0389">
      <w:pPr>
        <w:bidi w:val="0"/>
        <w:rPr>
          <w:rFonts w:ascii="Times New Roman" w:hAnsi="Times New Roman"/>
          <w:sz w:val="16"/>
          <w:szCs w:val="16"/>
        </w:rPr>
      </w:pPr>
    </w:p>
    <w:p w:rsidR="006C0389" w:rsidP="006C0389">
      <w:pPr>
        <w:bidi w:val="0"/>
        <w:ind w:firstLine="708"/>
        <w:jc w:val="both"/>
        <w:rPr>
          <w:rFonts w:ascii="Times New Roman" w:hAnsi="Times New Roman"/>
        </w:rPr>
      </w:pPr>
      <w:r w:rsidRPr="00330609">
        <w:rPr>
          <w:rFonts w:ascii="Times New Roman" w:hAnsi="Times New Roman"/>
        </w:rPr>
        <w:t xml:space="preserve">Celkový hotovostný prebytok </w:t>
      </w:r>
      <w:r>
        <w:rPr>
          <w:rFonts w:ascii="Times New Roman" w:hAnsi="Times New Roman"/>
        </w:rPr>
        <w:t>banky</w:t>
      </w:r>
      <w:r w:rsidRPr="00330609">
        <w:rPr>
          <w:rFonts w:ascii="Times New Roman" w:hAnsi="Times New Roman"/>
        </w:rPr>
        <w:t xml:space="preserve"> sa rozpočtuje v roku 201</w:t>
      </w:r>
      <w:r>
        <w:rPr>
          <w:rFonts w:ascii="Times New Roman" w:hAnsi="Times New Roman"/>
        </w:rPr>
        <w:t>6</w:t>
      </w:r>
      <w:r w:rsidRPr="00330609">
        <w:rPr>
          <w:rFonts w:ascii="Times New Roman" w:hAnsi="Times New Roman"/>
        </w:rPr>
        <w:t xml:space="preserve"> v sume </w:t>
      </w:r>
      <w:r>
        <w:rPr>
          <w:rFonts w:ascii="Times New Roman" w:hAnsi="Times New Roman"/>
        </w:rPr>
        <w:t xml:space="preserve">144 mil. </w:t>
      </w:r>
      <w:r w:rsidRPr="00330609">
        <w:rPr>
          <w:rFonts w:ascii="Times New Roman" w:hAnsi="Times New Roman"/>
        </w:rPr>
        <w:t>eur</w:t>
      </w:r>
      <w:r>
        <w:rPr>
          <w:rFonts w:ascii="Times New Roman" w:hAnsi="Times New Roman"/>
        </w:rPr>
        <w:t>,  podľa metodiky ESA 2010</w:t>
      </w:r>
      <w:r w:rsidRPr="00330609">
        <w:rPr>
          <w:rFonts w:ascii="Times New Roman" w:hAnsi="Times New Roman"/>
        </w:rPr>
        <w:t xml:space="preserve"> </w:t>
      </w:r>
      <w:r>
        <w:rPr>
          <w:rFonts w:ascii="Times New Roman" w:hAnsi="Times New Roman"/>
        </w:rPr>
        <w:t>banka dosiahne</w:t>
      </w:r>
      <w:r w:rsidRPr="00330609">
        <w:rPr>
          <w:rFonts w:ascii="Times New Roman" w:hAnsi="Times New Roman"/>
        </w:rPr>
        <w:t xml:space="preserve"> </w:t>
      </w:r>
      <w:r>
        <w:rPr>
          <w:rFonts w:ascii="Times New Roman" w:hAnsi="Times New Roman"/>
        </w:rPr>
        <w:t>prebytok</w:t>
      </w:r>
      <w:r w:rsidRPr="00330609">
        <w:rPr>
          <w:rFonts w:ascii="Times New Roman" w:hAnsi="Times New Roman"/>
        </w:rPr>
        <w:t xml:space="preserve"> vo výške </w:t>
      </w:r>
      <w:r>
        <w:rPr>
          <w:rFonts w:ascii="Times New Roman" w:hAnsi="Times New Roman"/>
        </w:rPr>
        <w:t>163</w:t>
      </w:r>
      <w:r w:rsidRPr="00330609">
        <w:rPr>
          <w:rFonts w:ascii="Times New Roman" w:hAnsi="Times New Roman"/>
        </w:rPr>
        <w:t xml:space="preserve"> tis</w:t>
      </w:r>
      <w:r>
        <w:rPr>
          <w:rFonts w:ascii="Times New Roman" w:hAnsi="Times New Roman"/>
        </w:rPr>
        <w:t>.</w:t>
      </w:r>
      <w:r w:rsidRPr="00330609">
        <w:rPr>
          <w:rFonts w:ascii="Times New Roman" w:hAnsi="Times New Roman"/>
        </w:rPr>
        <w:t xml:space="preserve"> eur</w:t>
      </w:r>
      <w:r>
        <w:rPr>
          <w:rFonts w:ascii="Times New Roman" w:hAnsi="Times New Roman"/>
        </w:rPr>
        <w:t>.</w:t>
      </w:r>
    </w:p>
    <w:p w:rsidR="006C0389" w:rsidP="006C0389">
      <w:pPr>
        <w:bidi w:val="0"/>
        <w:jc w:val="both"/>
        <w:rPr>
          <w:rFonts w:ascii="Times New Roman" w:hAnsi="Times New Roman"/>
        </w:rPr>
      </w:pPr>
    </w:p>
    <w:p w:rsidR="006C0389" w:rsidP="006C0389">
      <w:pPr>
        <w:bidi w:val="0"/>
        <w:jc w:val="both"/>
        <w:rPr>
          <w:rFonts w:ascii="Times New Roman" w:hAnsi="Times New Roman"/>
          <w:b/>
        </w:rPr>
      </w:pPr>
      <w:r>
        <w:rPr>
          <w:rFonts w:ascii="Times New Roman" w:hAnsi="Times New Roman"/>
          <w:b/>
        </w:rPr>
        <w:t>2</w:t>
      </w:r>
      <w:r w:rsidR="00003F01">
        <w:rPr>
          <w:rFonts w:ascii="Times New Roman" w:hAnsi="Times New Roman"/>
          <w:b/>
        </w:rPr>
        <w:t>0</w:t>
      </w:r>
      <w:r w:rsidRPr="000E4AF3">
        <w:rPr>
          <w:rFonts w:ascii="Times New Roman" w:hAnsi="Times New Roman"/>
          <w:b/>
        </w:rPr>
        <w:t xml:space="preserve">. </w:t>
      </w:r>
      <w:r>
        <w:rPr>
          <w:rFonts w:ascii="Times New Roman" w:hAnsi="Times New Roman"/>
          <w:b/>
        </w:rPr>
        <w:t xml:space="preserve">Fond na podporu vzdelávania </w:t>
      </w:r>
    </w:p>
    <w:p w:rsidR="006C0389" w:rsidRPr="00003F01" w:rsidP="006C0389">
      <w:pPr>
        <w:bidi w:val="0"/>
        <w:jc w:val="both"/>
        <w:rPr>
          <w:rFonts w:ascii="Times New Roman" w:hAnsi="Times New Roman"/>
          <w:b/>
          <w:sz w:val="16"/>
          <w:szCs w:val="16"/>
          <w:u w:val="single"/>
        </w:rPr>
      </w:pPr>
    </w:p>
    <w:p w:rsidR="006C0389" w:rsidP="006C0389">
      <w:pPr>
        <w:autoSpaceDE w:val="0"/>
        <w:autoSpaceDN w:val="0"/>
        <w:bidi w:val="0"/>
        <w:adjustRightInd w:val="0"/>
        <w:ind w:firstLine="708"/>
        <w:jc w:val="both"/>
        <w:rPr>
          <w:rFonts w:ascii="Times New Roman" w:hAnsi="Times New Roman"/>
        </w:rPr>
      </w:pPr>
      <w:r w:rsidRPr="00C00234">
        <w:rPr>
          <w:rFonts w:ascii="Times New Roman" w:hAnsi="Times New Roman"/>
        </w:rPr>
        <w:t xml:space="preserve">Fond na podporu vzdelávania (ďalej len „FnPV“) bol zriadený zákonom </w:t>
      </w:r>
      <w:r w:rsidR="006244B6">
        <w:rPr>
          <w:rFonts w:ascii="Times New Roman" w:hAnsi="Times New Roman"/>
        </w:rPr>
        <w:br/>
      </w:r>
      <w:r w:rsidRPr="00C00234">
        <w:rPr>
          <w:rFonts w:ascii="Times New Roman" w:hAnsi="Times New Roman"/>
        </w:rPr>
        <w:t xml:space="preserve">č. 396/2012 Z. z. ako neštátny fond. V zmysle cit. zákona poskytuje pôžičky pre študentov vysokých škôl, pedagogických zamestnancov, odborných zamestnancov škôl (napr. školských psychológov) ako aj študentov doktorandského študijného programu. Štatistický úrad SR zaslal FnPV Výpis z registra organizácií podľa zákona č. 540/2001 Z. z. o štátnej štatistike v znení neskorších predpisov, ktorým oznámil jeho zatriedenie do klasifikácie – 13110 Ústrednej štátnej správy zo dňa 26. 02. 2015. Na základe tohto oznámenia sa FnPV stal subjektom verejnej správy od roku 2015.  </w:t>
      </w:r>
    </w:p>
    <w:p w:rsidR="004F4345"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6244B6"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P="006C0389">
      <w:pPr>
        <w:autoSpaceDE w:val="0"/>
        <w:autoSpaceDN w:val="0"/>
        <w:bidi w:val="0"/>
        <w:adjustRightInd w:val="0"/>
        <w:jc w:val="both"/>
        <w:rPr>
          <w:rFonts w:ascii="Times New Roman" w:hAnsi="Times New Roman"/>
          <w:sz w:val="16"/>
          <w:szCs w:val="16"/>
        </w:rPr>
      </w:pPr>
    </w:p>
    <w:p w:rsidR="0053284A" w:rsidRPr="00003F01" w:rsidP="006C0389">
      <w:pPr>
        <w:autoSpaceDE w:val="0"/>
        <w:autoSpaceDN w:val="0"/>
        <w:bidi w:val="0"/>
        <w:adjustRightInd w:val="0"/>
        <w:jc w:val="both"/>
        <w:rPr>
          <w:rFonts w:ascii="Times New Roman" w:hAnsi="Times New Roman"/>
          <w:sz w:val="16"/>
          <w:szCs w:val="16"/>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76"/>
        <w:gridCol w:w="783"/>
        <w:gridCol w:w="783"/>
        <w:gridCol w:w="814"/>
        <w:gridCol w:w="814"/>
        <w:gridCol w:w="814"/>
        <w:gridCol w:w="814"/>
        <w:gridCol w:w="81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shd w:val="pct35" w:color="000000" w:fill="auto"/>
            <w:noWrap/>
            <w:textDirection w:val="lrTb"/>
            <w:vAlign w:val="center"/>
            <w:hideMark/>
          </w:tcPr>
          <w:p w:rsidR="00705199" w:rsidRPr="00C00234" w:rsidP="000008FE">
            <w:pPr>
              <w:bidi w:val="0"/>
              <w:rPr>
                <w:rFonts w:ascii="Times New Roman" w:hAnsi="Times New Roman"/>
                <w:b/>
                <w:bCs/>
                <w:sz w:val="16"/>
                <w:szCs w:val="16"/>
              </w:rPr>
            </w:pPr>
            <w:r w:rsidRPr="00C00234">
              <w:rPr>
                <w:rFonts w:ascii="Times New Roman" w:hAnsi="Times New Roman"/>
                <w:b/>
                <w:bCs/>
                <w:sz w:val="16"/>
                <w:szCs w:val="16"/>
              </w:rPr>
              <w:t xml:space="preserve">v tis. eur </w:t>
            </w:r>
          </w:p>
        </w:tc>
        <w:tc>
          <w:tcPr>
            <w:tcW w:w="425" w:type="pct"/>
            <w:tcBorders>
              <w:top w:val="single" w:sz="4" w:space="0" w:color="auto"/>
              <w:left w:val="single" w:sz="4" w:space="0" w:color="auto"/>
              <w:bottom w:val="single" w:sz="4" w:space="0" w:color="auto"/>
              <w:right w:val="single" w:sz="4" w:space="0" w:color="auto"/>
            </w:tcBorders>
            <w:shd w:val="pct35" w:color="000000" w:fill="auto"/>
            <w:textDirection w:val="lrTb"/>
            <w:vAlign w:val="bottom"/>
          </w:tcPr>
          <w:p w:rsidR="00705199" w:rsidRPr="007903DA" w:rsidP="00705199">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2013 S</w:t>
            </w:r>
          </w:p>
        </w:tc>
        <w:tc>
          <w:tcPr>
            <w:tcW w:w="425" w:type="pct"/>
            <w:tcBorders>
              <w:top w:val="single" w:sz="4" w:space="0" w:color="auto"/>
              <w:left w:val="single" w:sz="4" w:space="0" w:color="auto"/>
              <w:bottom w:val="single" w:sz="4" w:space="0" w:color="auto"/>
              <w:right w:val="single" w:sz="4" w:space="0" w:color="auto"/>
            </w:tcBorders>
            <w:shd w:val="pct35" w:color="000000" w:fill="auto"/>
            <w:textDirection w:val="lrTb"/>
            <w:vAlign w:val="bottom"/>
          </w:tcPr>
          <w:p w:rsidR="00705199" w:rsidRPr="007903DA" w:rsidP="003553EB">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2014 S</w:t>
            </w:r>
          </w:p>
        </w:tc>
        <w:tc>
          <w:tcPr>
            <w:tcW w:w="442" w:type="pct"/>
            <w:tcBorders>
              <w:top w:val="single" w:sz="4" w:space="0" w:color="auto"/>
              <w:left w:val="single" w:sz="4" w:space="0" w:color="auto"/>
              <w:bottom w:val="single" w:sz="4" w:space="0" w:color="auto"/>
              <w:right w:val="single" w:sz="4" w:space="0" w:color="auto"/>
            </w:tcBorders>
            <w:shd w:val="pct35" w:color="000000" w:fill="auto"/>
            <w:textDirection w:val="lrTb"/>
            <w:vAlign w:val="bottom"/>
          </w:tcPr>
          <w:p w:rsidR="00705199" w:rsidRPr="007903DA" w:rsidP="003553EB">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2015 R</w:t>
            </w:r>
          </w:p>
        </w:tc>
        <w:tc>
          <w:tcPr>
            <w:tcW w:w="442" w:type="pct"/>
            <w:tcBorders>
              <w:top w:val="single" w:sz="4" w:space="0" w:color="auto"/>
              <w:left w:val="single" w:sz="4" w:space="0" w:color="auto"/>
              <w:bottom w:val="single" w:sz="4" w:space="0" w:color="auto"/>
              <w:right w:val="single" w:sz="4" w:space="0" w:color="auto"/>
            </w:tcBorders>
            <w:shd w:val="pct35" w:color="000000" w:fill="auto"/>
            <w:textDirection w:val="lrTb"/>
            <w:vAlign w:val="bottom"/>
          </w:tcPr>
          <w:p w:rsidR="00705199" w:rsidRPr="007903DA" w:rsidP="003553EB">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2015 OS</w:t>
            </w:r>
          </w:p>
        </w:tc>
        <w:tc>
          <w:tcPr>
            <w:tcW w:w="442" w:type="pct"/>
            <w:tcBorders>
              <w:top w:val="single" w:sz="4" w:space="0" w:color="auto"/>
              <w:left w:val="single" w:sz="4" w:space="0" w:color="auto"/>
              <w:bottom w:val="single" w:sz="4" w:space="0" w:color="auto"/>
              <w:right w:val="single" w:sz="4" w:space="0" w:color="auto"/>
            </w:tcBorders>
            <w:shd w:val="pct35" w:color="000000" w:fill="auto"/>
            <w:textDirection w:val="lrTb"/>
            <w:vAlign w:val="bottom"/>
          </w:tcPr>
          <w:p w:rsidR="00705199" w:rsidRPr="007903DA" w:rsidP="003553EB">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2016 N</w:t>
            </w:r>
          </w:p>
        </w:tc>
        <w:tc>
          <w:tcPr>
            <w:tcW w:w="442" w:type="pct"/>
            <w:tcBorders>
              <w:top w:val="single" w:sz="4" w:space="0" w:color="auto"/>
              <w:left w:val="single" w:sz="4" w:space="0" w:color="auto"/>
              <w:bottom w:val="single" w:sz="4" w:space="0" w:color="auto"/>
              <w:right w:val="single" w:sz="4" w:space="0" w:color="auto"/>
            </w:tcBorders>
            <w:shd w:val="pct35" w:color="000000" w:fill="auto"/>
            <w:textDirection w:val="lrTb"/>
            <w:vAlign w:val="bottom"/>
          </w:tcPr>
          <w:p w:rsidR="00705199" w:rsidRPr="007903DA" w:rsidP="003553EB">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2017 N</w:t>
            </w:r>
          </w:p>
        </w:tc>
        <w:tc>
          <w:tcPr>
            <w:tcW w:w="441" w:type="pct"/>
            <w:tcBorders>
              <w:top w:val="single" w:sz="4" w:space="0" w:color="auto"/>
              <w:left w:val="single" w:sz="4" w:space="0" w:color="auto"/>
              <w:bottom w:val="single" w:sz="4" w:space="0" w:color="auto"/>
              <w:right w:val="single" w:sz="4" w:space="0" w:color="auto"/>
            </w:tcBorders>
            <w:shd w:val="pct35" w:color="000000" w:fill="auto"/>
            <w:textDirection w:val="lrTb"/>
            <w:vAlign w:val="bottom"/>
          </w:tcPr>
          <w:p w:rsidR="00705199" w:rsidRPr="007903DA" w:rsidP="003553EB">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2018 N</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0008FE">
            <w:pPr>
              <w:bidi w:val="0"/>
              <w:rPr>
                <w:rFonts w:ascii="Times New Roman" w:hAnsi="Times New Roman"/>
                <w:b/>
                <w:bCs/>
                <w:iCs/>
                <w:sz w:val="16"/>
                <w:szCs w:val="16"/>
              </w:rPr>
            </w:pPr>
            <w:r w:rsidRPr="00C00234">
              <w:rPr>
                <w:rFonts w:ascii="Times New Roman" w:hAnsi="Times New Roman"/>
                <w:b/>
                <w:bCs/>
                <w:iCs/>
                <w:sz w:val="16"/>
                <w:szCs w:val="16"/>
              </w:rPr>
              <w:t>Príjmy Fondu na podporu vzdelávania spolu</w:t>
            </w:r>
          </w:p>
        </w:tc>
        <w:tc>
          <w:tcPr>
            <w:tcW w:w="425"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12357C">
            <w:pPr>
              <w:bidi w:val="0"/>
              <w:jc w:val="center"/>
              <w:rPr>
                <w:rFonts w:ascii="Times New Roman" w:hAnsi="Times New Roman"/>
                <w:b/>
                <w:bCs/>
                <w:iCs/>
                <w:sz w:val="16"/>
                <w:szCs w:val="16"/>
              </w:rPr>
            </w:pPr>
            <w:r>
              <w:rPr>
                <w:rFonts w:ascii="Times New Roman" w:hAnsi="Times New Roman"/>
                <w:b/>
                <w:bCs/>
                <w:iCs/>
                <w:sz w:val="16"/>
                <w:szCs w:val="16"/>
              </w:rPr>
              <w:t>-</w:t>
            </w:r>
          </w:p>
        </w:tc>
        <w:tc>
          <w:tcPr>
            <w:tcW w:w="425"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12357C">
            <w:pPr>
              <w:bidi w:val="0"/>
              <w:jc w:val="center"/>
              <w:rPr>
                <w:rFonts w:ascii="Times New Roman" w:hAnsi="Times New Roman"/>
                <w:b/>
                <w:bCs/>
                <w:iCs/>
                <w:sz w:val="16"/>
                <w:szCs w:val="16"/>
              </w:rPr>
            </w:pPr>
            <w:r>
              <w:rPr>
                <w:rFonts w:ascii="Times New Roman" w:hAnsi="Times New Roman"/>
                <w:b/>
                <w:bCs/>
                <w:iCs/>
                <w:sz w:val="16"/>
                <w:szCs w:val="16"/>
              </w:rPr>
              <w:t>-</w:t>
            </w:r>
          </w:p>
        </w:tc>
        <w:tc>
          <w:tcPr>
            <w:tcW w:w="442"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12357C">
            <w:pPr>
              <w:bidi w:val="0"/>
              <w:jc w:val="center"/>
              <w:rPr>
                <w:rFonts w:ascii="Times New Roman" w:hAnsi="Times New Roman"/>
                <w:b/>
                <w:bCs/>
                <w:iCs/>
                <w:sz w:val="16"/>
                <w:szCs w:val="16"/>
              </w:rPr>
            </w:pPr>
            <w:r>
              <w:rPr>
                <w:rFonts w:ascii="Times New Roman" w:hAnsi="Times New Roman"/>
                <w:b/>
                <w:bCs/>
                <w:iCs/>
                <w:sz w:val="16"/>
                <w:szCs w:val="16"/>
              </w:rPr>
              <w:t>-</w:t>
            </w:r>
          </w:p>
        </w:tc>
        <w:tc>
          <w:tcPr>
            <w:tcW w:w="442"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0008FE">
            <w:pPr>
              <w:bidi w:val="0"/>
              <w:jc w:val="right"/>
              <w:rPr>
                <w:rFonts w:ascii="Times New Roman" w:hAnsi="Times New Roman"/>
                <w:b/>
                <w:bCs/>
                <w:iCs/>
                <w:sz w:val="16"/>
                <w:szCs w:val="16"/>
              </w:rPr>
            </w:pPr>
            <w:r w:rsidRPr="00C00234">
              <w:rPr>
                <w:rFonts w:ascii="Times New Roman" w:hAnsi="Times New Roman"/>
                <w:b/>
                <w:bCs/>
                <w:iCs/>
                <w:sz w:val="16"/>
                <w:szCs w:val="16"/>
              </w:rPr>
              <w:t>12 367</w:t>
            </w:r>
          </w:p>
        </w:tc>
        <w:tc>
          <w:tcPr>
            <w:tcW w:w="442"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0008FE">
            <w:pPr>
              <w:bidi w:val="0"/>
              <w:jc w:val="right"/>
              <w:rPr>
                <w:rFonts w:ascii="Times New Roman" w:hAnsi="Times New Roman"/>
                <w:b/>
                <w:bCs/>
                <w:iCs/>
                <w:sz w:val="16"/>
                <w:szCs w:val="16"/>
              </w:rPr>
            </w:pPr>
            <w:r w:rsidRPr="00C00234">
              <w:rPr>
                <w:rFonts w:ascii="Times New Roman" w:hAnsi="Times New Roman"/>
                <w:b/>
                <w:bCs/>
                <w:iCs/>
                <w:sz w:val="16"/>
                <w:szCs w:val="16"/>
              </w:rPr>
              <w:t>9 115</w:t>
            </w:r>
          </w:p>
        </w:tc>
        <w:tc>
          <w:tcPr>
            <w:tcW w:w="442"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0008FE">
            <w:pPr>
              <w:bidi w:val="0"/>
              <w:jc w:val="right"/>
              <w:rPr>
                <w:rFonts w:ascii="Times New Roman" w:hAnsi="Times New Roman"/>
                <w:b/>
                <w:bCs/>
                <w:iCs/>
                <w:sz w:val="16"/>
                <w:szCs w:val="16"/>
              </w:rPr>
            </w:pPr>
            <w:r w:rsidRPr="00C00234">
              <w:rPr>
                <w:rFonts w:ascii="Times New Roman" w:hAnsi="Times New Roman"/>
                <w:b/>
                <w:bCs/>
                <w:iCs/>
                <w:sz w:val="16"/>
                <w:szCs w:val="16"/>
              </w:rPr>
              <w:t>7 34</w:t>
            </w:r>
            <w:r>
              <w:rPr>
                <w:rFonts w:ascii="Times New Roman" w:hAnsi="Times New Roman"/>
                <w:b/>
                <w:bCs/>
                <w:iCs/>
                <w:sz w:val="16"/>
                <w:szCs w:val="16"/>
              </w:rPr>
              <w:t>5</w:t>
            </w:r>
          </w:p>
        </w:tc>
        <w:tc>
          <w:tcPr>
            <w:tcW w:w="441"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0008FE">
            <w:pPr>
              <w:bidi w:val="0"/>
              <w:jc w:val="right"/>
              <w:rPr>
                <w:rFonts w:ascii="Times New Roman" w:hAnsi="Times New Roman"/>
                <w:b/>
                <w:bCs/>
                <w:iCs/>
                <w:sz w:val="16"/>
                <w:szCs w:val="16"/>
              </w:rPr>
            </w:pPr>
            <w:r w:rsidRPr="00C00234">
              <w:rPr>
                <w:rFonts w:ascii="Times New Roman" w:hAnsi="Times New Roman"/>
                <w:b/>
                <w:bCs/>
                <w:iCs/>
                <w:sz w:val="16"/>
                <w:szCs w:val="16"/>
              </w:rPr>
              <w:t>7 74</w:t>
            </w:r>
            <w:r>
              <w:rPr>
                <w:rFonts w:ascii="Times New Roman" w:hAnsi="Times New Roman"/>
                <w:b/>
                <w:bCs/>
                <w:iCs/>
                <w:sz w:val="16"/>
                <w:szCs w:val="16"/>
              </w:rPr>
              <w:t>3</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rPr>
                <w:rFonts w:ascii="Times New Roman" w:hAnsi="Times New Roman"/>
                <w:bCs/>
                <w:iCs/>
                <w:sz w:val="16"/>
                <w:szCs w:val="16"/>
              </w:rPr>
            </w:pPr>
            <w:r w:rsidRPr="00C00234">
              <w:rPr>
                <w:rFonts w:ascii="Times New Roman" w:hAnsi="Times New Roman"/>
                <w:bCs/>
                <w:iCs/>
                <w:sz w:val="16"/>
                <w:szCs w:val="16"/>
              </w:rPr>
              <w:t>z toho:</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705199" w:rsidRPr="00C00234" w:rsidP="000008FE">
            <w:pPr>
              <w:bidi w:val="0"/>
              <w:jc w:val="right"/>
              <w:rPr>
                <w:rFonts w:ascii="Times New Roman" w:hAnsi="Times New Roman"/>
                <w:bCs/>
                <w:iCs/>
                <w:sz w:val="16"/>
                <w:szCs w:val="16"/>
              </w:rPr>
            </w:pP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705199" w:rsidRPr="00C00234" w:rsidP="000008FE">
            <w:pPr>
              <w:bidi w:val="0"/>
              <w:jc w:val="right"/>
              <w:rPr>
                <w:rFonts w:ascii="Times New Roman" w:hAnsi="Times New Roman"/>
                <w:bCs/>
                <w:iCs/>
                <w:sz w:val="16"/>
                <w:szCs w:val="16"/>
              </w:rPr>
            </w:pPr>
          </w:p>
        </w:tc>
        <w:tc>
          <w:tcPr>
            <w:tcW w:w="442" w:type="pct"/>
            <w:tcBorders>
              <w:top w:val="single" w:sz="4" w:space="0" w:color="auto"/>
              <w:left w:val="single" w:sz="4" w:space="0" w:color="auto"/>
              <w:bottom w:val="single" w:sz="4" w:space="0" w:color="auto"/>
              <w:right w:val="single" w:sz="4" w:space="0" w:color="auto"/>
            </w:tcBorders>
            <w:noWrap/>
            <w:textDirection w:val="lrTb"/>
            <w:vAlign w:val="bottom"/>
          </w:tcPr>
          <w:p w:rsidR="00705199" w:rsidRPr="00C00234" w:rsidP="000008FE">
            <w:pPr>
              <w:bidi w:val="0"/>
              <w:jc w:val="right"/>
              <w:rPr>
                <w:rFonts w:ascii="Times New Roman" w:hAnsi="Times New Roman"/>
                <w:bCs/>
                <w:iCs/>
                <w:sz w:val="16"/>
                <w:szCs w:val="16"/>
              </w:rPr>
            </w:pPr>
          </w:p>
        </w:tc>
        <w:tc>
          <w:tcPr>
            <w:tcW w:w="441" w:type="pct"/>
            <w:tcBorders>
              <w:top w:val="single" w:sz="4" w:space="0" w:color="auto"/>
              <w:left w:val="single" w:sz="4" w:space="0" w:color="auto"/>
              <w:bottom w:val="single" w:sz="4" w:space="0" w:color="auto"/>
              <w:right w:val="single" w:sz="4" w:space="0" w:color="auto"/>
            </w:tcBorders>
            <w:noWrap/>
            <w:textDirection w:val="lrTb"/>
            <w:vAlign w:val="bottom"/>
          </w:tcPr>
          <w:p w:rsidR="00705199" w:rsidRPr="00C00234" w:rsidP="000008FE">
            <w:pPr>
              <w:bidi w:val="0"/>
              <w:jc w:val="right"/>
              <w:rPr>
                <w:rFonts w:ascii="Times New Roman" w:hAnsi="Times New Roman"/>
                <w:bCs/>
                <w:iCs/>
                <w:sz w:val="16"/>
                <w:szCs w:val="16"/>
              </w:rPr>
            </w:pP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rPr>
                <w:rFonts w:ascii="Times New Roman" w:hAnsi="Times New Roman"/>
                <w:bCs/>
                <w:iCs/>
                <w:sz w:val="16"/>
                <w:szCs w:val="16"/>
              </w:rPr>
            </w:pPr>
            <w:r w:rsidRPr="00C00234">
              <w:rPr>
                <w:rFonts w:ascii="Times New Roman" w:hAnsi="Times New Roman"/>
                <w:bCs/>
                <w:iCs/>
                <w:sz w:val="16"/>
                <w:szCs w:val="16"/>
              </w:rPr>
              <w:t>▪ nedaňové príjmy</w:t>
            </w:r>
            <w:r>
              <w:rPr>
                <w:rFonts w:ascii="Times New Roman" w:hAnsi="Times New Roman"/>
                <w:bCs/>
                <w:iCs/>
                <w:sz w:val="16"/>
                <w:szCs w:val="16"/>
              </w:rPr>
              <w:t>, z toho:</w:t>
            </w:r>
            <w:r w:rsidRPr="00C00234">
              <w:rPr>
                <w:rFonts w:ascii="Times New Roman" w:hAnsi="Times New Roman"/>
                <w:bCs/>
                <w:iCs/>
                <w:sz w:val="16"/>
                <w:szCs w:val="16"/>
              </w:rPr>
              <w:t xml:space="preserve"> </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1 000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1 022</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1 057</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1 087</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ind w:firstLine="160" w:firstLineChars="100"/>
              <w:rPr>
                <w:rFonts w:ascii="Times New Roman" w:hAnsi="Times New Roman"/>
                <w:color w:val="000000"/>
                <w:sz w:val="16"/>
                <w:szCs w:val="16"/>
              </w:rPr>
            </w:pPr>
            <w:r w:rsidRPr="00C00234">
              <w:rPr>
                <w:rFonts w:ascii="Times New Roman" w:hAnsi="Times New Roman"/>
                <w:color w:val="000000"/>
                <w:sz w:val="16"/>
                <w:szCs w:val="16"/>
              </w:rPr>
              <w:t xml:space="preserve">       príjmy z podnikania a vlastníctva majetku</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53</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42</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42</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42</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ind w:firstLine="160" w:firstLineChars="100"/>
              <w:rPr>
                <w:rFonts w:ascii="Times New Roman" w:hAnsi="Times New Roman"/>
                <w:color w:val="000000"/>
                <w:sz w:val="16"/>
                <w:szCs w:val="16"/>
              </w:rPr>
            </w:pPr>
            <w:r w:rsidRPr="00C00234">
              <w:rPr>
                <w:rFonts w:ascii="Times New Roman" w:hAnsi="Times New Roman"/>
                <w:color w:val="000000"/>
                <w:sz w:val="16"/>
                <w:szCs w:val="16"/>
              </w:rPr>
              <w:t xml:space="preserve">       admin. poplatky a iné poplatky</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58</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45</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45</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45</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ind w:firstLine="160" w:firstLineChars="100"/>
              <w:rPr>
                <w:rFonts w:ascii="Times New Roman" w:hAnsi="Times New Roman"/>
                <w:color w:val="000000"/>
                <w:sz w:val="16"/>
                <w:szCs w:val="16"/>
              </w:rPr>
            </w:pPr>
            <w:r w:rsidRPr="00C00234">
              <w:rPr>
                <w:rFonts w:ascii="Times New Roman" w:hAnsi="Times New Roman"/>
                <w:color w:val="000000"/>
                <w:sz w:val="16"/>
                <w:szCs w:val="16"/>
              </w:rPr>
              <w:t xml:space="preserve">       kapitálové príjmy</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0</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0</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ind w:firstLine="160" w:firstLineChars="100"/>
              <w:rPr>
                <w:rFonts w:ascii="Times New Roman" w:hAnsi="Times New Roman"/>
                <w:sz w:val="16"/>
                <w:szCs w:val="16"/>
              </w:rPr>
            </w:pPr>
            <w:r w:rsidRPr="00C00234">
              <w:rPr>
                <w:rFonts w:ascii="Times New Roman" w:hAnsi="Times New Roman"/>
                <w:sz w:val="16"/>
                <w:szCs w:val="16"/>
              </w:rPr>
              <w:t xml:space="preserve">       úroky z tuzemských úverov, pôžičiek, NFV</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764</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800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830</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850</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ind w:firstLine="160" w:firstLineChars="100"/>
              <w:rPr>
                <w:rFonts w:ascii="Times New Roman" w:hAnsi="Times New Roman"/>
                <w:sz w:val="16"/>
                <w:szCs w:val="16"/>
              </w:rPr>
            </w:pPr>
            <w:r w:rsidRPr="00C00234">
              <w:rPr>
                <w:rFonts w:ascii="Times New Roman" w:hAnsi="Times New Roman"/>
                <w:sz w:val="16"/>
                <w:szCs w:val="16"/>
              </w:rPr>
              <w:t xml:space="preserve">       iné nedaňové príjmy</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125</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135</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140</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150</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rPr>
                <w:rFonts w:ascii="Times New Roman" w:hAnsi="Times New Roman"/>
                <w:bCs/>
                <w:iCs/>
                <w:sz w:val="16"/>
                <w:szCs w:val="16"/>
              </w:rPr>
            </w:pPr>
            <w:r w:rsidRPr="00C00234">
              <w:rPr>
                <w:rFonts w:ascii="Times New Roman" w:hAnsi="Times New Roman"/>
                <w:bCs/>
                <w:iCs/>
                <w:sz w:val="16"/>
                <w:szCs w:val="16"/>
              </w:rPr>
              <w:t>▪ granty a transfery</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0</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0</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rPr>
                <w:rFonts w:ascii="Times New Roman" w:hAnsi="Times New Roman"/>
                <w:bCs/>
                <w:iCs/>
                <w:sz w:val="16"/>
                <w:szCs w:val="16"/>
              </w:rPr>
            </w:pPr>
            <w:r w:rsidRPr="00E91924">
              <w:rPr>
                <w:rFonts w:ascii="Times New Roman" w:hAnsi="Times New Roman"/>
                <w:bCs/>
                <w:iCs/>
                <w:sz w:val="16"/>
                <w:szCs w:val="16"/>
              </w:rPr>
              <w:t xml:space="preserve">▪ </w:t>
            </w:r>
            <w:r>
              <w:rPr>
                <w:rFonts w:ascii="Times New Roman" w:hAnsi="Times New Roman"/>
                <w:bCs/>
                <w:iCs/>
                <w:sz w:val="16"/>
                <w:szCs w:val="16"/>
              </w:rPr>
              <w:t xml:space="preserve">príjmy z transakcií s fin. akt. a pas. (FO), v tom: </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11 366</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8 093</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6 28</w:t>
            </w:r>
            <w:r>
              <w:rPr>
                <w:rFonts w:ascii="Times New Roman" w:hAnsi="Times New Roman"/>
                <w:bCs/>
                <w:iCs/>
                <w:sz w:val="16"/>
                <w:szCs w:val="16"/>
              </w:rPr>
              <w:t>8</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6 65</w:t>
            </w:r>
            <w:r>
              <w:rPr>
                <w:rFonts w:ascii="Times New Roman" w:hAnsi="Times New Roman"/>
                <w:bCs/>
                <w:iCs/>
                <w:sz w:val="16"/>
                <w:szCs w:val="16"/>
              </w:rPr>
              <w:t>6</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textDirection w:val="lrTb"/>
            <w:vAlign w:val="bottom"/>
            <w:hideMark/>
          </w:tcPr>
          <w:p w:rsidR="00705199" w:rsidRPr="00C00234" w:rsidP="000008FE">
            <w:pPr>
              <w:bidi w:val="0"/>
              <w:ind w:firstLine="320" w:firstLineChars="200"/>
              <w:rPr>
                <w:rFonts w:ascii="Times New Roman" w:hAnsi="Times New Roman"/>
                <w:sz w:val="16"/>
                <w:szCs w:val="16"/>
              </w:rPr>
            </w:pPr>
            <w:r w:rsidRPr="00C00234">
              <w:rPr>
                <w:rFonts w:ascii="Times New Roman" w:hAnsi="Times New Roman"/>
                <w:sz w:val="16"/>
                <w:szCs w:val="16"/>
              </w:rPr>
              <w:t xml:space="preserve">   zo splátok úverov fyzickej osoby</w:t>
            </w:r>
          </w:p>
        </w:tc>
        <w:tc>
          <w:tcPr>
            <w:tcW w:w="425" w:type="pct"/>
            <w:tcBorders>
              <w:top w:val="single" w:sz="4" w:space="0" w:color="auto"/>
              <w:left w:val="single" w:sz="4" w:space="0" w:color="auto"/>
              <w:bottom w:val="single" w:sz="4" w:space="0" w:color="auto"/>
              <w:right w:val="single" w:sz="4" w:space="0" w:color="auto"/>
            </w:tcBorders>
            <w:textDirection w:val="lrTb"/>
            <w:vAlign w:val="bottom"/>
            <w:hideMark/>
          </w:tcPr>
          <w:p w:rsidR="00705199" w:rsidRPr="00C00234" w:rsidP="0012357C">
            <w:pPr>
              <w:bidi w:val="0"/>
              <w:jc w:val="center"/>
              <w:rPr>
                <w:rFonts w:ascii="Times New Roman" w:hAnsi="Times New Roman"/>
                <w:sz w:val="16"/>
                <w:szCs w:val="16"/>
              </w:rPr>
            </w:pPr>
            <w:r>
              <w:rPr>
                <w:rFonts w:ascii="Times New Roman" w:hAnsi="Times New Roman"/>
                <w:sz w:val="16"/>
                <w:szCs w:val="16"/>
              </w:rPr>
              <w:t>-</w:t>
            </w:r>
          </w:p>
        </w:tc>
        <w:tc>
          <w:tcPr>
            <w:tcW w:w="425" w:type="pct"/>
            <w:tcBorders>
              <w:top w:val="single" w:sz="4" w:space="0" w:color="auto"/>
              <w:left w:val="single" w:sz="4" w:space="0" w:color="auto"/>
              <w:bottom w:val="single" w:sz="4" w:space="0" w:color="auto"/>
              <w:right w:val="single" w:sz="4" w:space="0" w:color="auto"/>
            </w:tcBorders>
            <w:textDirection w:val="lrTb"/>
            <w:vAlign w:val="bottom"/>
            <w:hideMark/>
          </w:tcPr>
          <w:p w:rsidR="00705199" w:rsidRPr="00C00234" w:rsidP="0012357C">
            <w:pPr>
              <w:bidi w:val="0"/>
              <w:jc w:val="center"/>
              <w:rPr>
                <w:rFonts w:ascii="Times New Roman" w:hAnsi="Times New Roman"/>
                <w:sz w:val="16"/>
                <w:szCs w:val="16"/>
              </w:rPr>
            </w:pPr>
            <w:r>
              <w:rPr>
                <w:rFonts w:ascii="Times New Roman" w:hAnsi="Times New Roman"/>
                <w:sz w:val="16"/>
                <w:szCs w:val="16"/>
              </w:rPr>
              <w:t>-</w:t>
            </w:r>
          </w:p>
        </w:tc>
        <w:tc>
          <w:tcPr>
            <w:tcW w:w="442" w:type="pct"/>
            <w:tcBorders>
              <w:top w:val="single" w:sz="4" w:space="0" w:color="auto"/>
              <w:left w:val="single" w:sz="4" w:space="0" w:color="auto"/>
              <w:bottom w:val="single" w:sz="4" w:space="0" w:color="auto"/>
              <w:right w:val="single" w:sz="4" w:space="0" w:color="auto"/>
            </w:tcBorders>
            <w:textDirection w:val="lrTb"/>
            <w:vAlign w:val="bottom"/>
            <w:hideMark/>
          </w:tcPr>
          <w:p w:rsidR="00705199" w:rsidRPr="00C00234" w:rsidP="0012357C">
            <w:pPr>
              <w:bidi w:val="0"/>
              <w:jc w:val="center"/>
              <w:rPr>
                <w:rFonts w:ascii="Times New Roman" w:hAnsi="Times New Roman"/>
                <w:sz w:val="16"/>
                <w:szCs w:val="16"/>
              </w:rPr>
            </w:pPr>
            <w:r>
              <w:rPr>
                <w:rFonts w:ascii="Times New Roman" w:hAnsi="Times New Roman"/>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4 900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5 000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5 000</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5 200</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textDirection w:val="lrTb"/>
            <w:vAlign w:val="bottom"/>
            <w:hideMark/>
          </w:tcPr>
          <w:p w:rsidR="00705199" w:rsidRPr="00C00234" w:rsidP="000008FE">
            <w:pPr>
              <w:bidi w:val="0"/>
              <w:ind w:firstLine="160" w:firstLineChars="100"/>
              <w:rPr>
                <w:rFonts w:ascii="Times New Roman" w:hAnsi="Times New Roman"/>
                <w:sz w:val="16"/>
                <w:szCs w:val="16"/>
              </w:rPr>
            </w:pPr>
            <w:r>
              <w:rPr>
                <w:rFonts w:ascii="Times New Roman" w:hAnsi="Times New Roman"/>
                <w:sz w:val="16"/>
                <w:szCs w:val="16"/>
              </w:rPr>
              <w:t xml:space="preserve">      z</w:t>
            </w:r>
            <w:r w:rsidRPr="00C00234">
              <w:rPr>
                <w:rFonts w:ascii="Times New Roman" w:hAnsi="Times New Roman"/>
                <w:sz w:val="16"/>
                <w:szCs w:val="16"/>
              </w:rPr>
              <w:t>ostatok prostried</w:t>
            </w:r>
            <w:r>
              <w:rPr>
                <w:rFonts w:ascii="Times New Roman" w:hAnsi="Times New Roman"/>
                <w:sz w:val="16"/>
                <w:szCs w:val="16"/>
              </w:rPr>
              <w:t>.</w:t>
            </w:r>
            <w:r w:rsidRPr="00C00234">
              <w:rPr>
                <w:rFonts w:ascii="Times New Roman" w:hAnsi="Times New Roman"/>
                <w:sz w:val="16"/>
                <w:szCs w:val="16"/>
              </w:rPr>
              <w:t xml:space="preserve">  z predchádzajúceho roka </w:t>
            </w:r>
          </w:p>
        </w:tc>
        <w:tc>
          <w:tcPr>
            <w:tcW w:w="425" w:type="pct"/>
            <w:tcBorders>
              <w:top w:val="single" w:sz="4" w:space="0" w:color="auto"/>
              <w:left w:val="single" w:sz="4" w:space="0" w:color="auto"/>
              <w:bottom w:val="single" w:sz="4" w:space="0" w:color="auto"/>
              <w:right w:val="single" w:sz="4" w:space="0" w:color="auto"/>
            </w:tcBorders>
            <w:textDirection w:val="lrTb"/>
            <w:vAlign w:val="bottom"/>
            <w:hideMark/>
          </w:tcPr>
          <w:p w:rsidR="00705199" w:rsidRPr="00C00234" w:rsidP="0012357C">
            <w:pPr>
              <w:bidi w:val="0"/>
              <w:jc w:val="center"/>
              <w:rPr>
                <w:rFonts w:ascii="Times New Roman" w:hAnsi="Times New Roman"/>
                <w:sz w:val="16"/>
                <w:szCs w:val="16"/>
              </w:rPr>
            </w:pPr>
            <w:r>
              <w:rPr>
                <w:rFonts w:ascii="Times New Roman" w:hAnsi="Times New Roman"/>
                <w:sz w:val="16"/>
                <w:szCs w:val="16"/>
              </w:rPr>
              <w:t>-</w:t>
            </w:r>
          </w:p>
        </w:tc>
        <w:tc>
          <w:tcPr>
            <w:tcW w:w="425" w:type="pct"/>
            <w:tcBorders>
              <w:top w:val="single" w:sz="4" w:space="0" w:color="auto"/>
              <w:left w:val="single" w:sz="4" w:space="0" w:color="auto"/>
              <w:bottom w:val="single" w:sz="4" w:space="0" w:color="auto"/>
              <w:right w:val="single" w:sz="4" w:space="0" w:color="auto"/>
            </w:tcBorders>
            <w:textDirection w:val="lrTb"/>
            <w:vAlign w:val="bottom"/>
            <w:hideMark/>
          </w:tcPr>
          <w:p w:rsidR="00705199" w:rsidRPr="00C00234" w:rsidP="0012357C">
            <w:pPr>
              <w:bidi w:val="0"/>
              <w:jc w:val="center"/>
              <w:rPr>
                <w:rFonts w:ascii="Times New Roman" w:hAnsi="Times New Roman"/>
                <w:sz w:val="16"/>
                <w:szCs w:val="16"/>
              </w:rPr>
            </w:pPr>
            <w:r>
              <w:rPr>
                <w:rFonts w:ascii="Times New Roman" w:hAnsi="Times New Roman"/>
                <w:sz w:val="16"/>
                <w:szCs w:val="16"/>
              </w:rPr>
              <w:t>-</w:t>
            </w:r>
          </w:p>
        </w:tc>
        <w:tc>
          <w:tcPr>
            <w:tcW w:w="442" w:type="pct"/>
            <w:tcBorders>
              <w:top w:val="single" w:sz="4" w:space="0" w:color="auto"/>
              <w:left w:val="single" w:sz="4" w:space="0" w:color="auto"/>
              <w:bottom w:val="single" w:sz="4" w:space="0" w:color="auto"/>
              <w:right w:val="single" w:sz="4" w:space="0" w:color="auto"/>
            </w:tcBorders>
            <w:textDirection w:val="lrTb"/>
            <w:vAlign w:val="bottom"/>
            <w:hideMark/>
          </w:tcPr>
          <w:p w:rsidR="00705199" w:rsidRPr="00C00234" w:rsidP="0012357C">
            <w:pPr>
              <w:bidi w:val="0"/>
              <w:jc w:val="center"/>
              <w:rPr>
                <w:rFonts w:ascii="Times New Roman" w:hAnsi="Times New Roman"/>
                <w:sz w:val="16"/>
                <w:szCs w:val="16"/>
              </w:rPr>
            </w:pPr>
            <w:r>
              <w:rPr>
                <w:rFonts w:ascii="Times New Roman" w:hAnsi="Times New Roman"/>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6 466</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3 093</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1 28</w:t>
            </w:r>
            <w:r>
              <w:rPr>
                <w:rFonts w:ascii="Times New Roman" w:hAnsi="Times New Roman"/>
                <w:sz w:val="16"/>
                <w:szCs w:val="16"/>
              </w:rPr>
              <w:t>8</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1 45</w:t>
            </w:r>
            <w:r>
              <w:rPr>
                <w:rFonts w:ascii="Times New Roman" w:hAnsi="Times New Roman"/>
                <w:sz w:val="16"/>
                <w:szCs w:val="16"/>
              </w:rPr>
              <w:t>6</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0008FE">
            <w:pPr>
              <w:bidi w:val="0"/>
              <w:rPr>
                <w:rFonts w:ascii="Times New Roman" w:hAnsi="Times New Roman"/>
                <w:b/>
                <w:bCs/>
                <w:iCs/>
                <w:sz w:val="16"/>
                <w:szCs w:val="16"/>
              </w:rPr>
            </w:pPr>
            <w:r w:rsidRPr="00C00234">
              <w:rPr>
                <w:rFonts w:ascii="Times New Roman" w:hAnsi="Times New Roman"/>
                <w:b/>
                <w:bCs/>
                <w:iCs/>
                <w:sz w:val="16"/>
                <w:szCs w:val="16"/>
              </w:rPr>
              <w:t>Výdavky</w:t>
            </w:r>
            <w:r>
              <w:rPr>
                <w:rFonts w:ascii="Times New Roman" w:hAnsi="Times New Roman"/>
                <w:b/>
                <w:bCs/>
                <w:iCs/>
                <w:sz w:val="16"/>
                <w:szCs w:val="16"/>
              </w:rPr>
              <w:t xml:space="preserve"> </w:t>
            </w:r>
            <w:r w:rsidRPr="00C00234">
              <w:rPr>
                <w:rFonts w:ascii="Times New Roman" w:hAnsi="Times New Roman"/>
                <w:b/>
                <w:bCs/>
                <w:iCs/>
                <w:sz w:val="16"/>
                <w:szCs w:val="16"/>
              </w:rPr>
              <w:t>Fondu na podporu vzdelávania spolu</w:t>
            </w:r>
          </w:p>
        </w:tc>
        <w:tc>
          <w:tcPr>
            <w:tcW w:w="425"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12357C">
            <w:pPr>
              <w:bidi w:val="0"/>
              <w:jc w:val="center"/>
              <w:rPr>
                <w:rFonts w:ascii="Times New Roman" w:hAnsi="Times New Roman"/>
                <w:b/>
                <w:bCs/>
                <w:iCs/>
                <w:sz w:val="16"/>
                <w:szCs w:val="16"/>
              </w:rPr>
            </w:pPr>
            <w:r>
              <w:rPr>
                <w:rFonts w:ascii="Times New Roman" w:hAnsi="Times New Roman"/>
                <w:b/>
                <w:bCs/>
                <w:iCs/>
                <w:sz w:val="16"/>
                <w:szCs w:val="16"/>
              </w:rPr>
              <w:t>-</w:t>
            </w:r>
          </w:p>
        </w:tc>
        <w:tc>
          <w:tcPr>
            <w:tcW w:w="425"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12357C">
            <w:pPr>
              <w:bidi w:val="0"/>
              <w:jc w:val="center"/>
              <w:rPr>
                <w:rFonts w:ascii="Times New Roman" w:hAnsi="Times New Roman"/>
                <w:b/>
                <w:bCs/>
                <w:iCs/>
                <w:sz w:val="16"/>
                <w:szCs w:val="16"/>
              </w:rPr>
            </w:pPr>
            <w:r>
              <w:rPr>
                <w:rFonts w:ascii="Times New Roman" w:hAnsi="Times New Roman"/>
                <w:b/>
                <w:bCs/>
                <w:iCs/>
                <w:sz w:val="16"/>
                <w:szCs w:val="16"/>
              </w:rPr>
              <w:t>-</w:t>
            </w:r>
          </w:p>
        </w:tc>
        <w:tc>
          <w:tcPr>
            <w:tcW w:w="442"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12357C">
            <w:pPr>
              <w:bidi w:val="0"/>
              <w:jc w:val="center"/>
              <w:rPr>
                <w:rFonts w:ascii="Times New Roman" w:hAnsi="Times New Roman"/>
                <w:b/>
                <w:bCs/>
                <w:iCs/>
                <w:sz w:val="16"/>
                <w:szCs w:val="16"/>
              </w:rPr>
            </w:pPr>
            <w:r>
              <w:rPr>
                <w:rFonts w:ascii="Times New Roman" w:hAnsi="Times New Roman"/>
                <w:b/>
                <w:bCs/>
                <w:iCs/>
                <w:sz w:val="16"/>
                <w:szCs w:val="16"/>
              </w:rPr>
              <w:t>-</w:t>
            </w:r>
          </w:p>
        </w:tc>
        <w:tc>
          <w:tcPr>
            <w:tcW w:w="442"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0008FE">
            <w:pPr>
              <w:bidi w:val="0"/>
              <w:jc w:val="right"/>
              <w:rPr>
                <w:rFonts w:ascii="Times New Roman" w:hAnsi="Times New Roman"/>
                <w:b/>
                <w:bCs/>
                <w:iCs/>
                <w:sz w:val="16"/>
                <w:szCs w:val="16"/>
              </w:rPr>
            </w:pPr>
            <w:r w:rsidRPr="00C00234">
              <w:rPr>
                <w:rFonts w:ascii="Times New Roman" w:hAnsi="Times New Roman"/>
                <w:b/>
                <w:bCs/>
                <w:iCs/>
                <w:sz w:val="16"/>
                <w:szCs w:val="16"/>
              </w:rPr>
              <w:t>9 274</w:t>
            </w:r>
          </w:p>
        </w:tc>
        <w:tc>
          <w:tcPr>
            <w:tcW w:w="442"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0008FE">
            <w:pPr>
              <w:bidi w:val="0"/>
              <w:jc w:val="right"/>
              <w:rPr>
                <w:rFonts w:ascii="Times New Roman" w:hAnsi="Times New Roman"/>
                <w:b/>
                <w:bCs/>
                <w:iCs/>
                <w:sz w:val="16"/>
                <w:szCs w:val="16"/>
              </w:rPr>
            </w:pPr>
            <w:r w:rsidRPr="00C00234">
              <w:rPr>
                <w:rFonts w:ascii="Times New Roman" w:hAnsi="Times New Roman"/>
                <w:b/>
                <w:bCs/>
                <w:iCs/>
                <w:sz w:val="16"/>
                <w:szCs w:val="16"/>
              </w:rPr>
              <w:t>7 827</w:t>
            </w:r>
          </w:p>
        </w:tc>
        <w:tc>
          <w:tcPr>
            <w:tcW w:w="442"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0008FE">
            <w:pPr>
              <w:bidi w:val="0"/>
              <w:jc w:val="right"/>
              <w:rPr>
                <w:rFonts w:ascii="Times New Roman" w:hAnsi="Times New Roman"/>
                <w:b/>
                <w:bCs/>
                <w:iCs/>
                <w:sz w:val="16"/>
                <w:szCs w:val="16"/>
              </w:rPr>
            </w:pPr>
            <w:r w:rsidRPr="00C00234">
              <w:rPr>
                <w:rFonts w:ascii="Times New Roman" w:hAnsi="Times New Roman"/>
                <w:b/>
                <w:bCs/>
                <w:iCs/>
                <w:sz w:val="16"/>
                <w:szCs w:val="16"/>
              </w:rPr>
              <w:t>5 889</w:t>
            </w:r>
          </w:p>
        </w:tc>
        <w:tc>
          <w:tcPr>
            <w:tcW w:w="441"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0008FE">
            <w:pPr>
              <w:bidi w:val="0"/>
              <w:jc w:val="right"/>
              <w:rPr>
                <w:rFonts w:ascii="Times New Roman" w:hAnsi="Times New Roman"/>
                <w:b/>
                <w:bCs/>
                <w:iCs/>
                <w:sz w:val="16"/>
                <w:szCs w:val="16"/>
              </w:rPr>
            </w:pPr>
            <w:r w:rsidRPr="00C00234">
              <w:rPr>
                <w:rFonts w:ascii="Times New Roman" w:hAnsi="Times New Roman"/>
                <w:b/>
                <w:bCs/>
                <w:iCs/>
                <w:sz w:val="16"/>
                <w:szCs w:val="16"/>
              </w:rPr>
              <w:t>5 873</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rPr>
                <w:rFonts w:ascii="Times New Roman" w:hAnsi="Times New Roman"/>
                <w:bCs/>
                <w:iCs/>
                <w:sz w:val="16"/>
                <w:szCs w:val="16"/>
              </w:rPr>
            </w:pPr>
            <w:r w:rsidRPr="008B5D39">
              <w:rPr>
                <w:rFonts w:ascii="Times New Roman" w:hAnsi="Times New Roman"/>
                <w:bCs/>
                <w:iCs/>
                <w:sz w:val="16"/>
                <w:szCs w:val="16"/>
              </w:rPr>
              <w:t xml:space="preserve">▪ </w:t>
            </w:r>
            <w:r>
              <w:rPr>
                <w:rFonts w:ascii="Times New Roman" w:hAnsi="Times New Roman"/>
                <w:bCs/>
                <w:iCs/>
                <w:sz w:val="16"/>
                <w:szCs w:val="16"/>
              </w:rPr>
              <w:t>bežné výdavky, z toho:</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773</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825</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887</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871</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ind w:firstLine="160" w:firstLineChars="100"/>
              <w:rPr>
                <w:rFonts w:ascii="Times New Roman" w:hAnsi="Times New Roman"/>
                <w:color w:val="000000"/>
                <w:sz w:val="16"/>
                <w:szCs w:val="16"/>
              </w:rPr>
            </w:pPr>
            <w:r>
              <w:rPr>
                <w:rFonts w:ascii="Times New Roman" w:hAnsi="Times New Roman"/>
                <w:color w:val="000000"/>
                <w:sz w:val="16"/>
                <w:szCs w:val="16"/>
              </w:rPr>
              <w:t>m</w:t>
            </w:r>
            <w:r w:rsidRPr="00C00234">
              <w:rPr>
                <w:rFonts w:ascii="Times New Roman" w:hAnsi="Times New Roman"/>
                <w:color w:val="000000"/>
                <w:sz w:val="16"/>
                <w:szCs w:val="16"/>
              </w:rPr>
              <w:t>zdy, platy</w:t>
            </w:r>
            <w:r>
              <w:rPr>
                <w:rFonts w:ascii="Times New Roman" w:hAnsi="Times New Roman"/>
                <w:color w:val="000000"/>
                <w:sz w:val="16"/>
                <w:szCs w:val="16"/>
              </w:rPr>
              <w:t>, služ. príjmy a ost. os. vyrovnania</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265</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267</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310</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310</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ind w:firstLine="160" w:firstLineChars="100"/>
              <w:rPr>
                <w:rFonts w:ascii="Times New Roman" w:hAnsi="Times New Roman"/>
                <w:color w:val="000000"/>
                <w:sz w:val="16"/>
                <w:szCs w:val="16"/>
              </w:rPr>
            </w:pPr>
            <w:r>
              <w:rPr>
                <w:rFonts w:ascii="Times New Roman" w:hAnsi="Times New Roman"/>
                <w:color w:val="000000"/>
                <w:sz w:val="16"/>
                <w:szCs w:val="16"/>
              </w:rPr>
              <w:t>poistné a príspevok do poisťovní</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108</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105</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122</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122</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ind w:firstLine="160" w:firstLineChars="100"/>
              <w:rPr>
                <w:rFonts w:ascii="Times New Roman" w:hAnsi="Times New Roman"/>
                <w:color w:val="000000"/>
                <w:sz w:val="16"/>
                <w:szCs w:val="16"/>
              </w:rPr>
            </w:pPr>
            <w:r>
              <w:rPr>
                <w:rFonts w:ascii="Times New Roman" w:hAnsi="Times New Roman"/>
                <w:color w:val="000000"/>
                <w:sz w:val="16"/>
                <w:szCs w:val="16"/>
              </w:rPr>
              <w:t>t</w:t>
            </w:r>
            <w:r w:rsidRPr="00C00234">
              <w:rPr>
                <w:rFonts w:ascii="Times New Roman" w:hAnsi="Times New Roman"/>
                <w:color w:val="000000"/>
                <w:sz w:val="16"/>
                <w:szCs w:val="16"/>
              </w:rPr>
              <w:t>ovary a služby</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378</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443</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450</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434</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ind w:firstLine="160" w:firstLineChars="100"/>
              <w:rPr>
                <w:rFonts w:ascii="Times New Roman" w:hAnsi="Times New Roman"/>
                <w:sz w:val="16"/>
                <w:szCs w:val="16"/>
              </w:rPr>
            </w:pPr>
            <w:r>
              <w:rPr>
                <w:rFonts w:ascii="Times New Roman" w:hAnsi="Times New Roman"/>
                <w:sz w:val="16"/>
                <w:szCs w:val="16"/>
              </w:rPr>
              <w:t>b</w:t>
            </w:r>
            <w:r w:rsidRPr="00C00234">
              <w:rPr>
                <w:rFonts w:ascii="Times New Roman" w:hAnsi="Times New Roman"/>
                <w:sz w:val="16"/>
                <w:szCs w:val="16"/>
              </w:rPr>
              <w:t>ežné transfery</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22</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10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5</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5</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ind w:firstLine="160" w:firstLineChars="100"/>
              <w:rPr>
                <w:rFonts w:ascii="Times New Roman" w:hAnsi="Times New Roman"/>
                <w:color w:val="000000"/>
                <w:sz w:val="16"/>
                <w:szCs w:val="16"/>
              </w:rPr>
            </w:pPr>
            <w:r>
              <w:rPr>
                <w:rFonts w:ascii="Times New Roman" w:hAnsi="Times New Roman"/>
                <w:color w:val="000000"/>
                <w:sz w:val="16"/>
                <w:szCs w:val="16"/>
              </w:rPr>
              <w:t>s</w:t>
            </w:r>
            <w:r w:rsidRPr="00C00234">
              <w:rPr>
                <w:rFonts w:ascii="Times New Roman" w:hAnsi="Times New Roman"/>
                <w:color w:val="000000"/>
                <w:sz w:val="16"/>
                <w:szCs w:val="16"/>
              </w:rPr>
              <w:t>plácanie úrokov a ostatné platby s úvermi</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0</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0</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rPr>
                <w:rFonts w:ascii="Times New Roman" w:hAnsi="Times New Roman"/>
                <w:bCs/>
                <w:iCs/>
                <w:sz w:val="16"/>
                <w:szCs w:val="16"/>
              </w:rPr>
            </w:pPr>
            <w:r w:rsidRPr="008B5D39">
              <w:rPr>
                <w:rFonts w:ascii="Times New Roman" w:hAnsi="Times New Roman"/>
                <w:bCs/>
                <w:iCs/>
                <w:sz w:val="16"/>
                <w:szCs w:val="16"/>
              </w:rPr>
              <w:t xml:space="preserve">▪ </w:t>
            </w:r>
            <w:r>
              <w:rPr>
                <w:rFonts w:ascii="Times New Roman" w:hAnsi="Times New Roman"/>
                <w:bCs/>
                <w:iCs/>
                <w:sz w:val="16"/>
                <w:szCs w:val="16"/>
              </w:rPr>
              <w:t>kapitálov</w:t>
            </w:r>
            <w:r w:rsidRPr="008B5D39">
              <w:rPr>
                <w:rFonts w:ascii="Times New Roman" w:hAnsi="Times New Roman"/>
                <w:bCs/>
                <w:iCs/>
                <w:sz w:val="16"/>
                <w:szCs w:val="16"/>
              </w:rPr>
              <w:t>é výdavky</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1</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2</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2</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2</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rPr>
                <w:rFonts w:ascii="Times New Roman" w:hAnsi="Times New Roman"/>
                <w:bCs/>
                <w:iCs/>
                <w:sz w:val="16"/>
                <w:szCs w:val="16"/>
              </w:rPr>
            </w:pPr>
            <w:r w:rsidRPr="008B5D39">
              <w:rPr>
                <w:rFonts w:ascii="Times New Roman" w:hAnsi="Times New Roman"/>
                <w:bCs/>
                <w:iCs/>
                <w:sz w:val="16"/>
                <w:szCs w:val="16"/>
              </w:rPr>
              <w:t xml:space="preserve">▪ </w:t>
            </w:r>
            <w:r>
              <w:rPr>
                <w:rFonts w:ascii="Times New Roman" w:hAnsi="Times New Roman"/>
                <w:bCs/>
                <w:iCs/>
                <w:sz w:val="16"/>
                <w:szCs w:val="16"/>
              </w:rPr>
              <w:t xml:space="preserve">výdavky </w:t>
            </w:r>
            <w:r w:rsidRPr="008B5D39">
              <w:rPr>
                <w:rFonts w:ascii="Times New Roman" w:hAnsi="Times New Roman"/>
                <w:bCs/>
                <w:iCs/>
                <w:sz w:val="16"/>
                <w:szCs w:val="16"/>
              </w:rPr>
              <w:t xml:space="preserve"> z transakcií s fin. akt. a pas. (FO)</w:t>
            </w:r>
          </w:p>
        </w:tc>
        <w:tc>
          <w:tcPr>
            <w:tcW w:w="425" w:type="pct"/>
            <w:tcBorders>
              <w:top w:val="single" w:sz="4" w:space="0" w:color="auto"/>
              <w:left w:val="single" w:sz="4" w:space="0" w:color="auto"/>
              <w:bottom w:val="single" w:sz="4" w:space="0" w:color="auto"/>
              <w:right w:val="single" w:sz="4" w:space="0" w:color="auto"/>
            </w:tcBorders>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25" w:type="pct"/>
            <w:tcBorders>
              <w:top w:val="single" w:sz="4" w:space="0" w:color="auto"/>
              <w:left w:val="single" w:sz="4" w:space="0" w:color="auto"/>
              <w:bottom w:val="single" w:sz="4" w:space="0" w:color="auto"/>
              <w:right w:val="single" w:sz="4" w:space="0" w:color="auto"/>
            </w:tcBorders>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42" w:type="pct"/>
            <w:tcBorders>
              <w:top w:val="single" w:sz="4" w:space="0" w:color="auto"/>
              <w:left w:val="single" w:sz="4" w:space="0" w:color="auto"/>
              <w:bottom w:val="single" w:sz="4" w:space="0" w:color="auto"/>
              <w:right w:val="single" w:sz="4" w:space="0" w:color="auto"/>
            </w:tcBorders>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42" w:type="pct"/>
            <w:tcBorders>
              <w:top w:val="single" w:sz="4" w:space="0" w:color="auto"/>
              <w:left w:val="single" w:sz="4" w:space="0" w:color="auto"/>
              <w:bottom w:val="single" w:sz="4" w:space="0" w:color="auto"/>
              <w:right w:val="single" w:sz="4" w:space="0" w:color="auto"/>
            </w:tcBorders>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8 500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7 000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5 000</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5 000</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0008FE">
            <w:pPr>
              <w:bidi w:val="0"/>
              <w:rPr>
                <w:rFonts w:ascii="Times New Roman" w:hAnsi="Times New Roman"/>
                <w:b/>
                <w:bCs/>
                <w:iCs/>
                <w:sz w:val="16"/>
                <w:szCs w:val="16"/>
              </w:rPr>
            </w:pPr>
            <w:r>
              <w:rPr>
                <w:rFonts w:ascii="Times New Roman" w:hAnsi="Times New Roman"/>
                <w:b/>
                <w:bCs/>
                <w:iCs/>
                <w:sz w:val="16"/>
                <w:szCs w:val="16"/>
              </w:rPr>
              <w:t xml:space="preserve">Celková bilancia </w:t>
            </w:r>
            <w:r w:rsidRPr="00C00234">
              <w:rPr>
                <w:rFonts w:ascii="Times New Roman" w:hAnsi="Times New Roman"/>
                <w:b/>
                <w:bCs/>
                <w:iCs/>
                <w:sz w:val="16"/>
                <w:szCs w:val="16"/>
              </w:rPr>
              <w:t>Fondu na podporu vzdelávania</w:t>
            </w:r>
          </w:p>
        </w:tc>
        <w:tc>
          <w:tcPr>
            <w:tcW w:w="425"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12357C">
            <w:pPr>
              <w:bidi w:val="0"/>
              <w:jc w:val="center"/>
              <w:rPr>
                <w:rFonts w:ascii="Times New Roman" w:hAnsi="Times New Roman"/>
                <w:sz w:val="16"/>
                <w:szCs w:val="16"/>
              </w:rPr>
            </w:pPr>
            <w:r>
              <w:rPr>
                <w:rFonts w:ascii="Times New Roman" w:hAnsi="Times New Roman"/>
                <w:sz w:val="16"/>
                <w:szCs w:val="16"/>
              </w:rPr>
              <w:t>-</w:t>
            </w:r>
          </w:p>
        </w:tc>
        <w:tc>
          <w:tcPr>
            <w:tcW w:w="425"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12357C">
            <w:pPr>
              <w:bidi w:val="0"/>
              <w:jc w:val="center"/>
              <w:rPr>
                <w:rFonts w:ascii="Times New Roman" w:hAnsi="Times New Roman"/>
                <w:sz w:val="16"/>
                <w:szCs w:val="16"/>
              </w:rPr>
            </w:pPr>
            <w:r>
              <w:rPr>
                <w:rFonts w:ascii="Times New Roman" w:hAnsi="Times New Roman"/>
                <w:sz w:val="16"/>
                <w:szCs w:val="16"/>
              </w:rPr>
              <w:t>-</w:t>
            </w:r>
          </w:p>
        </w:tc>
        <w:tc>
          <w:tcPr>
            <w:tcW w:w="442"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12357C">
            <w:pPr>
              <w:bidi w:val="0"/>
              <w:jc w:val="center"/>
              <w:rPr>
                <w:rFonts w:ascii="Times New Roman" w:hAnsi="Times New Roman"/>
                <w:sz w:val="16"/>
                <w:szCs w:val="16"/>
              </w:rPr>
            </w:pPr>
            <w:r>
              <w:rPr>
                <w:rFonts w:ascii="Times New Roman" w:hAnsi="Times New Roman"/>
                <w:sz w:val="16"/>
                <w:szCs w:val="16"/>
              </w:rPr>
              <w:t>-</w:t>
            </w:r>
          </w:p>
        </w:tc>
        <w:tc>
          <w:tcPr>
            <w:tcW w:w="442"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0008FE">
            <w:pPr>
              <w:bidi w:val="0"/>
              <w:jc w:val="right"/>
              <w:rPr>
                <w:rFonts w:ascii="Times New Roman" w:hAnsi="Times New Roman"/>
                <w:b/>
                <w:bCs/>
                <w:iCs/>
                <w:sz w:val="16"/>
                <w:szCs w:val="16"/>
              </w:rPr>
            </w:pPr>
            <w:r w:rsidRPr="00C00234">
              <w:rPr>
                <w:rFonts w:ascii="Times New Roman" w:hAnsi="Times New Roman"/>
                <w:b/>
                <w:bCs/>
                <w:iCs/>
                <w:sz w:val="16"/>
                <w:szCs w:val="16"/>
              </w:rPr>
              <w:t>3 093</w:t>
            </w:r>
          </w:p>
        </w:tc>
        <w:tc>
          <w:tcPr>
            <w:tcW w:w="442"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0008FE">
            <w:pPr>
              <w:bidi w:val="0"/>
              <w:jc w:val="right"/>
              <w:rPr>
                <w:rFonts w:ascii="Times New Roman" w:hAnsi="Times New Roman"/>
                <w:b/>
                <w:bCs/>
                <w:iCs/>
                <w:sz w:val="16"/>
                <w:szCs w:val="16"/>
              </w:rPr>
            </w:pPr>
            <w:r w:rsidRPr="00C00234">
              <w:rPr>
                <w:rFonts w:ascii="Times New Roman" w:hAnsi="Times New Roman"/>
                <w:b/>
                <w:bCs/>
                <w:iCs/>
                <w:sz w:val="16"/>
                <w:szCs w:val="16"/>
              </w:rPr>
              <w:t>1 28</w:t>
            </w:r>
            <w:r>
              <w:rPr>
                <w:rFonts w:ascii="Times New Roman" w:hAnsi="Times New Roman"/>
                <w:b/>
                <w:bCs/>
                <w:iCs/>
                <w:sz w:val="16"/>
                <w:szCs w:val="16"/>
              </w:rPr>
              <w:t>8</w:t>
            </w:r>
          </w:p>
        </w:tc>
        <w:tc>
          <w:tcPr>
            <w:tcW w:w="442"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0008FE">
            <w:pPr>
              <w:bidi w:val="0"/>
              <w:jc w:val="right"/>
              <w:rPr>
                <w:rFonts w:ascii="Times New Roman" w:hAnsi="Times New Roman"/>
                <w:b/>
                <w:bCs/>
                <w:iCs/>
                <w:sz w:val="16"/>
                <w:szCs w:val="16"/>
              </w:rPr>
            </w:pPr>
            <w:r w:rsidRPr="00C00234">
              <w:rPr>
                <w:rFonts w:ascii="Times New Roman" w:hAnsi="Times New Roman"/>
                <w:b/>
                <w:bCs/>
                <w:iCs/>
                <w:sz w:val="16"/>
                <w:szCs w:val="16"/>
              </w:rPr>
              <w:t>1 45</w:t>
            </w:r>
            <w:r>
              <w:rPr>
                <w:rFonts w:ascii="Times New Roman" w:hAnsi="Times New Roman"/>
                <w:b/>
                <w:bCs/>
                <w:iCs/>
                <w:sz w:val="16"/>
                <w:szCs w:val="16"/>
              </w:rPr>
              <w:t>6</w:t>
            </w:r>
          </w:p>
        </w:tc>
        <w:tc>
          <w:tcPr>
            <w:tcW w:w="441"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00234" w:rsidP="000008FE">
            <w:pPr>
              <w:bidi w:val="0"/>
              <w:jc w:val="right"/>
              <w:rPr>
                <w:rFonts w:ascii="Times New Roman" w:hAnsi="Times New Roman"/>
                <w:b/>
                <w:bCs/>
                <w:iCs/>
                <w:sz w:val="16"/>
                <w:szCs w:val="16"/>
              </w:rPr>
            </w:pPr>
            <w:r w:rsidRPr="00C00234">
              <w:rPr>
                <w:rFonts w:ascii="Times New Roman" w:hAnsi="Times New Roman"/>
                <w:b/>
                <w:bCs/>
                <w:iCs/>
                <w:sz w:val="16"/>
                <w:szCs w:val="16"/>
              </w:rPr>
              <w:t>1 87</w:t>
            </w:r>
            <w:r>
              <w:rPr>
                <w:rFonts w:ascii="Times New Roman" w:hAnsi="Times New Roman"/>
                <w:b/>
                <w:bCs/>
                <w:iCs/>
                <w:sz w:val="16"/>
                <w:szCs w:val="16"/>
              </w:rPr>
              <w:t>0</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rPr>
                <w:rFonts w:ascii="Times New Roman" w:hAnsi="Times New Roman"/>
                <w:bCs/>
                <w:iCs/>
                <w:color w:val="000000"/>
                <w:sz w:val="16"/>
                <w:szCs w:val="16"/>
              </w:rPr>
            </w:pPr>
            <w:r w:rsidRPr="008B5D39">
              <w:rPr>
                <w:rFonts w:ascii="Times New Roman" w:hAnsi="Times New Roman"/>
                <w:bCs/>
                <w:iCs/>
                <w:color w:val="000000"/>
                <w:sz w:val="16"/>
                <w:szCs w:val="16"/>
              </w:rPr>
              <w:t>v</w:t>
            </w:r>
            <w:r w:rsidRPr="00C00234">
              <w:rPr>
                <w:rFonts w:ascii="Times New Roman" w:hAnsi="Times New Roman"/>
                <w:bCs/>
                <w:iCs/>
                <w:color w:val="000000"/>
                <w:sz w:val="16"/>
                <w:szCs w:val="16"/>
              </w:rPr>
              <w:t>ylúčenie finančných operácií</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-2 866</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-1 093</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-1 28</w:t>
            </w:r>
            <w:r>
              <w:rPr>
                <w:rFonts w:ascii="Times New Roman" w:hAnsi="Times New Roman"/>
                <w:bCs/>
                <w:iCs/>
                <w:sz w:val="16"/>
                <w:szCs w:val="16"/>
              </w:rPr>
              <w:t>8</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-1 65</w:t>
            </w:r>
            <w:r>
              <w:rPr>
                <w:rFonts w:ascii="Times New Roman" w:hAnsi="Times New Roman"/>
                <w:bCs/>
                <w:iCs/>
                <w:sz w:val="16"/>
                <w:szCs w:val="16"/>
              </w:rPr>
              <w:t>6</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rPr>
                <w:rFonts w:ascii="Times New Roman" w:hAnsi="Times New Roman"/>
                <w:bCs/>
                <w:iCs/>
                <w:color w:val="000000"/>
                <w:sz w:val="16"/>
                <w:szCs w:val="16"/>
              </w:rPr>
            </w:pPr>
            <w:r w:rsidRPr="00C00234">
              <w:rPr>
                <w:rFonts w:ascii="Times New Roman" w:hAnsi="Times New Roman"/>
                <w:bCs/>
                <w:iCs/>
                <w:color w:val="000000"/>
                <w:sz w:val="16"/>
                <w:szCs w:val="16"/>
              </w:rPr>
              <w:t>z toho:</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 </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 </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 </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C00234">
              <w:rPr>
                <w:rFonts w:ascii="Times New Roman" w:hAnsi="Times New Roman"/>
                <w:bCs/>
                <w:iCs/>
                <w:sz w:val="16"/>
                <w:szCs w:val="16"/>
              </w:rPr>
              <w:t> </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rPr>
                <w:rFonts w:ascii="Times New Roman" w:hAnsi="Times New Roman"/>
                <w:color w:val="000000"/>
                <w:sz w:val="16"/>
                <w:szCs w:val="16"/>
              </w:rPr>
            </w:pPr>
            <w:r w:rsidRPr="008B5D39">
              <w:rPr>
                <w:rFonts w:ascii="Times New Roman" w:hAnsi="Times New Roman"/>
                <w:bCs/>
                <w:iCs/>
                <w:sz w:val="16"/>
                <w:szCs w:val="16"/>
              </w:rPr>
              <w:t xml:space="preserve">▪ </w:t>
            </w:r>
            <w:r>
              <w:rPr>
                <w:rFonts w:ascii="Times New Roman" w:hAnsi="Times New Roman"/>
                <w:bCs/>
                <w:iCs/>
                <w:sz w:val="16"/>
                <w:szCs w:val="16"/>
              </w:rPr>
              <w:t>v</w:t>
            </w:r>
            <w:r w:rsidRPr="00C00234">
              <w:rPr>
                <w:rFonts w:ascii="Times New Roman" w:hAnsi="Times New Roman"/>
                <w:color w:val="000000"/>
                <w:sz w:val="16"/>
                <w:szCs w:val="16"/>
              </w:rPr>
              <w:t>ylúčenie príjmových FO</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color w:val="000000"/>
                <w:sz w:val="16"/>
                <w:szCs w:val="16"/>
              </w:rPr>
            </w:pPr>
            <w:r>
              <w:rPr>
                <w:rFonts w:ascii="Times New Roman" w:hAnsi="Times New Roman"/>
                <w:color w:val="000000"/>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-11 366</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-8 093</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-6 28</w:t>
            </w:r>
            <w:r>
              <w:rPr>
                <w:rFonts w:ascii="Times New Roman" w:hAnsi="Times New Roman"/>
                <w:sz w:val="16"/>
                <w:szCs w:val="16"/>
              </w:rPr>
              <w:t>8</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-6 65</w:t>
            </w:r>
            <w:r>
              <w:rPr>
                <w:rFonts w:ascii="Times New Roman" w:hAnsi="Times New Roman"/>
                <w:sz w:val="16"/>
                <w:szCs w:val="16"/>
              </w:rPr>
              <w:t>6</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rPr>
                <w:rFonts w:ascii="Times New Roman" w:hAnsi="Times New Roman"/>
                <w:color w:val="000000"/>
                <w:sz w:val="16"/>
                <w:szCs w:val="16"/>
              </w:rPr>
            </w:pPr>
            <w:r w:rsidRPr="008B5D39">
              <w:rPr>
                <w:rFonts w:ascii="Times New Roman" w:hAnsi="Times New Roman"/>
                <w:bCs/>
                <w:iCs/>
                <w:sz w:val="16"/>
                <w:szCs w:val="16"/>
              </w:rPr>
              <w:t xml:space="preserve">▪ </w:t>
            </w:r>
            <w:r>
              <w:rPr>
                <w:rFonts w:ascii="Times New Roman" w:hAnsi="Times New Roman"/>
                <w:bCs/>
                <w:iCs/>
                <w:sz w:val="16"/>
                <w:szCs w:val="16"/>
              </w:rPr>
              <w:t>v</w:t>
            </w:r>
            <w:r w:rsidRPr="00C00234">
              <w:rPr>
                <w:rFonts w:ascii="Times New Roman" w:hAnsi="Times New Roman"/>
                <w:color w:val="000000"/>
                <w:sz w:val="16"/>
                <w:szCs w:val="16"/>
              </w:rPr>
              <w:t>ylúčenie výdavkových FO</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8 500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7 000</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5 000</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sz w:val="16"/>
                <w:szCs w:val="16"/>
              </w:rPr>
            </w:pPr>
            <w:r w:rsidRPr="00C00234">
              <w:rPr>
                <w:rFonts w:ascii="Times New Roman" w:hAnsi="Times New Roman"/>
                <w:sz w:val="16"/>
                <w:szCs w:val="16"/>
              </w:rPr>
              <w:t>5 000</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rPr>
                <w:rFonts w:ascii="Times New Roman" w:hAnsi="Times New Roman"/>
                <w:bCs/>
                <w:iCs/>
                <w:sz w:val="16"/>
                <w:szCs w:val="16"/>
              </w:rPr>
            </w:pPr>
            <w:r w:rsidRPr="00C00234">
              <w:rPr>
                <w:rFonts w:ascii="Times New Roman" w:hAnsi="Times New Roman"/>
                <w:bCs/>
                <w:iCs/>
                <w:sz w:val="16"/>
                <w:szCs w:val="16"/>
              </w:rPr>
              <w:t>ostatné úpravy</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25"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12357C">
            <w:pPr>
              <w:bidi w:val="0"/>
              <w:jc w:val="center"/>
              <w:rPr>
                <w:rFonts w:ascii="Times New Roman" w:hAnsi="Times New Roman"/>
                <w:bCs/>
                <w:iCs/>
                <w:sz w:val="16"/>
                <w:szCs w:val="16"/>
              </w:rPr>
            </w:pPr>
            <w:r>
              <w:rPr>
                <w:rFonts w:ascii="Times New Roman" w:hAnsi="Times New Roman"/>
                <w:bCs/>
                <w:iCs/>
                <w:sz w:val="16"/>
                <w:szCs w:val="16"/>
              </w:rPr>
              <w:t>-</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8B5D39">
              <w:rPr>
                <w:rFonts w:ascii="Times New Roman" w:hAnsi="Times New Roman"/>
                <w:bCs/>
                <w:iCs/>
                <w:sz w:val="16"/>
                <w:szCs w:val="16"/>
              </w:rPr>
              <w:t>0</w:t>
            </w:r>
            <w:r w:rsidRPr="00C00234">
              <w:rPr>
                <w:rFonts w:ascii="Times New Roman" w:hAnsi="Times New Roman"/>
                <w:bCs/>
                <w:iCs/>
                <w:sz w:val="16"/>
                <w:szCs w:val="16"/>
              </w:rPr>
              <w:t> </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8B5D39">
              <w:rPr>
                <w:rFonts w:ascii="Times New Roman" w:hAnsi="Times New Roman"/>
                <w:bCs/>
                <w:iCs/>
                <w:sz w:val="16"/>
                <w:szCs w:val="16"/>
              </w:rPr>
              <w:t>0</w:t>
            </w:r>
            <w:r w:rsidRPr="00C00234">
              <w:rPr>
                <w:rFonts w:ascii="Times New Roman" w:hAnsi="Times New Roman"/>
                <w:bCs/>
                <w:iCs/>
                <w:sz w:val="16"/>
                <w:szCs w:val="16"/>
              </w:rPr>
              <w:t> </w:t>
            </w:r>
          </w:p>
        </w:tc>
        <w:tc>
          <w:tcPr>
            <w:tcW w:w="442"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8B5D39">
              <w:rPr>
                <w:rFonts w:ascii="Times New Roman" w:hAnsi="Times New Roman"/>
                <w:bCs/>
                <w:iCs/>
                <w:sz w:val="16"/>
                <w:szCs w:val="16"/>
              </w:rPr>
              <w:t>0</w:t>
            </w:r>
            <w:r w:rsidRPr="00C00234">
              <w:rPr>
                <w:rFonts w:ascii="Times New Roman" w:hAnsi="Times New Roman"/>
                <w:bCs/>
                <w:iCs/>
                <w:sz w:val="16"/>
                <w:szCs w:val="16"/>
              </w:rPr>
              <w:t> </w:t>
            </w:r>
          </w:p>
        </w:tc>
        <w:tc>
          <w:tcPr>
            <w:tcW w:w="441" w:type="pct"/>
            <w:tcBorders>
              <w:top w:val="single" w:sz="4" w:space="0" w:color="auto"/>
              <w:left w:val="single" w:sz="4" w:space="0" w:color="auto"/>
              <w:bottom w:val="single" w:sz="4" w:space="0" w:color="auto"/>
              <w:right w:val="single" w:sz="4" w:space="0" w:color="auto"/>
            </w:tcBorders>
            <w:noWrap/>
            <w:textDirection w:val="lrTb"/>
            <w:vAlign w:val="bottom"/>
            <w:hideMark/>
          </w:tcPr>
          <w:p w:rsidR="00705199" w:rsidRPr="00C00234" w:rsidP="000008FE">
            <w:pPr>
              <w:bidi w:val="0"/>
              <w:jc w:val="right"/>
              <w:rPr>
                <w:rFonts w:ascii="Times New Roman" w:hAnsi="Times New Roman"/>
                <w:bCs/>
                <w:iCs/>
                <w:sz w:val="16"/>
                <w:szCs w:val="16"/>
              </w:rPr>
            </w:pPr>
            <w:r w:rsidRPr="008B5D39">
              <w:rPr>
                <w:rFonts w:ascii="Times New Roman" w:hAnsi="Times New Roman"/>
                <w:bCs/>
                <w:iCs/>
                <w:sz w:val="16"/>
                <w:szCs w:val="16"/>
              </w:rPr>
              <w:t>0</w:t>
            </w:r>
            <w:r w:rsidRPr="00C00234">
              <w:rPr>
                <w:rFonts w:ascii="Times New Roman" w:hAnsi="Times New Roman"/>
                <w:bCs/>
                <w:iCs/>
                <w:sz w:val="16"/>
                <w:szCs w:val="16"/>
              </w:rPr>
              <w:t> </w:t>
            </w:r>
          </w:p>
        </w:tc>
      </w:tr>
      <w:tr>
        <w:tblPrEx>
          <w:tblW w:w="5000" w:type="pct"/>
          <w:tblCellMar>
            <w:left w:w="70" w:type="dxa"/>
            <w:right w:w="70" w:type="dxa"/>
          </w:tblCellMar>
          <w:tblLook w:val="04A0"/>
        </w:tblPrEx>
        <w:trPr>
          <w:trHeight w:hRule="exact" w:val="255"/>
        </w:trPr>
        <w:tc>
          <w:tcPr>
            <w:tcW w:w="1941"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B0E0C" w:rsidP="000008FE">
            <w:pPr>
              <w:bidi w:val="0"/>
              <w:rPr>
                <w:rFonts w:ascii="Times New Roman" w:hAnsi="Times New Roman"/>
                <w:b/>
                <w:bCs/>
                <w:iCs/>
                <w:sz w:val="16"/>
                <w:szCs w:val="16"/>
              </w:rPr>
            </w:pPr>
            <w:r w:rsidRPr="00CB0E0C">
              <w:rPr>
                <w:rFonts w:ascii="Times New Roman" w:hAnsi="Times New Roman"/>
                <w:b/>
                <w:bCs/>
                <w:iCs/>
                <w:sz w:val="16"/>
                <w:szCs w:val="16"/>
              </w:rPr>
              <w:t>Prebytok</w:t>
            </w:r>
            <w:r w:rsidRPr="00CB0E0C" w:rsidR="00A74905">
              <w:rPr>
                <w:rFonts w:ascii="Times New Roman" w:hAnsi="Times New Roman"/>
                <w:b/>
                <w:bCs/>
                <w:iCs/>
                <w:sz w:val="16"/>
                <w:szCs w:val="16"/>
              </w:rPr>
              <w:t>(+)/schodok(-)</w:t>
            </w:r>
            <w:r w:rsidRPr="00CB0E0C">
              <w:rPr>
                <w:rFonts w:ascii="Times New Roman" w:hAnsi="Times New Roman"/>
                <w:b/>
                <w:bCs/>
                <w:iCs/>
                <w:sz w:val="16"/>
                <w:szCs w:val="16"/>
              </w:rPr>
              <w:t xml:space="preserve">  FnPV (ESA 2010)</w:t>
            </w:r>
          </w:p>
        </w:tc>
        <w:tc>
          <w:tcPr>
            <w:tcW w:w="425"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B0E0C" w:rsidP="0012357C">
            <w:pPr>
              <w:bidi w:val="0"/>
              <w:jc w:val="center"/>
              <w:rPr>
                <w:rFonts w:ascii="Times New Roman" w:hAnsi="Times New Roman"/>
                <w:sz w:val="16"/>
                <w:szCs w:val="16"/>
              </w:rPr>
            </w:pPr>
            <w:r w:rsidRPr="00CB0E0C">
              <w:rPr>
                <w:rFonts w:ascii="Times New Roman" w:hAnsi="Times New Roman"/>
                <w:sz w:val="16"/>
                <w:szCs w:val="16"/>
              </w:rPr>
              <w:t>-</w:t>
            </w:r>
          </w:p>
        </w:tc>
        <w:tc>
          <w:tcPr>
            <w:tcW w:w="425"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B0E0C" w:rsidP="0012357C">
            <w:pPr>
              <w:bidi w:val="0"/>
              <w:jc w:val="center"/>
              <w:rPr>
                <w:rFonts w:ascii="Times New Roman" w:hAnsi="Times New Roman"/>
                <w:sz w:val="16"/>
                <w:szCs w:val="16"/>
              </w:rPr>
            </w:pPr>
            <w:r w:rsidRPr="00CB0E0C">
              <w:rPr>
                <w:rFonts w:ascii="Times New Roman" w:hAnsi="Times New Roman"/>
                <w:sz w:val="16"/>
                <w:szCs w:val="16"/>
              </w:rPr>
              <w:t>-</w:t>
            </w:r>
          </w:p>
        </w:tc>
        <w:tc>
          <w:tcPr>
            <w:tcW w:w="442"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B0E0C" w:rsidP="0012357C">
            <w:pPr>
              <w:bidi w:val="0"/>
              <w:jc w:val="center"/>
              <w:rPr>
                <w:rFonts w:ascii="Times New Roman" w:hAnsi="Times New Roman"/>
                <w:sz w:val="16"/>
                <w:szCs w:val="16"/>
              </w:rPr>
            </w:pPr>
            <w:r w:rsidRPr="00CB0E0C">
              <w:rPr>
                <w:rFonts w:ascii="Times New Roman" w:hAnsi="Times New Roman"/>
                <w:sz w:val="16"/>
                <w:szCs w:val="16"/>
              </w:rPr>
              <w:t>-</w:t>
            </w:r>
          </w:p>
        </w:tc>
        <w:tc>
          <w:tcPr>
            <w:tcW w:w="442"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B0E0C" w:rsidP="000008FE">
            <w:pPr>
              <w:bidi w:val="0"/>
              <w:jc w:val="right"/>
              <w:rPr>
                <w:rFonts w:ascii="Times New Roman" w:hAnsi="Times New Roman"/>
                <w:b/>
                <w:bCs/>
                <w:iCs/>
                <w:sz w:val="16"/>
                <w:szCs w:val="16"/>
              </w:rPr>
            </w:pPr>
            <w:r w:rsidRPr="00CB0E0C">
              <w:rPr>
                <w:rFonts w:ascii="Times New Roman" w:hAnsi="Times New Roman"/>
                <w:b/>
                <w:bCs/>
                <w:iCs/>
                <w:sz w:val="16"/>
                <w:szCs w:val="16"/>
              </w:rPr>
              <w:t>227</w:t>
            </w:r>
          </w:p>
        </w:tc>
        <w:tc>
          <w:tcPr>
            <w:tcW w:w="442"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B0E0C" w:rsidP="000008FE">
            <w:pPr>
              <w:bidi w:val="0"/>
              <w:jc w:val="right"/>
              <w:rPr>
                <w:rFonts w:ascii="Times New Roman" w:hAnsi="Times New Roman"/>
                <w:b/>
                <w:bCs/>
                <w:iCs/>
                <w:sz w:val="16"/>
                <w:szCs w:val="16"/>
              </w:rPr>
            </w:pPr>
            <w:r w:rsidRPr="00CB0E0C">
              <w:rPr>
                <w:rFonts w:ascii="Times New Roman" w:hAnsi="Times New Roman"/>
                <w:b/>
                <w:bCs/>
                <w:iCs/>
                <w:sz w:val="16"/>
                <w:szCs w:val="16"/>
              </w:rPr>
              <w:t>195</w:t>
            </w:r>
          </w:p>
        </w:tc>
        <w:tc>
          <w:tcPr>
            <w:tcW w:w="442"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B0E0C" w:rsidP="000008FE">
            <w:pPr>
              <w:bidi w:val="0"/>
              <w:jc w:val="right"/>
              <w:rPr>
                <w:rFonts w:ascii="Times New Roman" w:hAnsi="Times New Roman"/>
                <w:b/>
                <w:bCs/>
                <w:iCs/>
                <w:sz w:val="16"/>
                <w:szCs w:val="16"/>
              </w:rPr>
            </w:pPr>
            <w:r w:rsidRPr="00CB0E0C">
              <w:rPr>
                <w:rFonts w:ascii="Times New Roman" w:hAnsi="Times New Roman"/>
                <w:b/>
                <w:bCs/>
                <w:iCs/>
                <w:sz w:val="16"/>
                <w:szCs w:val="16"/>
              </w:rPr>
              <w:t>168</w:t>
            </w:r>
          </w:p>
        </w:tc>
        <w:tc>
          <w:tcPr>
            <w:tcW w:w="441" w:type="pct"/>
            <w:tcBorders>
              <w:top w:val="single" w:sz="4" w:space="0" w:color="auto"/>
              <w:left w:val="single" w:sz="4" w:space="0" w:color="auto"/>
              <w:bottom w:val="single" w:sz="4" w:space="0" w:color="auto"/>
              <w:right w:val="single" w:sz="4" w:space="0" w:color="auto"/>
            </w:tcBorders>
            <w:shd w:val="pct25" w:color="000000" w:fill="auto"/>
            <w:noWrap/>
            <w:textDirection w:val="lrTb"/>
            <w:vAlign w:val="bottom"/>
            <w:hideMark/>
          </w:tcPr>
          <w:p w:rsidR="00705199" w:rsidRPr="00CB0E0C" w:rsidP="000008FE">
            <w:pPr>
              <w:bidi w:val="0"/>
              <w:jc w:val="right"/>
              <w:rPr>
                <w:rFonts w:ascii="Times New Roman" w:hAnsi="Times New Roman"/>
                <w:b/>
                <w:bCs/>
                <w:iCs/>
                <w:sz w:val="16"/>
                <w:szCs w:val="16"/>
              </w:rPr>
            </w:pPr>
            <w:r w:rsidRPr="00CB0E0C">
              <w:rPr>
                <w:rFonts w:ascii="Times New Roman" w:hAnsi="Times New Roman"/>
                <w:b/>
                <w:bCs/>
                <w:iCs/>
                <w:sz w:val="16"/>
                <w:szCs w:val="16"/>
              </w:rPr>
              <w:t>214</w:t>
            </w:r>
          </w:p>
        </w:tc>
      </w:tr>
    </w:tbl>
    <w:p w:rsidR="006C0389" w:rsidRPr="00CB0E0C" w:rsidP="006C0389">
      <w:pPr>
        <w:bidi w:val="0"/>
        <w:jc w:val="both"/>
        <w:rPr>
          <w:rFonts w:ascii="Times New Roman" w:hAnsi="Times New Roman"/>
          <w:sz w:val="14"/>
          <w:szCs w:val="14"/>
        </w:rPr>
      </w:pPr>
      <w:r w:rsidRPr="00CB0E0C">
        <w:rPr>
          <w:rFonts w:ascii="Times New Roman" w:hAnsi="Times New Roman"/>
          <w:sz w:val="14"/>
          <w:szCs w:val="14"/>
        </w:rPr>
        <w:t>V roku 2015 FnPV ako subjekt verejnej správy nemal schválený rozpočet</w:t>
      </w:r>
      <w:r w:rsidRPr="00CB0E0C" w:rsidR="008642CF">
        <w:rPr>
          <w:rFonts w:ascii="Times New Roman" w:hAnsi="Times New Roman"/>
          <w:sz w:val="14"/>
          <w:szCs w:val="14"/>
        </w:rPr>
        <w:t>.</w:t>
      </w:r>
    </w:p>
    <w:p w:rsidR="006C0389" w:rsidRPr="00C00234" w:rsidP="006C0389">
      <w:pPr>
        <w:bidi w:val="0"/>
        <w:jc w:val="both"/>
        <w:rPr>
          <w:rFonts w:ascii="Times New Roman" w:hAnsi="Times New Roman"/>
          <w:b/>
          <w:u w:val="single"/>
        </w:rPr>
      </w:pPr>
    </w:p>
    <w:p w:rsidR="006C0389" w:rsidP="006C0389">
      <w:pPr>
        <w:bidi w:val="0"/>
        <w:ind w:firstLine="708"/>
        <w:jc w:val="both"/>
        <w:rPr>
          <w:rFonts w:ascii="Times New Roman" w:hAnsi="Times New Roman"/>
        </w:rPr>
      </w:pPr>
      <w:r w:rsidRPr="00C00234">
        <w:rPr>
          <w:rFonts w:ascii="Times New Roman" w:hAnsi="Times New Roman"/>
        </w:rPr>
        <w:t>Celkový limit príjmov FnPV predstavuje výšku 9,</w:t>
      </w:r>
      <w:r>
        <w:rPr>
          <w:rFonts w:ascii="Times New Roman" w:hAnsi="Times New Roman"/>
        </w:rPr>
        <w:t>12</w:t>
      </w:r>
      <w:r w:rsidRPr="00C00234">
        <w:rPr>
          <w:rFonts w:ascii="Times New Roman" w:hAnsi="Times New Roman"/>
        </w:rPr>
        <w:t xml:space="preserve"> mil. eur. Tieto pozostávajú z vlastných príjmov</w:t>
      </w:r>
      <w:r>
        <w:rPr>
          <w:rFonts w:ascii="Times New Roman" w:hAnsi="Times New Roman"/>
        </w:rPr>
        <w:t>,</w:t>
      </w:r>
      <w:r w:rsidRPr="00C00234">
        <w:rPr>
          <w:rFonts w:ascii="Times New Roman" w:hAnsi="Times New Roman"/>
        </w:rPr>
        <w:t> zo splátok pôžičiek</w:t>
      </w:r>
      <w:r>
        <w:rPr>
          <w:rFonts w:ascii="Times New Roman" w:hAnsi="Times New Roman"/>
        </w:rPr>
        <w:t xml:space="preserve"> a zo zostatku prostriedkov z predchádzajúcich rokov</w:t>
      </w:r>
      <w:r w:rsidRPr="00C00234">
        <w:rPr>
          <w:rFonts w:ascii="Times New Roman" w:hAnsi="Times New Roman"/>
        </w:rPr>
        <w:t xml:space="preserve">. Príjmy </w:t>
      </w:r>
      <w:r w:rsidRPr="00C00234">
        <w:rPr>
          <w:rFonts w:ascii="Times New Roman" w:hAnsi="Times New Roman"/>
        </w:rPr>
        <w:t xml:space="preserve">fondu závisia výlučne od splátok pôžičiek. </w:t>
      </w:r>
    </w:p>
    <w:p w:rsidR="006C0389" w:rsidRPr="00003F01" w:rsidP="006C0389">
      <w:pPr>
        <w:bidi w:val="0"/>
        <w:ind w:firstLine="708"/>
        <w:jc w:val="both"/>
        <w:rPr>
          <w:rFonts w:ascii="Times New Roman" w:hAnsi="Times New Roman"/>
          <w:sz w:val="16"/>
          <w:szCs w:val="16"/>
        </w:rPr>
      </w:pPr>
    </w:p>
    <w:p w:rsidR="006C0389" w:rsidRPr="00C00234" w:rsidP="006C0389">
      <w:pPr>
        <w:bidi w:val="0"/>
        <w:ind w:firstLine="708"/>
        <w:jc w:val="both"/>
        <w:rPr>
          <w:rFonts w:ascii="Times New Roman" w:hAnsi="Times New Roman"/>
        </w:rPr>
      </w:pPr>
      <w:r w:rsidRPr="00C00234">
        <w:rPr>
          <w:rFonts w:ascii="Times New Roman" w:hAnsi="Times New Roman"/>
        </w:rPr>
        <w:t xml:space="preserve">Na plnenie príjmov </w:t>
      </w:r>
      <w:r>
        <w:rPr>
          <w:rFonts w:ascii="Times New Roman" w:hAnsi="Times New Roman"/>
        </w:rPr>
        <w:t>fondu</w:t>
      </w:r>
      <w:r w:rsidRPr="00C00234">
        <w:rPr>
          <w:rFonts w:ascii="Times New Roman" w:hAnsi="Times New Roman"/>
        </w:rPr>
        <w:t xml:space="preserve"> má negatívny vplyv možnosť odpisu nesplatenej istiny pôžičiek pedagógov v zmysle § 16 odsek 3 cit. zákona. Ďalším faktorom je dlhodobý neúmerný pokles výnosov desaťročných štátnych dlhopisov, od ktorých sa odvíja úročenie pôžičiek poskytovaných </w:t>
      </w:r>
      <w:r>
        <w:rPr>
          <w:rFonts w:ascii="Times New Roman" w:hAnsi="Times New Roman"/>
        </w:rPr>
        <w:t>fondom</w:t>
      </w:r>
      <w:r w:rsidRPr="00C00234">
        <w:rPr>
          <w:rFonts w:ascii="Times New Roman" w:hAnsi="Times New Roman"/>
        </w:rPr>
        <w:t xml:space="preserve">. </w:t>
      </w:r>
    </w:p>
    <w:p w:rsidR="006C0389" w:rsidRPr="00003F01" w:rsidP="006C0389">
      <w:pPr>
        <w:bidi w:val="0"/>
        <w:jc w:val="both"/>
        <w:rPr>
          <w:rFonts w:ascii="Times New Roman" w:hAnsi="Times New Roman"/>
          <w:sz w:val="16"/>
          <w:szCs w:val="16"/>
        </w:rPr>
      </w:pPr>
    </w:p>
    <w:p w:rsidR="006C0389" w:rsidP="006C0389">
      <w:pPr>
        <w:bidi w:val="0"/>
        <w:ind w:firstLine="708"/>
        <w:jc w:val="both"/>
        <w:rPr>
          <w:rFonts w:ascii="Times New Roman" w:hAnsi="Times New Roman"/>
        </w:rPr>
      </w:pPr>
      <w:r>
        <w:rPr>
          <w:rFonts w:ascii="Times New Roman" w:hAnsi="Times New Roman"/>
        </w:rPr>
        <w:t>V</w:t>
      </w:r>
      <w:r w:rsidRPr="00C00234">
        <w:rPr>
          <w:rFonts w:ascii="Times New Roman" w:hAnsi="Times New Roman"/>
        </w:rPr>
        <w:t>ýdavky FnPV na rok 2016 sa rozpočtujú v sume 7,83 mil. eur</w:t>
      </w:r>
      <w:r>
        <w:rPr>
          <w:rFonts w:ascii="Times New Roman" w:hAnsi="Times New Roman"/>
        </w:rPr>
        <w:t>, ktoré sú určené na poskytovanie pôžičiek študentom vysokých škôl a pedagogickým zamestnancom a na správu fondu.</w:t>
      </w:r>
    </w:p>
    <w:p w:rsidR="006C0389" w:rsidRPr="00003F01" w:rsidP="006C0389">
      <w:pPr>
        <w:bidi w:val="0"/>
        <w:ind w:firstLine="708"/>
        <w:jc w:val="both"/>
        <w:rPr>
          <w:rFonts w:ascii="Times New Roman" w:hAnsi="Times New Roman"/>
          <w:sz w:val="16"/>
          <w:szCs w:val="16"/>
        </w:rPr>
      </w:pPr>
    </w:p>
    <w:p w:rsidR="006C0389" w:rsidP="006C0389">
      <w:pPr>
        <w:bidi w:val="0"/>
        <w:ind w:firstLine="708"/>
        <w:jc w:val="both"/>
        <w:rPr>
          <w:rFonts w:ascii="Times New Roman" w:hAnsi="Times New Roman"/>
        </w:rPr>
      </w:pPr>
      <w:r w:rsidRPr="00CA2DB7">
        <w:rPr>
          <w:rFonts w:ascii="Times New Roman" w:hAnsi="Times New Roman"/>
        </w:rPr>
        <w:t>Bežné výdavky na rok 201</w:t>
      </w:r>
      <w:r>
        <w:rPr>
          <w:rFonts w:ascii="Times New Roman" w:hAnsi="Times New Roman"/>
        </w:rPr>
        <w:t>6</w:t>
      </w:r>
      <w:r w:rsidRPr="00CA2DB7">
        <w:rPr>
          <w:rFonts w:ascii="Times New Roman" w:hAnsi="Times New Roman"/>
        </w:rPr>
        <w:t xml:space="preserve"> </w:t>
      </w:r>
      <w:r>
        <w:rPr>
          <w:rFonts w:ascii="Times New Roman" w:hAnsi="Times New Roman"/>
        </w:rPr>
        <w:t xml:space="preserve">na správu fondu sú rozpočtované v sume 825 tis. eur. </w:t>
      </w:r>
      <w:r w:rsidRPr="00710094">
        <w:rPr>
          <w:rFonts w:ascii="Times New Roman" w:hAnsi="Times New Roman"/>
        </w:rPr>
        <w:t xml:space="preserve">Osobné výdavky sú rozpočtované pre </w:t>
      </w:r>
      <w:r>
        <w:rPr>
          <w:rFonts w:ascii="Times New Roman" w:hAnsi="Times New Roman"/>
        </w:rPr>
        <w:t xml:space="preserve">16 </w:t>
      </w:r>
      <w:r w:rsidRPr="00710094">
        <w:rPr>
          <w:rFonts w:ascii="Times New Roman" w:hAnsi="Times New Roman"/>
        </w:rPr>
        <w:t>osôb</w:t>
      </w:r>
      <w:r>
        <w:rPr>
          <w:rFonts w:ascii="Times New Roman" w:hAnsi="Times New Roman"/>
        </w:rPr>
        <w:t>, ktoré</w:t>
      </w:r>
      <w:r w:rsidRPr="00710094">
        <w:rPr>
          <w:rFonts w:ascii="Times New Roman" w:hAnsi="Times New Roman"/>
        </w:rPr>
        <w:t xml:space="preserve"> </w:t>
      </w:r>
      <w:r>
        <w:rPr>
          <w:rFonts w:ascii="Times New Roman" w:hAnsi="Times New Roman"/>
        </w:rPr>
        <w:t xml:space="preserve">sú navrhované vo výške 371 tis. eur. </w:t>
      </w:r>
      <w:r w:rsidRPr="00710094">
        <w:rPr>
          <w:rFonts w:ascii="Times New Roman" w:hAnsi="Times New Roman"/>
        </w:rPr>
        <w:t xml:space="preserve">Výdavky na tovary a služby sú rozpočtované na </w:t>
      </w:r>
      <w:r>
        <w:rPr>
          <w:rFonts w:ascii="Times New Roman" w:hAnsi="Times New Roman"/>
        </w:rPr>
        <w:t>zabezpečnie chodu kancelárie fondu vo výške 443 tis. eur.</w:t>
      </w:r>
      <w:r w:rsidRPr="00710094">
        <w:rPr>
          <w:rFonts w:ascii="Times New Roman" w:hAnsi="Times New Roman"/>
        </w:rPr>
        <w:t xml:space="preserve"> Bežné transfery </w:t>
      </w:r>
      <w:r>
        <w:rPr>
          <w:rFonts w:ascii="Times New Roman" w:hAnsi="Times New Roman"/>
        </w:rPr>
        <w:t xml:space="preserve">sú rozpočtované vo výške 10 tis. eur pre zamestnancov na financovanie nemocenských dávok a odstupného. </w:t>
      </w:r>
      <w:r w:rsidRPr="000E4AF3">
        <w:rPr>
          <w:rFonts w:ascii="Times New Roman" w:hAnsi="Times New Roman"/>
        </w:rPr>
        <w:t xml:space="preserve">Kapitálové výdavky </w:t>
      </w:r>
      <w:r>
        <w:rPr>
          <w:rFonts w:ascii="Times New Roman" w:hAnsi="Times New Roman"/>
        </w:rPr>
        <w:t>na</w:t>
      </w:r>
      <w:r w:rsidRPr="000E4AF3">
        <w:rPr>
          <w:rFonts w:ascii="Times New Roman" w:hAnsi="Times New Roman"/>
        </w:rPr>
        <w:t> rok 201</w:t>
      </w:r>
      <w:r>
        <w:rPr>
          <w:rFonts w:ascii="Times New Roman" w:hAnsi="Times New Roman"/>
        </w:rPr>
        <w:t>6</w:t>
      </w:r>
      <w:r w:rsidRPr="000E4AF3">
        <w:rPr>
          <w:rFonts w:ascii="Times New Roman" w:hAnsi="Times New Roman"/>
        </w:rPr>
        <w:t xml:space="preserve"> </w:t>
      </w:r>
      <w:r>
        <w:rPr>
          <w:rFonts w:ascii="Times New Roman" w:hAnsi="Times New Roman"/>
        </w:rPr>
        <w:t>vo výške 2 tis. eur sú zabezpečné na obnovu softvéru.</w:t>
      </w:r>
    </w:p>
    <w:p w:rsidR="006C0389" w:rsidRPr="00BA2519" w:rsidP="006C0389">
      <w:pPr>
        <w:bidi w:val="0"/>
        <w:ind w:firstLine="708"/>
        <w:jc w:val="both"/>
        <w:rPr>
          <w:rFonts w:ascii="Times New Roman" w:hAnsi="Times New Roman"/>
          <w:sz w:val="16"/>
          <w:szCs w:val="16"/>
        </w:rPr>
      </w:pPr>
    </w:p>
    <w:p w:rsidR="006C0389" w:rsidRPr="000E4AF3" w:rsidP="006C0389">
      <w:pPr>
        <w:tabs>
          <w:tab w:val="left" w:pos="0"/>
        </w:tabs>
        <w:bidi w:val="0"/>
        <w:jc w:val="both"/>
        <w:rPr>
          <w:rFonts w:ascii="Times New Roman" w:hAnsi="Times New Roman"/>
        </w:rPr>
      </w:pPr>
      <w:r w:rsidRPr="000E4AF3">
        <w:rPr>
          <w:rFonts w:ascii="Times New Roman" w:hAnsi="Times New Roman"/>
        </w:rPr>
        <w:tab/>
        <w:t>Celkov</w:t>
      </w:r>
      <w:r>
        <w:rPr>
          <w:rFonts w:ascii="Times New Roman" w:hAnsi="Times New Roman"/>
        </w:rPr>
        <w:t>á bilancia</w:t>
      </w:r>
      <w:r w:rsidRPr="000E4AF3">
        <w:rPr>
          <w:rFonts w:ascii="Times New Roman" w:hAnsi="Times New Roman"/>
        </w:rPr>
        <w:t xml:space="preserve"> </w:t>
      </w:r>
      <w:r>
        <w:rPr>
          <w:rFonts w:ascii="Times New Roman" w:hAnsi="Times New Roman"/>
        </w:rPr>
        <w:t>Fondu</w:t>
      </w:r>
      <w:r w:rsidRPr="000E4AF3">
        <w:rPr>
          <w:rFonts w:ascii="Times New Roman" w:hAnsi="Times New Roman"/>
        </w:rPr>
        <w:t xml:space="preserve"> </w:t>
      </w:r>
      <w:r>
        <w:rPr>
          <w:rFonts w:ascii="Times New Roman" w:hAnsi="Times New Roman"/>
        </w:rPr>
        <w:t xml:space="preserve">na podporu vzdelávania </w:t>
      </w:r>
      <w:r w:rsidRPr="000E4AF3">
        <w:rPr>
          <w:rFonts w:ascii="Times New Roman" w:hAnsi="Times New Roman"/>
        </w:rPr>
        <w:t xml:space="preserve">sa </w:t>
      </w:r>
      <w:r>
        <w:rPr>
          <w:rFonts w:ascii="Times New Roman" w:hAnsi="Times New Roman"/>
        </w:rPr>
        <w:t>v</w:t>
      </w:r>
      <w:r w:rsidRPr="000E4AF3">
        <w:rPr>
          <w:rFonts w:ascii="Times New Roman" w:hAnsi="Times New Roman"/>
        </w:rPr>
        <w:t xml:space="preserve"> rok</w:t>
      </w:r>
      <w:r>
        <w:rPr>
          <w:rFonts w:ascii="Times New Roman" w:hAnsi="Times New Roman"/>
        </w:rPr>
        <w:t>u</w:t>
      </w:r>
      <w:r w:rsidRPr="000E4AF3">
        <w:rPr>
          <w:rFonts w:ascii="Times New Roman" w:hAnsi="Times New Roman"/>
        </w:rPr>
        <w:t xml:space="preserve"> 201</w:t>
      </w:r>
      <w:r>
        <w:rPr>
          <w:rFonts w:ascii="Times New Roman" w:hAnsi="Times New Roman"/>
        </w:rPr>
        <w:t>6</w:t>
      </w:r>
      <w:r w:rsidRPr="000E4AF3">
        <w:rPr>
          <w:rFonts w:ascii="Times New Roman" w:hAnsi="Times New Roman"/>
        </w:rPr>
        <w:t xml:space="preserve"> predpokladá vo výške </w:t>
      </w:r>
      <w:r>
        <w:rPr>
          <w:rFonts w:ascii="Times New Roman" w:hAnsi="Times New Roman"/>
        </w:rPr>
        <w:t>1,29</w:t>
      </w:r>
      <w:r w:rsidRPr="000E4AF3">
        <w:rPr>
          <w:rFonts w:ascii="Times New Roman" w:hAnsi="Times New Roman"/>
        </w:rPr>
        <w:t xml:space="preserve"> mil. eur</w:t>
      </w:r>
      <w:r>
        <w:rPr>
          <w:rFonts w:ascii="Times New Roman" w:hAnsi="Times New Roman"/>
        </w:rPr>
        <w:t>, v roku 2017 vo výške 1,46 mil. eur a v roku 2018 vov výške 1,87 mil. eur</w:t>
      </w:r>
      <w:r w:rsidRPr="000E4AF3">
        <w:rPr>
          <w:rFonts w:ascii="Times New Roman" w:hAnsi="Times New Roman"/>
        </w:rPr>
        <w:t xml:space="preserve">.  V metodike ESA </w:t>
      </w:r>
      <w:r>
        <w:rPr>
          <w:rFonts w:ascii="Times New Roman" w:hAnsi="Times New Roman"/>
        </w:rPr>
        <w:t>2010</w:t>
      </w:r>
      <w:r w:rsidRPr="000E4AF3">
        <w:rPr>
          <w:rFonts w:ascii="Times New Roman" w:hAnsi="Times New Roman"/>
        </w:rPr>
        <w:t xml:space="preserve"> je rozpočtovaný prebytok hospodárenia v rok</w:t>
      </w:r>
      <w:r>
        <w:rPr>
          <w:rFonts w:ascii="Times New Roman" w:hAnsi="Times New Roman"/>
        </w:rPr>
        <w:t>u</w:t>
      </w:r>
      <w:r w:rsidRPr="000E4AF3">
        <w:rPr>
          <w:rFonts w:ascii="Times New Roman" w:hAnsi="Times New Roman"/>
        </w:rPr>
        <w:t xml:space="preserve"> 201</w:t>
      </w:r>
      <w:r>
        <w:rPr>
          <w:rFonts w:ascii="Times New Roman" w:hAnsi="Times New Roman"/>
        </w:rPr>
        <w:t xml:space="preserve">6 </w:t>
      </w:r>
      <w:r w:rsidRPr="000E4AF3">
        <w:rPr>
          <w:rFonts w:ascii="Times New Roman" w:hAnsi="Times New Roman"/>
        </w:rPr>
        <w:t xml:space="preserve">vo výške </w:t>
      </w:r>
      <w:r w:rsidR="006244B6">
        <w:rPr>
          <w:rFonts w:ascii="Times New Roman" w:hAnsi="Times New Roman"/>
        </w:rPr>
        <w:br/>
      </w:r>
      <w:r>
        <w:rPr>
          <w:rFonts w:ascii="Times New Roman" w:hAnsi="Times New Roman"/>
        </w:rPr>
        <w:t>195 tis.</w:t>
      </w:r>
      <w:r w:rsidRPr="000E4AF3">
        <w:rPr>
          <w:rFonts w:ascii="Times New Roman" w:hAnsi="Times New Roman"/>
        </w:rPr>
        <w:t xml:space="preserve"> eur</w:t>
      </w:r>
      <w:r>
        <w:rPr>
          <w:rFonts w:ascii="Times New Roman" w:hAnsi="Times New Roman"/>
        </w:rPr>
        <w:t>, v roku 2017 vo výške 168 tis. eur a v roku 2018 vo výške 214 tis. eur</w:t>
      </w:r>
      <w:r w:rsidRPr="000E4AF3">
        <w:rPr>
          <w:rFonts w:ascii="Times New Roman" w:hAnsi="Times New Roman"/>
        </w:rPr>
        <w:t xml:space="preserve">. </w:t>
      </w:r>
    </w:p>
    <w:p w:rsidR="006C0389" w:rsidP="006C0389">
      <w:pPr>
        <w:bidi w:val="0"/>
        <w:jc w:val="both"/>
        <w:rPr>
          <w:rFonts w:ascii="Times New Roman" w:hAnsi="Times New Roman"/>
        </w:rPr>
      </w:pPr>
    </w:p>
    <w:p w:rsidR="006C0389" w:rsidP="006C0389">
      <w:pPr>
        <w:bidi w:val="0"/>
        <w:rPr>
          <w:rFonts w:ascii="Times New Roman" w:hAnsi="Times New Roman"/>
          <w:b/>
          <w:bCs/>
        </w:rPr>
      </w:pPr>
      <w:r w:rsidRPr="00AE4748">
        <w:rPr>
          <w:rFonts w:ascii="Times New Roman" w:hAnsi="Times New Roman"/>
          <w:b/>
          <w:bCs/>
        </w:rPr>
        <w:t>2</w:t>
      </w:r>
      <w:r w:rsidR="004F4345">
        <w:rPr>
          <w:rFonts w:ascii="Times New Roman" w:hAnsi="Times New Roman"/>
          <w:b/>
          <w:bCs/>
        </w:rPr>
        <w:t>1</w:t>
      </w:r>
      <w:r w:rsidRPr="00AE4748">
        <w:rPr>
          <w:rFonts w:ascii="Times New Roman" w:hAnsi="Times New Roman"/>
          <w:b/>
          <w:bCs/>
        </w:rPr>
        <w:t>. Fond na podporu umenia</w:t>
      </w:r>
    </w:p>
    <w:p w:rsidR="006C0389" w:rsidRPr="00003F01" w:rsidP="006C0389">
      <w:pPr>
        <w:bidi w:val="0"/>
        <w:rPr>
          <w:rFonts w:ascii="Times New Roman" w:hAnsi="Times New Roman"/>
          <w:b/>
          <w:bCs/>
          <w:sz w:val="16"/>
          <w:szCs w:val="16"/>
        </w:rPr>
      </w:pPr>
    </w:p>
    <w:p w:rsidR="006C0389" w:rsidP="006C0389">
      <w:pPr>
        <w:bidi w:val="0"/>
        <w:ind w:firstLine="709"/>
        <w:jc w:val="both"/>
        <w:rPr>
          <w:rFonts w:ascii="Times New Roman" w:hAnsi="Times New Roman"/>
        </w:rPr>
      </w:pPr>
      <w:r w:rsidRPr="005A5583">
        <w:rPr>
          <w:rFonts w:ascii="Times New Roman" w:hAnsi="Times New Roman"/>
        </w:rPr>
        <w:t xml:space="preserve">Fond na podporu umenia </w:t>
      </w:r>
      <w:r>
        <w:rPr>
          <w:rFonts w:ascii="Times New Roman" w:hAnsi="Times New Roman"/>
        </w:rPr>
        <w:t xml:space="preserve">(ďalej len „fond“) </w:t>
      </w:r>
      <w:r w:rsidRPr="005A5583">
        <w:rPr>
          <w:rFonts w:ascii="Times New Roman" w:hAnsi="Times New Roman"/>
        </w:rPr>
        <w:t>je verejnoprávna inštitúcia zabezpečujúca podporu umeleckých aktivít, kultúry a kreatívneho priemyslu, ktorá vznikla na základe zákona č. 284/2014 Z. z.</w:t>
      </w:r>
      <w:r>
        <w:rPr>
          <w:rFonts w:ascii="Times New Roman" w:hAnsi="Times New Roman"/>
        </w:rPr>
        <w:t xml:space="preserve"> o Fonde na podporu umenia v znení neskroších predpisov.</w:t>
      </w:r>
      <w:r w:rsidRPr="005A5583">
        <w:rPr>
          <w:rFonts w:ascii="Times New Roman" w:hAnsi="Times New Roman"/>
        </w:rPr>
        <w:t xml:space="preserve"> Fond nahrádza podstatnú časť dotačného systému ministerstva kultúry, pričom jeho hlavným poslaním je podpora „živého“ umenia a kultúry. Fond poskytuje finančné prostriedky najmä na tvorbu, šírenie a prezentáciu umeleckých diel; podporu medzinárodnej spolupráce; na vzdelávacie programy v oblasti umenia, kultúry a kreatívneho priemyslu; na štipendiá pre fyzické osoby, ktoré sa tvorivo, čí výskumne podieľajú na rozvoji umenia a kultúry.</w:t>
      </w:r>
    </w:p>
    <w:p w:rsidR="006C0389" w:rsidRPr="00003F01" w:rsidP="006C0389">
      <w:pPr>
        <w:bidi w:val="0"/>
        <w:ind w:firstLine="709"/>
        <w:jc w:val="both"/>
        <w:rPr>
          <w:rFonts w:ascii="Times New Roman" w:hAnsi="Times New Roman"/>
          <w:sz w:val="16"/>
          <w:szCs w:val="16"/>
        </w:rPr>
      </w:pPr>
    </w:p>
    <w:p w:rsidR="006C0389" w:rsidP="006C0389">
      <w:pPr>
        <w:bidi w:val="0"/>
        <w:ind w:firstLine="709"/>
        <w:jc w:val="both"/>
        <w:rPr>
          <w:rFonts w:ascii="Times New Roman" w:hAnsi="Times New Roman"/>
        </w:rPr>
      </w:pPr>
      <w:r>
        <w:rPr>
          <w:rFonts w:ascii="Times New Roman" w:hAnsi="Times New Roman"/>
        </w:rPr>
        <w:t>Fond zahájil svoju činnosť 1.5.2015, pričom v roku 2015 ešte nebude realizovať podpornú činnosť.</w:t>
      </w:r>
    </w:p>
    <w:p w:rsidR="006C0389" w:rsidRPr="00003F01" w:rsidP="006C0389">
      <w:pPr>
        <w:bidi w:val="0"/>
        <w:ind w:firstLine="709"/>
        <w:jc w:val="both"/>
        <w:rPr>
          <w:rFonts w:ascii="Times New Roman" w:hAnsi="Times New Roman"/>
          <w:sz w:val="16"/>
          <w:szCs w:val="16"/>
        </w:rPr>
      </w:pPr>
    </w:p>
    <w:p w:rsidR="006C0389" w:rsidP="006C0389">
      <w:pPr>
        <w:bidi w:val="0"/>
        <w:ind w:firstLine="708"/>
        <w:jc w:val="both"/>
        <w:rPr>
          <w:rFonts w:ascii="Times New Roman" w:hAnsi="Times New Roman"/>
        </w:rPr>
      </w:pPr>
      <w:r>
        <w:rPr>
          <w:rFonts w:ascii="Times New Roman" w:hAnsi="Times New Roman"/>
        </w:rPr>
        <w:t>Vývoj príjmovej a výdavkovej časti rozpočtu na roky 2016 až 2018 je nasledovný:</w:t>
      </w:r>
    </w:p>
    <w:p w:rsidR="006C0389" w:rsidRPr="00003F01" w:rsidP="006C0389">
      <w:pPr>
        <w:bidi w:val="0"/>
        <w:ind w:firstLine="708"/>
        <w:jc w:val="both"/>
        <w:rPr>
          <w:rFonts w:ascii="Times New Roman" w:hAnsi="Times New Roman"/>
          <w:sz w:val="16"/>
          <w:szCs w:val="16"/>
        </w:rPr>
      </w:pPr>
    </w:p>
    <w:tbl>
      <w:tblPr>
        <w:tblStyle w:val="TableNormal"/>
        <w:tblW w:w="9303" w:type="dxa"/>
        <w:jc w:val="center"/>
        <w:tblLayout w:type="fixed"/>
        <w:tblCellMar>
          <w:left w:w="70" w:type="dxa"/>
          <w:right w:w="70" w:type="dxa"/>
        </w:tblCellMar>
        <w:tblLook w:val="04A0"/>
      </w:tblPr>
      <w:tblGrid>
        <w:gridCol w:w="3661"/>
        <w:gridCol w:w="806"/>
        <w:gridCol w:w="806"/>
        <w:gridCol w:w="806"/>
        <w:gridCol w:w="806"/>
        <w:gridCol w:w="806"/>
        <w:gridCol w:w="806"/>
        <w:gridCol w:w="806"/>
      </w:tblGrid>
      <w:tr>
        <w:tblPrEx>
          <w:tblW w:w="9303" w:type="dxa"/>
          <w:jc w:val="center"/>
          <w:tblLayout w:type="fixed"/>
          <w:tblCellMar>
            <w:left w:w="70" w:type="dxa"/>
            <w:right w:w="70" w:type="dxa"/>
          </w:tblCellMar>
          <w:tblLook w:val="04A0"/>
        </w:tblPrEx>
        <w:trPr>
          <w:trHeight w:val="210"/>
          <w:jc w:val="center"/>
        </w:trPr>
        <w:tc>
          <w:tcPr>
            <w:tcW w:w="3661" w:type="dxa"/>
            <w:tcBorders>
              <w:top w:val="single" w:sz="4" w:space="0" w:color="auto"/>
              <w:left w:val="single" w:sz="4" w:space="0" w:color="auto"/>
              <w:bottom w:val="single" w:sz="4" w:space="0" w:color="auto"/>
              <w:right w:val="single" w:sz="4" w:space="0" w:color="auto"/>
            </w:tcBorders>
            <w:shd w:val="pct35" w:color="000000" w:fill="FFFFFF"/>
            <w:textDirection w:val="lrTb"/>
            <w:vAlign w:val="center"/>
            <w:hideMark/>
          </w:tcPr>
          <w:p w:rsidR="004533A4" w:rsidRPr="0073209E" w:rsidP="000008FE">
            <w:pPr>
              <w:bidi w:val="0"/>
              <w:rPr>
                <w:rFonts w:ascii="Times New Roman" w:hAnsi="Times New Roman"/>
                <w:b/>
                <w:bCs/>
                <w:sz w:val="16"/>
                <w:szCs w:val="16"/>
              </w:rPr>
            </w:pPr>
            <w:r w:rsidRPr="0073209E">
              <w:rPr>
                <w:rFonts w:ascii="Times New Roman" w:hAnsi="Times New Roman"/>
                <w:b/>
                <w:bCs/>
                <w:sz w:val="16"/>
                <w:szCs w:val="16"/>
              </w:rPr>
              <w:t xml:space="preserve">v tis. eur </w:t>
            </w:r>
          </w:p>
        </w:tc>
        <w:tc>
          <w:tcPr>
            <w:tcW w:w="806" w:type="dxa"/>
            <w:tcBorders>
              <w:top w:val="single" w:sz="4" w:space="0" w:color="auto"/>
              <w:left w:val="nil"/>
              <w:bottom w:val="single" w:sz="4" w:space="0" w:color="auto"/>
              <w:right w:val="single" w:sz="4" w:space="0" w:color="auto"/>
            </w:tcBorders>
            <w:shd w:val="pct35" w:color="000000" w:fill="FFFFFF"/>
            <w:noWrap/>
            <w:textDirection w:val="lrTb"/>
            <w:vAlign w:val="bottom"/>
          </w:tcPr>
          <w:p w:rsidR="004533A4" w:rsidRPr="007903DA" w:rsidP="004533A4">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2013 S</w:t>
            </w:r>
          </w:p>
        </w:tc>
        <w:tc>
          <w:tcPr>
            <w:tcW w:w="806" w:type="dxa"/>
            <w:tcBorders>
              <w:top w:val="single" w:sz="4" w:space="0" w:color="auto"/>
              <w:left w:val="nil"/>
              <w:bottom w:val="single" w:sz="4" w:space="0" w:color="auto"/>
              <w:right w:val="single" w:sz="4" w:space="0" w:color="auto"/>
            </w:tcBorders>
            <w:shd w:val="pct35" w:color="000000" w:fill="FFFFFF"/>
            <w:noWrap/>
            <w:textDirection w:val="lrTb"/>
            <w:vAlign w:val="bottom"/>
          </w:tcPr>
          <w:p w:rsidR="004533A4" w:rsidRPr="007903DA" w:rsidP="003553EB">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2014 S</w:t>
            </w:r>
          </w:p>
        </w:tc>
        <w:tc>
          <w:tcPr>
            <w:tcW w:w="806" w:type="dxa"/>
            <w:tcBorders>
              <w:top w:val="single" w:sz="4" w:space="0" w:color="auto"/>
              <w:left w:val="nil"/>
              <w:bottom w:val="single" w:sz="4" w:space="0" w:color="auto"/>
              <w:right w:val="single" w:sz="4" w:space="0" w:color="auto"/>
            </w:tcBorders>
            <w:shd w:val="pct35" w:color="000000" w:fill="FFFFFF"/>
            <w:textDirection w:val="lrTb"/>
            <w:vAlign w:val="bottom"/>
          </w:tcPr>
          <w:p w:rsidR="004533A4" w:rsidRPr="007903DA" w:rsidP="003553EB">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2015 R</w:t>
            </w:r>
          </w:p>
        </w:tc>
        <w:tc>
          <w:tcPr>
            <w:tcW w:w="806" w:type="dxa"/>
            <w:tcBorders>
              <w:top w:val="single" w:sz="4" w:space="0" w:color="auto"/>
              <w:left w:val="nil"/>
              <w:bottom w:val="single" w:sz="4" w:space="0" w:color="auto"/>
              <w:right w:val="single" w:sz="4" w:space="0" w:color="auto"/>
            </w:tcBorders>
            <w:shd w:val="pct35" w:color="000000" w:fill="FFFFFF"/>
            <w:textDirection w:val="lrTb"/>
            <w:vAlign w:val="bottom"/>
          </w:tcPr>
          <w:p w:rsidR="004533A4" w:rsidRPr="007903DA" w:rsidP="003553EB">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2015 OS</w:t>
            </w:r>
          </w:p>
        </w:tc>
        <w:tc>
          <w:tcPr>
            <w:tcW w:w="806" w:type="dxa"/>
            <w:tcBorders>
              <w:top w:val="single" w:sz="4" w:space="0" w:color="auto"/>
              <w:left w:val="nil"/>
              <w:bottom w:val="single" w:sz="4" w:space="0" w:color="auto"/>
              <w:right w:val="single" w:sz="4" w:space="0" w:color="auto"/>
            </w:tcBorders>
            <w:shd w:val="pct35" w:color="000000" w:fill="FFFFFF"/>
            <w:textDirection w:val="lrTb"/>
            <w:vAlign w:val="bottom"/>
          </w:tcPr>
          <w:p w:rsidR="004533A4" w:rsidRPr="007903DA" w:rsidP="003553EB">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2016 N</w:t>
            </w:r>
          </w:p>
        </w:tc>
        <w:tc>
          <w:tcPr>
            <w:tcW w:w="806" w:type="dxa"/>
            <w:tcBorders>
              <w:top w:val="single" w:sz="4" w:space="0" w:color="auto"/>
              <w:left w:val="nil"/>
              <w:bottom w:val="single" w:sz="4" w:space="0" w:color="auto"/>
              <w:right w:val="single" w:sz="4" w:space="0" w:color="auto"/>
            </w:tcBorders>
            <w:shd w:val="pct35" w:color="000000" w:fill="FFFFFF"/>
            <w:noWrap/>
            <w:textDirection w:val="lrTb"/>
            <w:vAlign w:val="bottom"/>
          </w:tcPr>
          <w:p w:rsidR="004533A4" w:rsidRPr="007903DA" w:rsidP="003553EB">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2017 N</w:t>
            </w:r>
          </w:p>
        </w:tc>
        <w:tc>
          <w:tcPr>
            <w:tcW w:w="806" w:type="dxa"/>
            <w:tcBorders>
              <w:top w:val="single" w:sz="4" w:space="0" w:color="auto"/>
              <w:left w:val="nil"/>
              <w:bottom w:val="single" w:sz="4" w:space="0" w:color="auto"/>
              <w:right w:val="single" w:sz="4" w:space="0" w:color="auto"/>
            </w:tcBorders>
            <w:shd w:val="pct35" w:color="000000" w:fill="FFFFFF"/>
            <w:noWrap/>
            <w:textDirection w:val="lrTb"/>
            <w:vAlign w:val="bottom"/>
          </w:tcPr>
          <w:p w:rsidR="004533A4" w:rsidRPr="007903DA" w:rsidP="003553EB">
            <w:pPr>
              <w:bidi w:val="0"/>
              <w:jc w:val="center"/>
              <w:rPr>
                <w:rFonts w:ascii="Times New Roman" w:hAnsi="Times New Roman"/>
                <w:b/>
                <w:bCs/>
                <w:color w:val="000000"/>
                <w:sz w:val="16"/>
                <w:szCs w:val="16"/>
              </w:rPr>
            </w:pPr>
            <w:r w:rsidRPr="007903DA">
              <w:rPr>
                <w:rFonts w:ascii="Times New Roman" w:hAnsi="Times New Roman"/>
                <w:b/>
                <w:bCs/>
                <w:color w:val="000000"/>
                <w:sz w:val="16"/>
                <w:szCs w:val="16"/>
              </w:rPr>
              <w:t>2018 N</w:t>
            </w:r>
          </w:p>
        </w:tc>
      </w:tr>
      <w:tr>
        <w:tblPrEx>
          <w:tblW w:w="9303" w:type="dxa"/>
          <w:jc w:val="center"/>
          <w:tblLayout w:type="fixed"/>
          <w:tblCellMar>
            <w:left w:w="70" w:type="dxa"/>
            <w:right w:w="70" w:type="dxa"/>
          </w:tblCellMar>
          <w:tblLook w:val="04A0"/>
        </w:tblPrEx>
        <w:trPr>
          <w:trHeight w:val="210"/>
          <w:jc w:val="center"/>
        </w:trPr>
        <w:tc>
          <w:tcPr>
            <w:tcW w:w="3661" w:type="dxa"/>
            <w:tcBorders>
              <w:top w:val="single" w:sz="4" w:space="0" w:color="auto"/>
              <w:left w:val="single" w:sz="4" w:space="0" w:color="auto"/>
              <w:bottom w:val="single" w:sz="4" w:space="0" w:color="auto"/>
              <w:right w:val="single" w:sz="4" w:space="0" w:color="auto"/>
            </w:tcBorders>
            <w:shd w:val="pct25" w:color="000000" w:fill="FFFFFF"/>
            <w:noWrap/>
            <w:textDirection w:val="lrTb"/>
            <w:vAlign w:val="center"/>
            <w:hideMark/>
          </w:tcPr>
          <w:p w:rsidR="004533A4" w:rsidRPr="0073209E" w:rsidP="000008FE">
            <w:pPr>
              <w:bidi w:val="0"/>
              <w:rPr>
                <w:rFonts w:ascii="Times New Roman" w:hAnsi="Times New Roman"/>
                <w:b/>
                <w:bCs/>
                <w:sz w:val="16"/>
                <w:szCs w:val="16"/>
              </w:rPr>
            </w:pPr>
            <w:r w:rsidRPr="0073209E">
              <w:rPr>
                <w:rFonts w:ascii="Times New Roman" w:hAnsi="Times New Roman"/>
                <w:b/>
                <w:bCs/>
                <w:sz w:val="16"/>
                <w:szCs w:val="16"/>
              </w:rPr>
              <w:t>Príjmy fondu spolu</w:t>
            </w:r>
          </w:p>
        </w:tc>
        <w:tc>
          <w:tcPr>
            <w:tcW w:w="806" w:type="dxa"/>
            <w:tcBorders>
              <w:top w:val="single" w:sz="4" w:space="0" w:color="auto"/>
              <w:left w:val="nil"/>
              <w:bottom w:val="single" w:sz="4" w:space="0" w:color="auto"/>
              <w:right w:val="single" w:sz="4" w:space="0" w:color="auto"/>
            </w:tcBorders>
            <w:shd w:val="pct25" w:color="000000" w:fill="FFFFFF"/>
            <w:noWrap/>
            <w:textDirection w:val="lrTb"/>
            <w:vAlign w:val="bottom"/>
          </w:tcPr>
          <w:p w:rsidR="004533A4" w:rsidRPr="0073209E" w:rsidP="000F2D28">
            <w:pPr>
              <w:bidi w:val="0"/>
              <w:jc w:val="center"/>
              <w:rPr>
                <w:rFonts w:ascii="Times New Roman" w:hAnsi="Times New Roman"/>
                <w:b/>
                <w:bCs/>
                <w:sz w:val="16"/>
                <w:szCs w:val="16"/>
              </w:rPr>
            </w:pPr>
            <w:r>
              <w:rPr>
                <w:rFonts w:ascii="Times New Roman" w:hAnsi="Times New Roman"/>
                <w:b/>
                <w:bCs/>
                <w:sz w:val="16"/>
                <w:szCs w:val="16"/>
              </w:rPr>
              <w:t>-</w:t>
            </w:r>
          </w:p>
        </w:tc>
        <w:tc>
          <w:tcPr>
            <w:tcW w:w="806" w:type="dxa"/>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4533A4" w:rsidRPr="0073209E" w:rsidP="00AA4107">
            <w:pPr>
              <w:bidi w:val="0"/>
              <w:jc w:val="center"/>
              <w:rPr>
                <w:rFonts w:ascii="Times New Roman" w:hAnsi="Times New Roman"/>
                <w:b/>
                <w:bCs/>
                <w:sz w:val="16"/>
                <w:szCs w:val="16"/>
              </w:rPr>
            </w:pPr>
            <w:r>
              <w:rPr>
                <w:rFonts w:ascii="Times New Roman" w:hAnsi="Times New Roman"/>
                <w:b/>
                <w:bCs/>
                <w:sz w:val="16"/>
                <w:szCs w:val="16"/>
              </w:rPr>
              <w:t>-</w:t>
            </w:r>
          </w:p>
        </w:tc>
        <w:tc>
          <w:tcPr>
            <w:tcW w:w="806" w:type="dxa"/>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4533A4" w:rsidRPr="0073209E" w:rsidP="00AA4107">
            <w:pPr>
              <w:bidi w:val="0"/>
              <w:jc w:val="center"/>
              <w:rPr>
                <w:rFonts w:ascii="Times New Roman" w:hAnsi="Times New Roman"/>
                <w:b/>
                <w:bCs/>
                <w:sz w:val="16"/>
                <w:szCs w:val="16"/>
              </w:rPr>
            </w:pPr>
            <w:r>
              <w:rPr>
                <w:rFonts w:ascii="Times New Roman" w:hAnsi="Times New Roman"/>
                <w:b/>
                <w:bCs/>
                <w:sz w:val="16"/>
                <w:szCs w:val="16"/>
              </w:rPr>
              <w:t>-</w:t>
            </w:r>
          </w:p>
        </w:tc>
        <w:tc>
          <w:tcPr>
            <w:tcW w:w="806" w:type="dxa"/>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4533A4" w:rsidRPr="0073209E" w:rsidP="000008FE">
            <w:pPr>
              <w:bidi w:val="0"/>
              <w:jc w:val="right"/>
              <w:rPr>
                <w:rFonts w:ascii="Times New Roman" w:hAnsi="Times New Roman"/>
                <w:b/>
                <w:bCs/>
                <w:sz w:val="16"/>
                <w:szCs w:val="16"/>
              </w:rPr>
            </w:pPr>
            <w:r w:rsidRPr="0073209E">
              <w:rPr>
                <w:rFonts w:ascii="Times New Roman" w:hAnsi="Times New Roman"/>
                <w:b/>
                <w:bCs/>
                <w:sz w:val="16"/>
                <w:szCs w:val="16"/>
              </w:rPr>
              <w:t>241</w:t>
            </w:r>
          </w:p>
        </w:tc>
        <w:tc>
          <w:tcPr>
            <w:tcW w:w="806" w:type="dxa"/>
            <w:tcBorders>
              <w:top w:val="single" w:sz="4" w:space="0" w:color="auto"/>
              <w:left w:val="nil"/>
              <w:bottom w:val="single" w:sz="4" w:space="0" w:color="auto"/>
              <w:right w:val="single" w:sz="4" w:space="0" w:color="auto"/>
            </w:tcBorders>
            <w:shd w:val="pct25" w:color="000000" w:fill="FFFFFF"/>
            <w:noWrap/>
            <w:textDirection w:val="lrTb"/>
            <w:vAlign w:val="center"/>
            <w:hideMark/>
          </w:tcPr>
          <w:p w:rsidR="004533A4" w:rsidRPr="00E2797E" w:rsidP="000008FE">
            <w:pPr>
              <w:bidi w:val="0"/>
              <w:jc w:val="right"/>
              <w:rPr>
                <w:rFonts w:ascii="Times New Roman" w:hAnsi="Times New Roman"/>
                <w:b/>
                <w:bCs/>
                <w:sz w:val="16"/>
                <w:szCs w:val="16"/>
              </w:rPr>
            </w:pPr>
            <w:r w:rsidRPr="00E2797E">
              <w:rPr>
                <w:rFonts w:ascii="Times New Roman" w:hAnsi="Times New Roman"/>
                <w:b/>
                <w:bCs/>
                <w:sz w:val="16"/>
                <w:szCs w:val="16"/>
              </w:rPr>
              <w:t>15 080</w:t>
            </w:r>
          </w:p>
        </w:tc>
        <w:tc>
          <w:tcPr>
            <w:tcW w:w="806" w:type="dxa"/>
            <w:tcBorders>
              <w:top w:val="single" w:sz="4" w:space="0" w:color="auto"/>
              <w:left w:val="nil"/>
              <w:bottom w:val="single" w:sz="4" w:space="0" w:color="auto"/>
              <w:right w:val="single" w:sz="4" w:space="0" w:color="auto"/>
            </w:tcBorders>
            <w:shd w:val="pct25" w:color="000000" w:fill="FFFFFF"/>
            <w:noWrap/>
            <w:textDirection w:val="lrTb"/>
            <w:vAlign w:val="center"/>
            <w:hideMark/>
          </w:tcPr>
          <w:p w:rsidR="004533A4" w:rsidRPr="00E2797E" w:rsidP="000008FE">
            <w:pPr>
              <w:bidi w:val="0"/>
              <w:jc w:val="right"/>
              <w:rPr>
                <w:rFonts w:ascii="Times New Roman" w:hAnsi="Times New Roman"/>
                <w:b/>
                <w:bCs/>
                <w:sz w:val="16"/>
                <w:szCs w:val="16"/>
              </w:rPr>
            </w:pPr>
            <w:r w:rsidRPr="00E2797E">
              <w:rPr>
                <w:rFonts w:ascii="Times New Roman" w:hAnsi="Times New Roman"/>
                <w:b/>
                <w:bCs/>
                <w:sz w:val="16"/>
                <w:szCs w:val="16"/>
              </w:rPr>
              <w:t>15 088</w:t>
            </w:r>
          </w:p>
        </w:tc>
        <w:tc>
          <w:tcPr>
            <w:tcW w:w="806" w:type="dxa"/>
            <w:tcBorders>
              <w:top w:val="single" w:sz="4" w:space="0" w:color="auto"/>
              <w:left w:val="nil"/>
              <w:bottom w:val="single" w:sz="4" w:space="0" w:color="auto"/>
              <w:right w:val="single" w:sz="4" w:space="0" w:color="auto"/>
            </w:tcBorders>
            <w:shd w:val="pct25" w:color="000000" w:fill="FFFFFF"/>
            <w:noWrap/>
            <w:textDirection w:val="lrTb"/>
            <w:vAlign w:val="center"/>
            <w:hideMark/>
          </w:tcPr>
          <w:p w:rsidR="004533A4" w:rsidRPr="00E2797E" w:rsidP="000008FE">
            <w:pPr>
              <w:bidi w:val="0"/>
              <w:jc w:val="right"/>
              <w:rPr>
                <w:rFonts w:ascii="Times New Roman" w:hAnsi="Times New Roman"/>
                <w:b/>
                <w:bCs/>
                <w:sz w:val="16"/>
                <w:szCs w:val="16"/>
              </w:rPr>
            </w:pPr>
            <w:r w:rsidRPr="00E2797E">
              <w:rPr>
                <w:rFonts w:ascii="Times New Roman" w:hAnsi="Times New Roman"/>
                <w:b/>
                <w:bCs/>
                <w:sz w:val="16"/>
                <w:szCs w:val="16"/>
              </w:rPr>
              <w:t>15 097</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4533A4" w:rsidRPr="0073209E" w:rsidP="006C0389">
            <w:pPr>
              <w:numPr>
                <w:numId w:val="29"/>
              </w:numPr>
              <w:bidi w:val="0"/>
              <w:ind w:left="170" w:hanging="113"/>
              <w:rPr>
                <w:rFonts w:ascii="Times New Roman" w:hAnsi="Times New Roman"/>
                <w:iCs/>
                <w:sz w:val="16"/>
                <w:szCs w:val="16"/>
              </w:rPr>
            </w:pPr>
            <w:r>
              <w:rPr>
                <w:rFonts w:ascii="Times New Roman" w:hAnsi="Times New Roman"/>
                <w:iCs/>
                <w:sz w:val="16"/>
                <w:szCs w:val="16"/>
              </w:rPr>
              <w:t>n</w:t>
            </w:r>
            <w:r w:rsidRPr="0073209E">
              <w:rPr>
                <w:rFonts w:ascii="Times New Roman" w:hAnsi="Times New Roman"/>
                <w:iCs/>
                <w:sz w:val="16"/>
                <w:szCs w:val="16"/>
              </w:rPr>
              <w:t>edaňové príjmy, v tom:</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80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88</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97</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4533A4" w:rsidRPr="0073209E" w:rsidP="000008FE">
            <w:pPr>
              <w:bidi w:val="0"/>
              <w:ind w:firstLine="320" w:firstLineChars="200"/>
              <w:rPr>
                <w:rFonts w:ascii="Times New Roman" w:hAnsi="Times New Roman"/>
                <w:color w:val="000000"/>
                <w:sz w:val="16"/>
                <w:szCs w:val="16"/>
              </w:rPr>
            </w:pPr>
            <w:r>
              <w:rPr>
                <w:rFonts w:ascii="Times New Roman" w:hAnsi="Times New Roman"/>
                <w:color w:val="000000"/>
                <w:sz w:val="16"/>
                <w:szCs w:val="16"/>
              </w:rPr>
              <w:t xml:space="preserve">          ad</w:t>
            </w:r>
            <w:r w:rsidRPr="0073209E">
              <w:rPr>
                <w:rFonts w:ascii="Times New Roman" w:hAnsi="Times New Roman"/>
                <w:color w:val="000000"/>
                <w:sz w:val="16"/>
                <w:szCs w:val="16"/>
              </w:rPr>
              <w:t>ministratívne poplatky a iné poplatky</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80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88</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97</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4533A4" w:rsidRPr="0073209E" w:rsidP="000008FE">
            <w:pPr>
              <w:bidi w:val="0"/>
              <w:ind w:firstLine="320" w:firstLineChars="200"/>
              <w:rPr>
                <w:rFonts w:ascii="Times New Roman" w:hAnsi="Times New Roman"/>
                <w:color w:val="000000"/>
                <w:sz w:val="16"/>
                <w:szCs w:val="16"/>
              </w:rPr>
            </w:pPr>
            <w:r>
              <w:rPr>
                <w:rFonts w:ascii="Times New Roman" w:hAnsi="Times New Roman"/>
                <w:color w:val="000000"/>
                <w:sz w:val="16"/>
                <w:szCs w:val="16"/>
              </w:rPr>
              <w:t xml:space="preserve">          k</w:t>
            </w:r>
            <w:r w:rsidRPr="0073209E">
              <w:rPr>
                <w:rFonts w:ascii="Times New Roman" w:hAnsi="Times New Roman"/>
                <w:color w:val="000000"/>
                <w:sz w:val="16"/>
                <w:szCs w:val="16"/>
              </w:rPr>
              <w:t xml:space="preserve">apitálové príjmy   </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4533A4" w:rsidRPr="0073209E" w:rsidP="000008FE">
            <w:pPr>
              <w:bidi w:val="0"/>
              <w:ind w:firstLine="320" w:firstLineChars="200"/>
              <w:rPr>
                <w:rFonts w:ascii="Times New Roman" w:hAnsi="Times New Roman"/>
                <w:sz w:val="16"/>
                <w:szCs w:val="16"/>
              </w:rPr>
            </w:pPr>
            <w:r>
              <w:rPr>
                <w:rFonts w:ascii="Times New Roman" w:hAnsi="Times New Roman"/>
                <w:sz w:val="16"/>
                <w:szCs w:val="16"/>
              </w:rPr>
              <w:t xml:space="preserve">          ú</w:t>
            </w:r>
            <w:r w:rsidRPr="0073209E">
              <w:rPr>
                <w:rFonts w:ascii="Times New Roman" w:hAnsi="Times New Roman"/>
                <w:sz w:val="16"/>
                <w:szCs w:val="16"/>
              </w:rPr>
              <w:t>roky z úverov, vkladov, z toho:</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4533A4" w:rsidRPr="0073209E" w:rsidP="000008FE">
            <w:pPr>
              <w:bidi w:val="0"/>
              <w:ind w:firstLine="320" w:firstLineChars="200"/>
              <w:rPr>
                <w:rFonts w:ascii="Times New Roman" w:hAnsi="Times New Roman"/>
                <w:color w:val="000000"/>
                <w:sz w:val="16"/>
                <w:szCs w:val="16"/>
              </w:rPr>
            </w:pPr>
            <w:r>
              <w:rPr>
                <w:rFonts w:ascii="Times New Roman" w:hAnsi="Times New Roman"/>
                <w:color w:val="000000"/>
                <w:sz w:val="16"/>
                <w:szCs w:val="16"/>
              </w:rPr>
              <w:t xml:space="preserve">          i</w:t>
            </w:r>
            <w:r w:rsidRPr="0073209E">
              <w:rPr>
                <w:rFonts w:ascii="Times New Roman" w:hAnsi="Times New Roman"/>
                <w:color w:val="000000"/>
                <w:sz w:val="16"/>
                <w:szCs w:val="16"/>
              </w:rPr>
              <w:t>né nedaňové príjmy</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4533A4" w:rsidRPr="0073209E" w:rsidP="006C0389">
            <w:pPr>
              <w:numPr>
                <w:numId w:val="28"/>
              </w:numPr>
              <w:bidi w:val="0"/>
              <w:ind w:left="170" w:hanging="113"/>
              <w:rPr>
                <w:rFonts w:ascii="Times New Roman" w:hAnsi="Times New Roman"/>
                <w:b/>
                <w:bCs/>
                <w:i/>
                <w:iCs/>
                <w:sz w:val="16"/>
                <w:szCs w:val="16"/>
              </w:rPr>
            </w:pPr>
            <w:r>
              <w:rPr>
                <w:rFonts w:ascii="Times New Roman" w:hAnsi="Times New Roman"/>
                <w:sz w:val="16"/>
                <w:szCs w:val="16"/>
              </w:rPr>
              <w:t>g</w:t>
            </w:r>
            <w:r w:rsidRPr="0073209E">
              <w:rPr>
                <w:rFonts w:ascii="Times New Roman" w:hAnsi="Times New Roman"/>
                <w:sz w:val="16"/>
                <w:szCs w:val="16"/>
              </w:rPr>
              <w:t>ranty a transfery, v tom:</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241</w:t>
            </w:r>
          </w:p>
        </w:tc>
        <w:tc>
          <w:tcPr>
            <w:tcW w:w="806" w:type="dxa"/>
            <w:tcBorders>
              <w:top w:val="nil"/>
              <w:left w:val="nil"/>
              <w:bottom w:val="single" w:sz="4" w:space="0" w:color="auto"/>
              <w:right w:val="single" w:sz="4" w:space="0" w:color="auto"/>
            </w:tcBorders>
            <w:shd w:val="clear" w:color="000000" w:fill="FFFFFF"/>
            <w:noWrap/>
            <w:textDirection w:val="lrTb"/>
            <w:vAlign w:val="center"/>
            <w:hideMark/>
          </w:tcPr>
          <w:p w:rsidR="004533A4" w:rsidRPr="00745C2E" w:rsidP="000008FE">
            <w:pPr>
              <w:bidi w:val="0"/>
              <w:jc w:val="right"/>
              <w:rPr>
                <w:rFonts w:ascii="Times New Roman" w:hAnsi="Times New Roman"/>
                <w:sz w:val="16"/>
                <w:szCs w:val="16"/>
              </w:rPr>
            </w:pPr>
            <w:r w:rsidRPr="00745C2E">
              <w:rPr>
                <w:rFonts w:ascii="Times New Roman" w:hAnsi="Times New Roman"/>
                <w:sz w:val="16"/>
                <w:szCs w:val="16"/>
              </w:rPr>
              <w:t>15 000</w:t>
            </w:r>
          </w:p>
        </w:tc>
        <w:tc>
          <w:tcPr>
            <w:tcW w:w="806" w:type="dxa"/>
            <w:tcBorders>
              <w:top w:val="nil"/>
              <w:left w:val="nil"/>
              <w:bottom w:val="single" w:sz="4" w:space="0" w:color="auto"/>
              <w:right w:val="single" w:sz="4" w:space="0" w:color="auto"/>
            </w:tcBorders>
            <w:shd w:val="clear" w:color="000000" w:fill="FFFFFF"/>
            <w:noWrap/>
            <w:textDirection w:val="lrTb"/>
            <w:vAlign w:val="center"/>
            <w:hideMark/>
          </w:tcPr>
          <w:p w:rsidR="004533A4" w:rsidRPr="00745C2E" w:rsidP="000008FE">
            <w:pPr>
              <w:bidi w:val="0"/>
              <w:jc w:val="right"/>
              <w:rPr>
                <w:rFonts w:ascii="Times New Roman" w:hAnsi="Times New Roman"/>
                <w:sz w:val="16"/>
                <w:szCs w:val="16"/>
              </w:rPr>
            </w:pPr>
            <w:r w:rsidRPr="00745C2E">
              <w:rPr>
                <w:rFonts w:ascii="Times New Roman" w:hAnsi="Times New Roman"/>
                <w:sz w:val="16"/>
                <w:szCs w:val="16"/>
              </w:rPr>
              <w:t>15 000</w:t>
            </w:r>
          </w:p>
        </w:tc>
        <w:tc>
          <w:tcPr>
            <w:tcW w:w="806" w:type="dxa"/>
            <w:tcBorders>
              <w:top w:val="nil"/>
              <w:left w:val="nil"/>
              <w:bottom w:val="single" w:sz="4" w:space="0" w:color="auto"/>
              <w:right w:val="single" w:sz="4" w:space="0" w:color="auto"/>
            </w:tcBorders>
            <w:shd w:val="clear" w:color="000000" w:fill="FFFFFF"/>
            <w:noWrap/>
            <w:textDirection w:val="lrTb"/>
            <w:vAlign w:val="center"/>
            <w:hideMark/>
          </w:tcPr>
          <w:p w:rsidR="004533A4" w:rsidRPr="00745C2E" w:rsidP="000008FE">
            <w:pPr>
              <w:bidi w:val="0"/>
              <w:jc w:val="right"/>
              <w:rPr>
                <w:rFonts w:ascii="Times New Roman" w:hAnsi="Times New Roman"/>
                <w:sz w:val="16"/>
                <w:szCs w:val="16"/>
              </w:rPr>
            </w:pPr>
            <w:r w:rsidRPr="00745C2E">
              <w:rPr>
                <w:rFonts w:ascii="Times New Roman" w:hAnsi="Times New Roman"/>
                <w:sz w:val="16"/>
                <w:szCs w:val="16"/>
              </w:rPr>
              <w:t>15 000</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4533A4" w:rsidRPr="0073209E" w:rsidP="000008FE">
            <w:pPr>
              <w:bidi w:val="0"/>
              <w:ind w:firstLine="320" w:firstLineChars="200"/>
              <w:rPr>
                <w:rFonts w:ascii="Times New Roman" w:hAnsi="Times New Roman"/>
                <w:sz w:val="16"/>
                <w:szCs w:val="16"/>
              </w:rPr>
            </w:pPr>
            <w:r w:rsidRPr="0073209E">
              <w:rPr>
                <w:rFonts w:ascii="Times New Roman" w:hAnsi="Times New Roman"/>
                <w:sz w:val="16"/>
                <w:szCs w:val="16"/>
              </w:rPr>
              <w:t xml:space="preserve">   </w:t>
            </w:r>
            <w:r>
              <w:rPr>
                <w:rFonts w:ascii="Times New Roman" w:hAnsi="Times New Roman"/>
                <w:sz w:val="16"/>
                <w:szCs w:val="16"/>
              </w:rPr>
              <w:t xml:space="preserve">        </w:t>
            </w:r>
            <w:r w:rsidRPr="0073209E">
              <w:rPr>
                <w:rFonts w:ascii="Times New Roman" w:hAnsi="Times New Roman"/>
                <w:sz w:val="16"/>
                <w:szCs w:val="16"/>
              </w:rPr>
              <w:t>zo štátneho rozpočtu ,</w:t>
            </w:r>
            <w:r>
              <w:rPr>
                <w:rFonts w:ascii="Times New Roman" w:hAnsi="Times New Roman"/>
                <w:sz w:val="16"/>
                <w:szCs w:val="16"/>
              </w:rPr>
              <w:t xml:space="preserve"> </w:t>
            </w:r>
            <w:r w:rsidRPr="0073209E">
              <w:rPr>
                <w:rFonts w:ascii="Times New Roman" w:hAnsi="Times New Roman"/>
                <w:sz w:val="16"/>
                <w:szCs w:val="16"/>
              </w:rPr>
              <w:t>z toho:</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241</w:t>
            </w:r>
          </w:p>
        </w:tc>
        <w:tc>
          <w:tcPr>
            <w:tcW w:w="806" w:type="dxa"/>
            <w:tcBorders>
              <w:top w:val="nil"/>
              <w:left w:val="nil"/>
              <w:bottom w:val="single" w:sz="4" w:space="0" w:color="auto"/>
              <w:right w:val="single" w:sz="4" w:space="0" w:color="auto"/>
            </w:tcBorders>
            <w:shd w:val="clear" w:color="000000" w:fill="FFFFFF"/>
            <w:noWrap/>
            <w:textDirection w:val="lrTb"/>
            <w:vAlign w:val="center"/>
            <w:hideMark/>
          </w:tcPr>
          <w:p w:rsidR="004533A4" w:rsidRPr="00745C2E" w:rsidP="000008FE">
            <w:pPr>
              <w:bidi w:val="0"/>
              <w:jc w:val="right"/>
              <w:rPr>
                <w:rFonts w:ascii="Times New Roman" w:hAnsi="Times New Roman"/>
                <w:sz w:val="16"/>
                <w:szCs w:val="16"/>
              </w:rPr>
            </w:pPr>
            <w:r w:rsidRPr="00745C2E">
              <w:rPr>
                <w:rFonts w:ascii="Times New Roman" w:hAnsi="Times New Roman"/>
                <w:sz w:val="16"/>
                <w:szCs w:val="16"/>
              </w:rPr>
              <w:t>15 000</w:t>
            </w:r>
          </w:p>
        </w:tc>
        <w:tc>
          <w:tcPr>
            <w:tcW w:w="806" w:type="dxa"/>
            <w:tcBorders>
              <w:top w:val="nil"/>
              <w:left w:val="nil"/>
              <w:bottom w:val="single" w:sz="4" w:space="0" w:color="auto"/>
              <w:right w:val="single" w:sz="4" w:space="0" w:color="auto"/>
            </w:tcBorders>
            <w:shd w:val="clear" w:color="000000" w:fill="FFFFFF"/>
            <w:noWrap/>
            <w:textDirection w:val="lrTb"/>
            <w:vAlign w:val="center"/>
            <w:hideMark/>
          </w:tcPr>
          <w:p w:rsidR="004533A4" w:rsidRPr="00745C2E" w:rsidP="000008FE">
            <w:pPr>
              <w:bidi w:val="0"/>
              <w:jc w:val="right"/>
              <w:rPr>
                <w:rFonts w:ascii="Times New Roman" w:hAnsi="Times New Roman"/>
                <w:sz w:val="16"/>
                <w:szCs w:val="16"/>
              </w:rPr>
            </w:pPr>
            <w:r w:rsidRPr="00745C2E">
              <w:rPr>
                <w:rFonts w:ascii="Times New Roman" w:hAnsi="Times New Roman"/>
                <w:sz w:val="16"/>
                <w:szCs w:val="16"/>
              </w:rPr>
              <w:t>15 000</w:t>
            </w:r>
          </w:p>
        </w:tc>
        <w:tc>
          <w:tcPr>
            <w:tcW w:w="806" w:type="dxa"/>
            <w:tcBorders>
              <w:top w:val="nil"/>
              <w:left w:val="nil"/>
              <w:bottom w:val="single" w:sz="4" w:space="0" w:color="auto"/>
              <w:right w:val="single" w:sz="4" w:space="0" w:color="auto"/>
            </w:tcBorders>
            <w:shd w:val="clear" w:color="000000" w:fill="FFFFFF"/>
            <w:noWrap/>
            <w:textDirection w:val="lrTb"/>
            <w:vAlign w:val="center"/>
            <w:hideMark/>
          </w:tcPr>
          <w:p w:rsidR="004533A4" w:rsidRPr="00745C2E" w:rsidP="000008FE">
            <w:pPr>
              <w:bidi w:val="0"/>
              <w:jc w:val="right"/>
              <w:rPr>
                <w:rFonts w:ascii="Times New Roman" w:hAnsi="Times New Roman"/>
                <w:sz w:val="16"/>
                <w:szCs w:val="16"/>
              </w:rPr>
            </w:pPr>
            <w:r w:rsidRPr="00745C2E">
              <w:rPr>
                <w:rFonts w:ascii="Times New Roman" w:hAnsi="Times New Roman"/>
                <w:sz w:val="16"/>
                <w:szCs w:val="16"/>
              </w:rPr>
              <w:t>15 000</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4533A4" w:rsidRPr="0073209E" w:rsidP="000008FE">
            <w:pPr>
              <w:bidi w:val="0"/>
              <w:ind w:firstLine="320" w:firstLineChars="200"/>
              <w:rPr>
                <w:rFonts w:ascii="Times New Roman" w:hAnsi="Times New Roman"/>
                <w:iCs/>
                <w:sz w:val="16"/>
                <w:szCs w:val="16"/>
              </w:rPr>
            </w:pPr>
            <w:r w:rsidRPr="00505C2A">
              <w:rPr>
                <w:rFonts w:ascii="Times New Roman" w:hAnsi="Times New Roman"/>
                <w:iCs/>
                <w:sz w:val="16"/>
                <w:szCs w:val="16"/>
              </w:rPr>
              <w:t xml:space="preserve">                  </w:t>
            </w:r>
            <w:r>
              <w:rPr>
                <w:rFonts w:ascii="Times New Roman" w:hAnsi="Times New Roman"/>
                <w:iCs/>
                <w:sz w:val="16"/>
                <w:szCs w:val="16"/>
              </w:rPr>
              <w:t xml:space="preserve">  </w:t>
            </w:r>
            <w:r w:rsidRPr="0073209E">
              <w:rPr>
                <w:rFonts w:ascii="Times New Roman" w:hAnsi="Times New Roman"/>
                <w:iCs/>
                <w:sz w:val="16"/>
                <w:szCs w:val="16"/>
              </w:rPr>
              <w:t>príspevok</w:t>
            </w:r>
            <w:r w:rsidRPr="00505C2A">
              <w:rPr>
                <w:rFonts w:ascii="Times New Roman" w:hAnsi="Times New Roman"/>
                <w:iCs/>
                <w:sz w:val="16"/>
                <w:szCs w:val="16"/>
              </w:rPr>
              <w:t xml:space="preserve"> </w:t>
            </w:r>
            <w:r w:rsidRPr="0073209E">
              <w:rPr>
                <w:rFonts w:ascii="Times New Roman" w:hAnsi="Times New Roman"/>
                <w:iCs/>
                <w:sz w:val="16"/>
                <w:szCs w:val="16"/>
              </w:rPr>
              <w:t xml:space="preserve"> zo ŠR  § 24 ods.1</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center"/>
          </w:tcPr>
          <w:p w:rsidR="004533A4" w:rsidRPr="00745C2E" w:rsidP="00CC133A">
            <w:pPr>
              <w:bidi w:val="0"/>
              <w:jc w:val="right"/>
              <w:rPr>
                <w:rFonts w:ascii="Times New Roman" w:hAnsi="Times New Roman"/>
                <w:sz w:val="16"/>
                <w:szCs w:val="16"/>
              </w:rPr>
            </w:pPr>
            <w:r w:rsidRPr="00745C2E">
              <w:rPr>
                <w:rFonts w:ascii="Times New Roman" w:hAnsi="Times New Roman"/>
                <w:sz w:val="16"/>
                <w:szCs w:val="16"/>
              </w:rPr>
              <w:t xml:space="preserve">10 </w:t>
            </w:r>
            <w:r w:rsidR="00CC133A">
              <w:rPr>
                <w:rFonts w:ascii="Times New Roman" w:hAnsi="Times New Roman"/>
                <w:sz w:val="16"/>
                <w:szCs w:val="16"/>
              </w:rPr>
              <w:t>0</w:t>
            </w:r>
            <w:r w:rsidRPr="00745C2E">
              <w:rPr>
                <w:rFonts w:ascii="Times New Roman" w:hAnsi="Times New Roman"/>
                <w:sz w:val="16"/>
                <w:szCs w:val="16"/>
              </w:rPr>
              <w:t>00</w:t>
            </w:r>
          </w:p>
        </w:tc>
        <w:tc>
          <w:tcPr>
            <w:tcW w:w="806" w:type="dxa"/>
            <w:tcBorders>
              <w:top w:val="nil"/>
              <w:left w:val="nil"/>
              <w:bottom w:val="single" w:sz="4" w:space="0" w:color="auto"/>
              <w:right w:val="single" w:sz="4" w:space="0" w:color="auto"/>
            </w:tcBorders>
            <w:shd w:val="clear" w:color="000000" w:fill="FFFFFF"/>
            <w:noWrap/>
            <w:textDirection w:val="lrTb"/>
            <w:vAlign w:val="center"/>
          </w:tcPr>
          <w:p w:rsidR="004533A4" w:rsidRPr="00745C2E" w:rsidP="00CC133A">
            <w:pPr>
              <w:bidi w:val="0"/>
              <w:jc w:val="right"/>
              <w:rPr>
                <w:rFonts w:ascii="Times New Roman" w:hAnsi="Times New Roman"/>
                <w:sz w:val="16"/>
                <w:szCs w:val="16"/>
              </w:rPr>
            </w:pPr>
            <w:r w:rsidRPr="00745C2E">
              <w:rPr>
                <w:rFonts w:ascii="Times New Roman" w:hAnsi="Times New Roman"/>
                <w:sz w:val="16"/>
                <w:szCs w:val="16"/>
              </w:rPr>
              <w:t xml:space="preserve">10 </w:t>
            </w:r>
            <w:r w:rsidR="00CC133A">
              <w:rPr>
                <w:rFonts w:ascii="Times New Roman" w:hAnsi="Times New Roman"/>
                <w:sz w:val="16"/>
                <w:szCs w:val="16"/>
              </w:rPr>
              <w:t>0</w:t>
            </w:r>
            <w:r w:rsidRPr="00745C2E">
              <w:rPr>
                <w:rFonts w:ascii="Times New Roman" w:hAnsi="Times New Roman"/>
                <w:sz w:val="16"/>
                <w:szCs w:val="16"/>
              </w:rPr>
              <w:t>00</w:t>
            </w:r>
          </w:p>
        </w:tc>
        <w:tc>
          <w:tcPr>
            <w:tcW w:w="806" w:type="dxa"/>
            <w:tcBorders>
              <w:top w:val="nil"/>
              <w:left w:val="nil"/>
              <w:bottom w:val="single" w:sz="4" w:space="0" w:color="auto"/>
              <w:right w:val="single" w:sz="4" w:space="0" w:color="auto"/>
            </w:tcBorders>
            <w:shd w:val="clear" w:color="000000" w:fill="FFFFFF"/>
            <w:noWrap/>
            <w:textDirection w:val="lrTb"/>
            <w:vAlign w:val="center"/>
          </w:tcPr>
          <w:p w:rsidR="004533A4" w:rsidRPr="00745C2E" w:rsidP="00CC133A">
            <w:pPr>
              <w:bidi w:val="0"/>
              <w:jc w:val="center"/>
              <w:rPr>
                <w:rFonts w:ascii="Times New Roman" w:hAnsi="Times New Roman"/>
                <w:sz w:val="16"/>
                <w:szCs w:val="16"/>
              </w:rPr>
            </w:pPr>
            <w:r w:rsidRPr="00745C2E">
              <w:rPr>
                <w:rFonts w:ascii="Times New Roman" w:hAnsi="Times New Roman"/>
                <w:sz w:val="16"/>
                <w:szCs w:val="16"/>
              </w:rPr>
              <w:t xml:space="preserve">   10 </w:t>
            </w:r>
            <w:r w:rsidR="00CC133A">
              <w:rPr>
                <w:rFonts w:ascii="Times New Roman" w:hAnsi="Times New Roman"/>
                <w:sz w:val="16"/>
                <w:szCs w:val="16"/>
              </w:rPr>
              <w:t>0</w:t>
            </w:r>
            <w:r w:rsidRPr="00745C2E">
              <w:rPr>
                <w:rFonts w:ascii="Times New Roman" w:hAnsi="Times New Roman"/>
                <w:sz w:val="16"/>
                <w:szCs w:val="16"/>
              </w:rPr>
              <w:t>00</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4533A4" w:rsidRPr="0073209E" w:rsidP="000008FE">
            <w:pPr>
              <w:bidi w:val="0"/>
              <w:ind w:firstLine="320" w:firstLineChars="200"/>
              <w:jc w:val="right"/>
              <w:rPr>
                <w:rFonts w:ascii="Times New Roman" w:hAnsi="Times New Roman"/>
                <w:iCs/>
                <w:sz w:val="16"/>
                <w:szCs w:val="16"/>
              </w:rPr>
            </w:pPr>
            <w:r>
              <w:rPr>
                <w:rFonts w:ascii="Times New Roman" w:hAnsi="Times New Roman"/>
                <w:iCs/>
                <w:sz w:val="16"/>
                <w:szCs w:val="16"/>
              </w:rPr>
              <w:t xml:space="preserve">     </w:t>
            </w:r>
            <w:r w:rsidRPr="0073209E">
              <w:rPr>
                <w:rFonts w:ascii="Times New Roman" w:hAnsi="Times New Roman"/>
                <w:iCs/>
                <w:sz w:val="16"/>
                <w:szCs w:val="16"/>
              </w:rPr>
              <w:t>osobitný príspevok  zo ŠR § 25 ods.1</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CC133A">
            <w:pPr>
              <w:bidi w:val="0"/>
              <w:jc w:val="right"/>
              <w:rPr>
                <w:rFonts w:ascii="Times New Roman" w:hAnsi="Times New Roman"/>
                <w:sz w:val="16"/>
                <w:szCs w:val="16"/>
              </w:rPr>
            </w:pPr>
            <w:r w:rsidR="00CC133A">
              <w:rPr>
                <w:rFonts w:ascii="Times New Roman" w:hAnsi="Times New Roman"/>
                <w:sz w:val="16"/>
                <w:szCs w:val="16"/>
              </w:rPr>
              <w:t>5 0</w:t>
            </w:r>
            <w:r w:rsidRPr="0073209E">
              <w:rPr>
                <w:rFonts w:ascii="Times New Roman" w:hAnsi="Times New Roman"/>
                <w:sz w:val="16"/>
                <w:szCs w:val="16"/>
              </w:rPr>
              <w:t>00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CC133A">
            <w:pPr>
              <w:bidi w:val="0"/>
              <w:jc w:val="right"/>
              <w:rPr>
                <w:rFonts w:ascii="Times New Roman" w:hAnsi="Times New Roman"/>
                <w:sz w:val="16"/>
                <w:szCs w:val="16"/>
              </w:rPr>
            </w:pPr>
            <w:r w:rsidR="00CC133A">
              <w:rPr>
                <w:rFonts w:ascii="Times New Roman" w:hAnsi="Times New Roman"/>
                <w:sz w:val="16"/>
                <w:szCs w:val="16"/>
              </w:rPr>
              <w:t>5 0</w:t>
            </w:r>
            <w:r w:rsidRPr="0073209E">
              <w:rPr>
                <w:rFonts w:ascii="Times New Roman" w:hAnsi="Times New Roman"/>
                <w:sz w:val="16"/>
                <w:szCs w:val="16"/>
              </w:rPr>
              <w:t>00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CC133A">
            <w:pPr>
              <w:bidi w:val="0"/>
              <w:jc w:val="right"/>
              <w:rPr>
                <w:rFonts w:ascii="Times New Roman" w:hAnsi="Times New Roman"/>
                <w:sz w:val="16"/>
                <w:szCs w:val="16"/>
              </w:rPr>
            </w:pPr>
            <w:r w:rsidR="00CC133A">
              <w:rPr>
                <w:rFonts w:ascii="Times New Roman" w:hAnsi="Times New Roman"/>
                <w:sz w:val="16"/>
                <w:szCs w:val="16"/>
              </w:rPr>
              <w:t>5 0</w:t>
            </w:r>
            <w:r w:rsidRPr="0073209E">
              <w:rPr>
                <w:rFonts w:ascii="Times New Roman" w:hAnsi="Times New Roman"/>
                <w:sz w:val="16"/>
                <w:szCs w:val="16"/>
              </w:rPr>
              <w:t>00</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4533A4" w:rsidRPr="0073209E" w:rsidP="000008FE">
            <w:pPr>
              <w:bidi w:val="0"/>
              <w:ind w:firstLine="320" w:firstLineChars="200"/>
              <w:jc w:val="center"/>
              <w:rPr>
                <w:rFonts w:ascii="Times New Roman" w:hAnsi="Times New Roman"/>
                <w:iCs/>
                <w:sz w:val="16"/>
                <w:szCs w:val="16"/>
              </w:rPr>
            </w:pPr>
            <w:r w:rsidRPr="00505C2A">
              <w:rPr>
                <w:rFonts w:ascii="Times New Roman" w:hAnsi="Times New Roman"/>
                <w:iCs/>
                <w:sz w:val="16"/>
                <w:szCs w:val="16"/>
              </w:rPr>
              <w:t xml:space="preserve">          </w:t>
            </w:r>
            <w:r>
              <w:rPr>
                <w:rFonts w:ascii="Times New Roman" w:hAnsi="Times New Roman"/>
                <w:iCs/>
                <w:sz w:val="16"/>
                <w:szCs w:val="16"/>
              </w:rPr>
              <w:t xml:space="preserve">        </w:t>
            </w:r>
            <w:r w:rsidRPr="0073209E">
              <w:rPr>
                <w:rFonts w:ascii="Times New Roman" w:hAnsi="Times New Roman"/>
                <w:iCs/>
                <w:sz w:val="16"/>
                <w:szCs w:val="16"/>
              </w:rPr>
              <w:t>mimoriadny príspevok §28 ods.3</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241</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4533A4" w:rsidRPr="0073209E" w:rsidP="000008FE">
            <w:pPr>
              <w:bidi w:val="0"/>
              <w:ind w:firstLine="320" w:firstLineChars="200"/>
              <w:rPr>
                <w:rFonts w:ascii="Times New Roman" w:hAnsi="Times New Roman"/>
                <w:sz w:val="16"/>
                <w:szCs w:val="16"/>
              </w:rPr>
            </w:pPr>
            <w:r>
              <w:rPr>
                <w:rFonts w:ascii="Times New Roman" w:hAnsi="Times New Roman"/>
                <w:sz w:val="16"/>
                <w:szCs w:val="16"/>
              </w:rPr>
              <w:t xml:space="preserve">               t</w:t>
            </w:r>
            <w:r w:rsidRPr="0073209E">
              <w:rPr>
                <w:rFonts w:ascii="Times New Roman" w:hAnsi="Times New Roman"/>
                <w:sz w:val="16"/>
                <w:szCs w:val="16"/>
              </w:rPr>
              <w:t>uzemské kapitálové granty a transfery</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textDirection w:val="lrTb"/>
            <w:vAlign w:val="center"/>
            <w:hideMark/>
          </w:tcPr>
          <w:p w:rsidR="004533A4" w:rsidRPr="0073209E" w:rsidP="006C0389">
            <w:pPr>
              <w:numPr>
                <w:numId w:val="30"/>
              </w:numPr>
              <w:bidi w:val="0"/>
              <w:ind w:left="170" w:hanging="113"/>
              <w:rPr>
                <w:rFonts w:ascii="Times New Roman" w:hAnsi="Times New Roman"/>
                <w:sz w:val="16"/>
                <w:szCs w:val="16"/>
              </w:rPr>
            </w:pPr>
            <w:r>
              <w:rPr>
                <w:rFonts w:ascii="Times New Roman" w:hAnsi="Times New Roman"/>
                <w:sz w:val="16"/>
                <w:szCs w:val="16"/>
              </w:rPr>
              <w:t>z</w:t>
            </w:r>
            <w:r w:rsidRPr="0073209E">
              <w:rPr>
                <w:rFonts w:ascii="Times New Roman" w:hAnsi="Times New Roman"/>
                <w:sz w:val="16"/>
                <w:szCs w:val="16"/>
              </w:rPr>
              <w:t>ostatok prostr</w:t>
            </w:r>
            <w:r>
              <w:rPr>
                <w:rFonts w:ascii="Times New Roman" w:hAnsi="Times New Roman"/>
                <w:sz w:val="16"/>
                <w:szCs w:val="16"/>
              </w:rPr>
              <w:t>iedkov z </w:t>
            </w:r>
            <w:r w:rsidRPr="0073209E">
              <w:rPr>
                <w:rFonts w:ascii="Times New Roman" w:hAnsi="Times New Roman"/>
                <w:sz w:val="16"/>
                <w:szCs w:val="16"/>
              </w:rPr>
              <w:t>predch</w:t>
            </w:r>
            <w:r>
              <w:rPr>
                <w:rFonts w:ascii="Times New Roman" w:hAnsi="Times New Roman"/>
                <w:sz w:val="16"/>
                <w:szCs w:val="16"/>
              </w:rPr>
              <w:t>ádzajúcich rokov</w:t>
            </w:r>
            <w:r w:rsidRPr="0073209E">
              <w:rPr>
                <w:rFonts w:ascii="Times New Roman" w:hAnsi="Times New Roman"/>
                <w:sz w:val="16"/>
                <w:szCs w:val="16"/>
              </w:rPr>
              <w:t xml:space="preserve"> </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r>
      <w:tr>
        <w:tblPrEx>
          <w:tblW w:w="9303" w:type="dxa"/>
          <w:jc w:val="center"/>
          <w:tblLayout w:type="fixed"/>
          <w:tblCellMar>
            <w:left w:w="70" w:type="dxa"/>
            <w:right w:w="70" w:type="dxa"/>
          </w:tblCellMar>
          <w:tblLook w:val="04A0"/>
        </w:tblPrEx>
        <w:trPr>
          <w:trHeight w:val="210"/>
          <w:jc w:val="center"/>
        </w:trPr>
        <w:tc>
          <w:tcPr>
            <w:tcW w:w="3661" w:type="dxa"/>
            <w:tcBorders>
              <w:top w:val="single" w:sz="4" w:space="0" w:color="auto"/>
              <w:left w:val="single" w:sz="4" w:space="0" w:color="auto"/>
              <w:bottom w:val="single" w:sz="4" w:space="0" w:color="auto"/>
              <w:right w:val="single" w:sz="4" w:space="0" w:color="auto"/>
            </w:tcBorders>
            <w:shd w:val="pct25" w:color="000000" w:fill="FFFFFF"/>
            <w:noWrap/>
            <w:textDirection w:val="lrTb"/>
            <w:vAlign w:val="center"/>
            <w:hideMark/>
          </w:tcPr>
          <w:p w:rsidR="004533A4" w:rsidRPr="0073209E" w:rsidP="000008FE">
            <w:pPr>
              <w:bidi w:val="0"/>
              <w:rPr>
                <w:rFonts w:ascii="Times New Roman" w:hAnsi="Times New Roman"/>
                <w:b/>
                <w:bCs/>
                <w:sz w:val="16"/>
                <w:szCs w:val="16"/>
              </w:rPr>
            </w:pPr>
            <w:r w:rsidRPr="0073209E">
              <w:rPr>
                <w:rFonts w:ascii="Times New Roman" w:hAnsi="Times New Roman"/>
                <w:b/>
                <w:bCs/>
                <w:sz w:val="16"/>
                <w:szCs w:val="16"/>
              </w:rPr>
              <w:t>Výdavky fondu  spolu</w:t>
            </w:r>
          </w:p>
        </w:tc>
        <w:tc>
          <w:tcPr>
            <w:tcW w:w="806" w:type="dxa"/>
            <w:tcBorders>
              <w:top w:val="single" w:sz="4" w:space="0" w:color="auto"/>
              <w:left w:val="nil"/>
              <w:bottom w:val="single" w:sz="4" w:space="0" w:color="auto"/>
              <w:right w:val="single" w:sz="4" w:space="0" w:color="auto"/>
            </w:tcBorders>
            <w:shd w:val="pct25" w:color="000000" w:fill="FFFFFF"/>
            <w:noWrap/>
            <w:textDirection w:val="lrTb"/>
            <w:vAlign w:val="bottom"/>
          </w:tcPr>
          <w:p w:rsidR="004533A4" w:rsidRPr="0073209E" w:rsidP="000F2D28">
            <w:pPr>
              <w:bidi w:val="0"/>
              <w:jc w:val="center"/>
              <w:rPr>
                <w:rFonts w:ascii="Times New Roman" w:hAnsi="Times New Roman"/>
                <w:b/>
                <w:bCs/>
                <w:sz w:val="16"/>
                <w:szCs w:val="16"/>
              </w:rPr>
            </w:pPr>
            <w:r>
              <w:rPr>
                <w:rFonts w:ascii="Times New Roman" w:hAnsi="Times New Roman"/>
                <w:b/>
                <w:bCs/>
                <w:sz w:val="16"/>
                <w:szCs w:val="16"/>
              </w:rPr>
              <w:t>-</w:t>
            </w:r>
          </w:p>
        </w:tc>
        <w:tc>
          <w:tcPr>
            <w:tcW w:w="806" w:type="dxa"/>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4533A4" w:rsidRPr="0073209E" w:rsidP="00AA4107">
            <w:pPr>
              <w:bidi w:val="0"/>
              <w:jc w:val="center"/>
              <w:rPr>
                <w:rFonts w:ascii="Times New Roman" w:hAnsi="Times New Roman"/>
                <w:b/>
                <w:bCs/>
                <w:sz w:val="16"/>
                <w:szCs w:val="16"/>
              </w:rPr>
            </w:pPr>
            <w:r>
              <w:rPr>
                <w:rFonts w:ascii="Times New Roman" w:hAnsi="Times New Roman"/>
                <w:b/>
                <w:bCs/>
                <w:sz w:val="16"/>
                <w:szCs w:val="16"/>
              </w:rPr>
              <w:t>-</w:t>
            </w:r>
          </w:p>
        </w:tc>
        <w:tc>
          <w:tcPr>
            <w:tcW w:w="806" w:type="dxa"/>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4533A4" w:rsidRPr="0073209E" w:rsidP="00AA4107">
            <w:pPr>
              <w:bidi w:val="0"/>
              <w:jc w:val="center"/>
              <w:rPr>
                <w:rFonts w:ascii="Times New Roman" w:hAnsi="Times New Roman"/>
                <w:b/>
                <w:bCs/>
                <w:sz w:val="16"/>
                <w:szCs w:val="16"/>
              </w:rPr>
            </w:pPr>
            <w:r>
              <w:rPr>
                <w:rFonts w:ascii="Times New Roman" w:hAnsi="Times New Roman"/>
                <w:b/>
                <w:bCs/>
                <w:sz w:val="16"/>
                <w:szCs w:val="16"/>
              </w:rPr>
              <w:t>-</w:t>
            </w:r>
          </w:p>
        </w:tc>
        <w:tc>
          <w:tcPr>
            <w:tcW w:w="806" w:type="dxa"/>
            <w:tcBorders>
              <w:top w:val="single" w:sz="4" w:space="0" w:color="auto"/>
              <w:left w:val="nil"/>
              <w:bottom w:val="single" w:sz="4" w:space="0" w:color="auto"/>
              <w:right w:val="single" w:sz="4" w:space="0" w:color="auto"/>
            </w:tcBorders>
            <w:shd w:val="pct25" w:color="000000" w:fill="FFFFFF"/>
            <w:noWrap/>
            <w:textDirection w:val="lrTb"/>
            <w:vAlign w:val="bottom"/>
            <w:hideMark/>
          </w:tcPr>
          <w:p w:rsidR="004533A4" w:rsidRPr="0073209E" w:rsidP="000008FE">
            <w:pPr>
              <w:bidi w:val="0"/>
              <w:jc w:val="right"/>
              <w:rPr>
                <w:rFonts w:ascii="Times New Roman" w:hAnsi="Times New Roman"/>
                <w:b/>
                <w:bCs/>
                <w:sz w:val="16"/>
                <w:szCs w:val="16"/>
              </w:rPr>
            </w:pPr>
            <w:r w:rsidRPr="0073209E">
              <w:rPr>
                <w:rFonts w:ascii="Times New Roman" w:hAnsi="Times New Roman"/>
                <w:b/>
                <w:bCs/>
                <w:sz w:val="16"/>
                <w:szCs w:val="16"/>
              </w:rPr>
              <w:t>241</w:t>
            </w:r>
          </w:p>
        </w:tc>
        <w:tc>
          <w:tcPr>
            <w:tcW w:w="806" w:type="dxa"/>
            <w:tcBorders>
              <w:top w:val="single" w:sz="4" w:space="0" w:color="auto"/>
              <w:left w:val="nil"/>
              <w:bottom w:val="single" w:sz="4" w:space="0" w:color="auto"/>
              <w:right w:val="single" w:sz="4" w:space="0" w:color="auto"/>
            </w:tcBorders>
            <w:shd w:val="pct25" w:color="000000" w:fill="FFFFFF"/>
            <w:noWrap/>
            <w:textDirection w:val="lrTb"/>
            <w:vAlign w:val="center"/>
            <w:hideMark/>
          </w:tcPr>
          <w:p w:rsidR="004533A4" w:rsidRPr="00E2797E" w:rsidP="000008FE">
            <w:pPr>
              <w:bidi w:val="0"/>
              <w:jc w:val="right"/>
              <w:rPr>
                <w:rFonts w:ascii="Times New Roman" w:hAnsi="Times New Roman"/>
                <w:b/>
                <w:bCs/>
                <w:sz w:val="16"/>
                <w:szCs w:val="16"/>
              </w:rPr>
            </w:pPr>
            <w:r w:rsidRPr="00E2797E">
              <w:rPr>
                <w:rFonts w:ascii="Times New Roman" w:hAnsi="Times New Roman"/>
                <w:b/>
                <w:bCs/>
                <w:sz w:val="16"/>
                <w:szCs w:val="16"/>
              </w:rPr>
              <w:t>15 080</w:t>
            </w:r>
          </w:p>
        </w:tc>
        <w:tc>
          <w:tcPr>
            <w:tcW w:w="806" w:type="dxa"/>
            <w:tcBorders>
              <w:top w:val="single" w:sz="4" w:space="0" w:color="auto"/>
              <w:left w:val="nil"/>
              <w:bottom w:val="single" w:sz="4" w:space="0" w:color="auto"/>
              <w:right w:val="single" w:sz="4" w:space="0" w:color="auto"/>
            </w:tcBorders>
            <w:shd w:val="pct25" w:color="000000" w:fill="FFFFFF"/>
            <w:noWrap/>
            <w:textDirection w:val="lrTb"/>
            <w:vAlign w:val="center"/>
            <w:hideMark/>
          </w:tcPr>
          <w:p w:rsidR="004533A4" w:rsidRPr="00E2797E" w:rsidP="000008FE">
            <w:pPr>
              <w:bidi w:val="0"/>
              <w:jc w:val="right"/>
              <w:rPr>
                <w:rFonts w:ascii="Times New Roman" w:hAnsi="Times New Roman"/>
                <w:b/>
                <w:bCs/>
                <w:sz w:val="16"/>
                <w:szCs w:val="16"/>
              </w:rPr>
            </w:pPr>
            <w:r w:rsidRPr="00E2797E">
              <w:rPr>
                <w:rFonts w:ascii="Times New Roman" w:hAnsi="Times New Roman"/>
                <w:b/>
                <w:bCs/>
                <w:sz w:val="16"/>
                <w:szCs w:val="16"/>
              </w:rPr>
              <w:t>15 088</w:t>
            </w:r>
          </w:p>
        </w:tc>
        <w:tc>
          <w:tcPr>
            <w:tcW w:w="806" w:type="dxa"/>
            <w:tcBorders>
              <w:top w:val="single" w:sz="4" w:space="0" w:color="auto"/>
              <w:left w:val="nil"/>
              <w:bottom w:val="single" w:sz="4" w:space="0" w:color="auto"/>
              <w:right w:val="single" w:sz="4" w:space="0" w:color="auto"/>
            </w:tcBorders>
            <w:shd w:val="pct25" w:color="000000" w:fill="FFFFFF"/>
            <w:noWrap/>
            <w:textDirection w:val="lrTb"/>
            <w:vAlign w:val="center"/>
            <w:hideMark/>
          </w:tcPr>
          <w:p w:rsidR="004533A4" w:rsidRPr="00E2797E" w:rsidP="000008FE">
            <w:pPr>
              <w:bidi w:val="0"/>
              <w:jc w:val="right"/>
              <w:rPr>
                <w:rFonts w:ascii="Times New Roman" w:hAnsi="Times New Roman"/>
                <w:b/>
                <w:bCs/>
                <w:sz w:val="16"/>
                <w:szCs w:val="16"/>
              </w:rPr>
            </w:pPr>
            <w:r w:rsidRPr="00E2797E">
              <w:rPr>
                <w:rFonts w:ascii="Times New Roman" w:hAnsi="Times New Roman"/>
                <w:b/>
                <w:bCs/>
                <w:sz w:val="16"/>
                <w:szCs w:val="16"/>
              </w:rPr>
              <w:t>15 097</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4533A4" w:rsidRPr="0073209E" w:rsidP="006C0389">
            <w:pPr>
              <w:numPr>
                <w:numId w:val="28"/>
              </w:numPr>
              <w:bidi w:val="0"/>
              <w:ind w:left="170" w:hanging="113"/>
              <w:rPr>
                <w:rFonts w:ascii="Times New Roman" w:hAnsi="Times New Roman"/>
                <w:iCs/>
                <w:sz w:val="16"/>
                <w:szCs w:val="16"/>
              </w:rPr>
            </w:pPr>
            <w:r w:rsidRPr="0073209E">
              <w:rPr>
                <w:rFonts w:ascii="Times New Roman" w:hAnsi="Times New Roman"/>
                <w:iCs/>
                <w:sz w:val="16"/>
                <w:szCs w:val="16"/>
              </w:rPr>
              <w:t>bežné výdavky, v tom:</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236</w:t>
            </w:r>
          </w:p>
        </w:tc>
        <w:tc>
          <w:tcPr>
            <w:tcW w:w="806" w:type="dxa"/>
            <w:tcBorders>
              <w:top w:val="nil"/>
              <w:left w:val="nil"/>
              <w:bottom w:val="single" w:sz="4" w:space="0" w:color="auto"/>
              <w:right w:val="single" w:sz="4" w:space="0" w:color="auto"/>
            </w:tcBorders>
            <w:shd w:val="clear" w:color="000000" w:fill="FFFFFF"/>
            <w:noWrap/>
            <w:textDirection w:val="lrTb"/>
            <w:vAlign w:val="center"/>
            <w:hideMark/>
          </w:tcPr>
          <w:p w:rsidR="004533A4" w:rsidRPr="00E2797E" w:rsidP="000008FE">
            <w:pPr>
              <w:bidi w:val="0"/>
              <w:jc w:val="right"/>
              <w:rPr>
                <w:rFonts w:ascii="Times New Roman" w:hAnsi="Times New Roman"/>
                <w:b/>
                <w:bCs/>
                <w:sz w:val="16"/>
                <w:szCs w:val="16"/>
              </w:rPr>
            </w:pPr>
            <w:r w:rsidRPr="00E2797E">
              <w:rPr>
                <w:rFonts w:ascii="Times New Roman" w:hAnsi="Times New Roman"/>
                <w:b/>
                <w:bCs/>
                <w:sz w:val="16"/>
                <w:szCs w:val="16"/>
              </w:rPr>
              <w:t>15 080</w:t>
            </w:r>
          </w:p>
        </w:tc>
        <w:tc>
          <w:tcPr>
            <w:tcW w:w="806" w:type="dxa"/>
            <w:tcBorders>
              <w:top w:val="nil"/>
              <w:left w:val="nil"/>
              <w:bottom w:val="single" w:sz="4" w:space="0" w:color="auto"/>
              <w:right w:val="single" w:sz="4" w:space="0" w:color="auto"/>
            </w:tcBorders>
            <w:shd w:val="clear" w:color="000000" w:fill="FFFFFF"/>
            <w:noWrap/>
            <w:textDirection w:val="lrTb"/>
            <w:vAlign w:val="center"/>
            <w:hideMark/>
          </w:tcPr>
          <w:p w:rsidR="004533A4" w:rsidRPr="00E2797E" w:rsidP="000008FE">
            <w:pPr>
              <w:bidi w:val="0"/>
              <w:jc w:val="right"/>
              <w:rPr>
                <w:rFonts w:ascii="Times New Roman" w:hAnsi="Times New Roman"/>
                <w:b/>
                <w:bCs/>
                <w:sz w:val="16"/>
                <w:szCs w:val="16"/>
              </w:rPr>
            </w:pPr>
            <w:r w:rsidRPr="00E2797E">
              <w:rPr>
                <w:rFonts w:ascii="Times New Roman" w:hAnsi="Times New Roman"/>
                <w:b/>
                <w:bCs/>
                <w:sz w:val="16"/>
                <w:szCs w:val="16"/>
              </w:rPr>
              <w:t>15 088</w:t>
            </w:r>
          </w:p>
        </w:tc>
        <w:tc>
          <w:tcPr>
            <w:tcW w:w="806" w:type="dxa"/>
            <w:tcBorders>
              <w:top w:val="nil"/>
              <w:left w:val="nil"/>
              <w:bottom w:val="single" w:sz="4" w:space="0" w:color="auto"/>
              <w:right w:val="single" w:sz="4" w:space="0" w:color="auto"/>
            </w:tcBorders>
            <w:shd w:val="clear" w:color="000000" w:fill="FFFFFF"/>
            <w:noWrap/>
            <w:textDirection w:val="lrTb"/>
            <w:vAlign w:val="center"/>
            <w:hideMark/>
          </w:tcPr>
          <w:p w:rsidR="004533A4" w:rsidRPr="00E2797E" w:rsidP="000008FE">
            <w:pPr>
              <w:bidi w:val="0"/>
              <w:jc w:val="right"/>
              <w:rPr>
                <w:rFonts w:ascii="Times New Roman" w:hAnsi="Times New Roman"/>
                <w:b/>
                <w:bCs/>
                <w:sz w:val="16"/>
                <w:szCs w:val="16"/>
              </w:rPr>
            </w:pPr>
            <w:r w:rsidRPr="00E2797E">
              <w:rPr>
                <w:rFonts w:ascii="Times New Roman" w:hAnsi="Times New Roman"/>
                <w:b/>
                <w:bCs/>
                <w:sz w:val="16"/>
                <w:szCs w:val="16"/>
              </w:rPr>
              <w:t>15 097</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4533A4" w:rsidRPr="0073209E" w:rsidP="000008FE">
            <w:pPr>
              <w:bidi w:val="0"/>
              <w:ind w:firstLine="320" w:firstLineChars="200"/>
              <w:rPr>
                <w:rFonts w:ascii="Times New Roman" w:hAnsi="Times New Roman"/>
                <w:iCs/>
                <w:color w:val="000000"/>
                <w:sz w:val="16"/>
                <w:szCs w:val="16"/>
              </w:rPr>
            </w:pPr>
            <w:r w:rsidRPr="007D4CEA">
              <w:rPr>
                <w:rFonts w:ascii="Times New Roman" w:hAnsi="Times New Roman"/>
                <w:iCs/>
                <w:color w:val="000000"/>
                <w:sz w:val="16"/>
                <w:szCs w:val="16"/>
              </w:rPr>
              <w:t xml:space="preserve">      </w:t>
            </w:r>
            <w:r>
              <w:rPr>
                <w:rFonts w:ascii="Times New Roman" w:hAnsi="Times New Roman"/>
                <w:iCs/>
                <w:color w:val="000000"/>
                <w:sz w:val="16"/>
                <w:szCs w:val="16"/>
              </w:rPr>
              <w:t xml:space="preserve">  </w:t>
            </w:r>
            <w:r w:rsidRPr="007D4CEA">
              <w:rPr>
                <w:rFonts w:ascii="Times New Roman" w:hAnsi="Times New Roman"/>
                <w:iCs/>
                <w:color w:val="000000"/>
                <w:sz w:val="16"/>
                <w:szCs w:val="16"/>
              </w:rPr>
              <w:t xml:space="preserve"> </w:t>
            </w:r>
            <w:r w:rsidRPr="0073209E">
              <w:rPr>
                <w:rFonts w:ascii="Times New Roman" w:hAnsi="Times New Roman"/>
                <w:iCs/>
                <w:color w:val="000000"/>
                <w:sz w:val="16"/>
                <w:szCs w:val="16"/>
              </w:rPr>
              <w:t xml:space="preserve"> mzdy, platy,</w:t>
            </w:r>
            <w:r w:rsidR="00E87300">
              <w:rPr>
                <w:rFonts w:ascii="Times New Roman" w:hAnsi="Times New Roman"/>
                <w:iCs/>
                <w:color w:val="000000"/>
                <w:sz w:val="16"/>
                <w:szCs w:val="16"/>
              </w:rPr>
              <w:t xml:space="preserve"> </w:t>
            </w:r>
            <w:r w:rsidRPr="0073209E">
              <w:rPr>
                <w:rFonts w:ascii="Times New Roman" w:hAnsi="Times New Roman"/>
                <w:iCs/>
                <w:color w:val="000000"/>
                <w:sz w:val="16"/>
                <w:szCs w:val="16"/>
              </w:rPr>
              <w:t>služobné príjmy</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65</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246</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248</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248</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4533A4" w:rsidRPr="0073209E" w:rsidP="000008FE">
            <w:pPr>
              <w:bidi w:val="0"/>
              <w:ind w:firstLine="320" w:firstLineChars="200"/>
              <w:rPr>
                <w:rFonts w:ascii="Times New Roman" w:hAnsi="Times New Roman"/>
                <w:iCs/>
                <w:color w:val="000000"/>
                <w:sz w:val="16"/>
                <w:szCs w:val="16"/>
              </w:rPr>
            </w:pPr>
            <w:r w:rsidRPr="007D4CEA">
              <w:rPr>
                <w:rFonts w:ascii="Times New Roman" w:hAnsi="Times New Roman"/>
                <w:iCs/>
                <w:color w:val="000000"/>
                <w:sz w:val="16"/>
                <w:szCs w:val="16"/>
              </w:rPr>
              <w:t xml:space="preserve">      </w:t>
            </w:r>
            <w:r>
              <w:rPr>
                <w:rFonts w:ascii="Times New Roman" w:hAnsi="Times New Roman"/>
                <w:iCs/>
                <w:color w:val="000000"/>
                <w:sz w:val="16"/>
                <w:szCs w:val="16"/>
              </w:rPr>
              <w:t xml:space="preserve">   </w:t>
            </w:r>
            <w:r w:rsidRPr="007D4CEA">
              <w:rPr>
                <w:rFonts w:ascii="Times New Roman" w:hAnsi="Times New Roman"/>
                <w:iCs/>
                <w:color w:val="000000"/>
                <w:sz w:val="16"/>
                <w:szCs w:val="16"/>
              </w:rPr>
              <w:t xml:space="preserve"> </w:t>
            </w:r>
            <w:r w:rsidRPr="0073209E">
              <w:rPr>
                <w:rFonts w:ascii="Times New Roman" w:hAnsi="Times New Roman"/>
                <w:iCs/>
                <w:color w:val="000000"/>
                <w:sz w:val="16"/>
                <w:szCs w:val="16"/>
              </w:rPr>
              <w:t>poistné a príspevok do poisťovní</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34</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117</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118</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118</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4533A4" w:rsidRPr="0073209E" w:rsidP="000008FE">
            <w:pPr>
              <w:bidi w:val="0"/>
              <w:ind w:firstLine="320" w:firstLineChars="200"/>
              <w:rPr>
                <w:rFonts w:ascii="Times New Roman" w:hAnsi="Times New Roman"/>
                <w:iCs/>
                <w:color w:val="000000"/>
                <w:sz w:val="16"/>
                <w:szCs w:val="16"/>
              </w:rPr>
            </w:pPr>
            <w:r w:rsidRPr="007D4CEA">
              <w:rPr>
                <w:rFonts w:ascii="Times New Roman" w:hAnsi="Times New Roman"/>
                <w:iCs/>
                <w:color w:val="000000"/>
                <w:sz w:val="16"/>
                <w:szCs w:val="16"/>
              </w:rPr>
              <w:t xml:space="preserve">     </w:t>
            </w:r>
            <w:r>
              <w:rPr>
                <w:rFonts w:ascii="Times New Roman" w:hAnsi="Times New Roman"/>
                <w:iCs/>
                <w:color w:val="000000"/>
                <w:sz w:val="16"/>
                <w:szCs w:val="16"/>
              </w:rPr>
              <w:t xml:space="preserve">    </w:t>
            </w:r>
            <w:r w:rsidRPr="007D4CEA">
              <w:rPr>
                <w:rFonts w:ascii="Times New Roman" w:hAnsi="Times New Roman"/>
                <w:iCs/>
                <w:color w:val="000000"/>
                <w:sz w:val="16"/>
                <w:szCs w:val="16"/>
              </w:rPr>
              <w:t xml:space="preserve"> </w:t>
            </w:r>
            <w:r w:rsidRPr="0073209E">
              <w:rPr>
                <w:rFonts w:ascii="Times New Roman" w:hAnsi="Times New Roman"/>
                <w:iCs/>
                <w:color w:val="000000"/>
                <w:sz w:val="16"/>
                <w:szCs w:val="16"/>
              </w:rPr>
              <w:t>tovary a služby</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137</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247</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253</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258</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4533A4" w:rsidRPr="0073209E" w:rsidP="000008FE">
            <w:pPr>
              <w:bidi w:val="0"/>
              <w:ind w:firstLine="320" w:firstLineChars="200"/>
              <w:rPr>
                <w:rFonts w:ascii="Times New Roman" w:hAnsi="Times New Roman"/>
                <w:iCs/>
                <w:sz w:val="16"/>
                <w:szCs w:val="16"/>
              </w:rPr>
            </w:pPr>
            <w:r>
              <w:rPr>
                <w:rFonts w:ascii="Times New Roman" w:hAnsi="Times New Roman"/>
                <w:iCs/>
                <w:sz w:val="16"/>
                <w:szCs w:val="16"/>
              </w:rPr>
              <w:t xml:space="preserve">          </w:t>
            </w:r>
            <w:r w:rsidRPr="0073209E">
              <w:rPr>
                <w:rFonts w:ascii="Times New Roman" w:hAnsi="Times New Roman"/>
                <w:iCs/>
                <w:sz w:val="16"/>
                <w:szCs w:val="16"/>
              </w:rPr>
              <w:t>bežné transfery</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Pr>
                <w:rFonts w:ascii="Times New Roman" w:hAnsi="Times New Roman"/>
                <w:sz w:val="16"/>
                <w:szCs w:val="16"/>
              </w:rPr>
              <w:t>14 4</w:t>
            </w:r>
            <w:r w:rsidRPr="0073209E">
              <w:rPr>
                <w:rFonts w:ascii="Times New Roman" w:hAnsi="Times New Roman"/>
                <w:sz w:val="16"/>
                <w:szCs w:val="16"/>
              </w:rPr>
              <w:t>70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Pr>
                <w:rFonts w:ascii="Times New Roman" w:hAnsi="Times New Roman"/>
                <w:sz w:val="16"/>
                <w:szCs w:val="16"/>
              </w:rPr>
              <w:t>14 470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Pr>
                <w:rFonts w:ascii="Times New Roman" w:hAnsi="Times New Roman"/>
                <w:sz w:val="16"/>
                <w:szCs w:val="16"/>
              </w:rPr>
              <w:t>14</w:t>
            </w:r>
            <w:r w:rsidRPr="0073209E">
              <w:rPr>
                <w:rFonts w:ascii="Times New Roman" w:hAnsi="Times New Roman"/>
                <w:sz w:val="16"/>
                <w:szCs w:val="16"/>
              </w:rPr>
              <w:t xml:space="preserve"> </w:t>
            </w:r>
            <w:r>
              <w:rPr>
                <w:rFonts w:ascii="Times New Roman" w:hAnsi="Times New Roman"/>
                <w:sz w:val="16"/>
                <w:szCs w:val="16"/>
              </w:rPr>
              <w:t>4</w:t>
            </w:r>
            <w:r w:rsidRPr="0073209E">
              <w:rPr>
                <w:rFonts w:ascii="Times New Roman" w:hAnsi="Times New Roman"/>
                <w:sz w:val="16"/>
                <w:szCs w:val="16"/>
              </w:rPr>
              <w:t>74</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4533A4" w:rsidRPr="0073209E" w:rsidP="006C0389">
            <w:pPr>
              <w:numPr>
                <w:numId w:val="28"/>
              </w:numPr>
              <w:bidi w:val="0"/>
              <w:ind w:left="170" w:hanging="113"/>
              <w:rPr>
                <w:rFonts w:ascii="Times New Roman" w:hAnsi="Times New Roman"/>
                <w:iCs/>
                <w:sz w:val="16"/>
                <w:szCs w:val="16"/>
              </w:rPr>
            </w:pPr>
            <w:r w:rsidRPr="0073209E">
              <w:rPr>
                <w:rFonts w:ascii="Times New Roman" w:hAnsi="Times New Roman"/>
                <w:iCs/>
                <w:sz w:val="16"/>
                <w:szCs w:val="16"/>
              </w:rPr>
              <w:t>kapitálové výdavky</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5</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4533A4" w:rsidRPr="0073209E" w:rsidP="006C0389">
            <w:pPr>
              <w:numPr>
                <w:numId w:val="28"/>
              </w:numPr>
              <w:bidi w:val="0"/>
              <w:ind w:left="170" w:hanging="113"/>
              <w:rPr>
                <w:rFonts w:ascii="Times New Roman" w:hAnsi="Times New Roman"/>
                <w:sz w:val="16"/>
                <w:szCs w:val="16"/>
              </w:rPr>
            </w:pPr>
            <w:r>
              <w:rPr>
                <w:rFonts w:ascii="Times New Roman" w:hAnsi="Times New Roman"/>
                <w:sz w:val="16"/>
                <w:szCs w:val="16"/>
              </w:rPr>
              <w:t>v</w:t>
            </w:r>
            <w:r w:rsidRPr="0073209E">
              <w:rPr>
                <w:rFonts w:ascii="Times New Roman" w:hAnsi="Times New Roman"/>
                <w:sz w:val="16"/>
                <w:szCs w:val="16"/>
              </w:rPr>
              <w:t>ýdavky z transakcií s fin. akt. a pas., v tom: (FO)</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4533A4" w:rsidRPr="0073209E" w:rsidP="000008FE">
            <w:pPr>
              <w:bidi w:val="0"/>
              <w:rPr>
                <w:rFonts w:ascii="Times New Roman" w:hAnsi="Times New Roman"/>
                <w:b/>
                <w:bCs/>
                <w:sz w:val="16"/>
                <w:szCs w:val="16"/>
              </w:rPr>
            </w:pPr>
            <w:r>
              <w:rPr>
                <w:rFonts w:ascii="Times New Roman" w:hAnsi="Times New Roman"/>
                <w:b/>
                <w:bCs/>
                <w:sz w:val="16"/>
                <w:szCs w:val="16"/>
              </w:rPr>
              <w:t xml:space="preserve">Celková </w:t>
            </w:r>
            <w:r w:rsidRPr="0073209E">
              <w:rPr>
                <w:rFonts w:ascii="Times New Roman" w:hAnsi="Times New Roman"/>
                <w:b/>
                <w:bCs/>
                <w:sz w:val="16"/>
                <w:szCs w:val="16"/>
              </w:rPr>
              <w:t xml:space="preserve">bilancia fondu </w:t>
            </w:r>
          </w:p>
        </w:tc>
        <w:tc>
          <w:tcPr>
            <w:tcW w:w="806" w:type="dxa"/>
            <w:tcBorders>
              <w:top w:val="nil"/>
              <w:left w:val="nil"/>
              <w:bottom w:val="single" w:sz="4" w:space="0" w:color="auto"/>
              <w:right w:val="single" w:sz="4" w:space="0" w:color="auto"/>
            </w:tcBorders>
            <w:shd w:val="clear" w:color="000000" w:fill="C0C0C0"/>
            <w:noWrap/>
            <w:textDirection w:val="lrTb"/>
            <w:vAlign w:val="bottom"/>
          </w:tcPr>
          <w:p w:rsidR="004533A4" w:rsidRPr="0073209E" w:rsidP="000F2D28">
            <w:pPr>
              <w:bidi w:val="0"/>
              <w:jc w:val="center"/>
              <w:rPr>
                <w:rFonts w:ascii="Times New Roman" w:hAnsi="Times New Roman"/>
                <w:b/>
                <w:bCs/>
                <w:sz w:val="16"/>
                <w:szCs w:val="16"/>
              </w:rPr>
            </w:pPr>
            <w:r>
              <w:rPr>
                <w:rFonts w:ascii="Times New Roman" w:hAnsi="Times New Roman"/>
                <w:b/>
                <w:bCs/>
                <w:sz w:val="16"/>
                <w:szCs w:val="16"/>
              </w:rPr>
              <w:t>-</w:t>
            </w:r>
          </w:p>
        </w:tc>
        <w:tc>
          <w:tcPr>
            <w:tcW w:w="806" w:type="dxa"/>
            <w:tcBorders>
              <w:top w:val="nil"/>
              <w:left w:val="nil"/>
              <w:bottom w:val="single" w:sz="4" w:space="0" w:color="auto"/>
              <w:right w:val="single" w:sz="4" w:space="0" w:color="auto"/>
            </w:tcBorders>
            <w:shd w:val="clear" w:color="000000" w:fill="C0C0C0"/>
            <w:noWrap/>
            <w:textDirection w:val="lrTb"/>
            <w:vAlign w:val="bottom"/>
            <w:hideMark/>
          </w:tcPr>
          <w:p w:rsidR="004533A4" w:rsidRPr="0073209E" w:rsidP="00AA4107">
            <w:pPr>
              <w:bidi w:val="0"/>
              <w:jc w:val="center"/>
              <w:rPr>
                <w:rFonts w:ascii="Times New Roman" w:hAnsi="Times New Roman"/>
                <w:b/>
                <w:bCs/>
                <w:sz w:val="16"/>
                <w:szCs w:val="16"/>
              </w:rPr>
            </w:pPr>
            <w:r>
              <w:rPr>
                <w:rFonts w:ascii="Times New Roman" w:hAnsi="Times New Roman"/>
                <w:b/>
                <w:bCs/>
                <w:sz w:val="16"/>
                <w:szCs w:val="16"/>
              </w:rPr>
              <w:t>-</w:t>
            </w:r>
          </w:p>
        </w:tc>
        <w:tc>
          <w:tcPr>
            <w:tcW w:w="806" w:type="dxa"/>
            <w:tcBorders>
              <w:top w:val="nil"/>
              <w:left w:val="nil"/>
              <w:bottom w:val="single" w:sz="4" w:space="0" w:color="auto"/>
              <w:right w:val="single" w:sz="4" w:space="0" w:color="auto"/>
            </w:tcBorders>
            <w:shd w:val="clear" w:color="000000" w:fill="C0C0C0"/>
            <w:noWrap/>
            <w:textDirection w:val="lrTb"/>
            <w:vAlign w:val="bottom"/>
            <w:hideMark/>
          </w:tcPr>
          <w:p w:rsidR="004533A4" w:rsidRPr="0073209E" w:rsidP="00AA4107">
            <w:pPr>
              <w:bidi w:val="0"/>
              <w:jc w:val="center"/>
              <w:rPr>
                <w:rFonts w:ascii="Times New Roman" w:hAnsi="Times New Roman"/>
                <w:b/>
                <w:bCs/>
                <w:sz w:val="16"/>
                <w:szCs w:val="16"/>
              </w:rPr>
            </w:pPr>
            <w:r>
              <w:rPr>
                <w:rFonts w:ascii="Times New Roman" w:hAnsi="Times New Roman"/>
                <w:b/>
                <w:bCs/>
                <w:sz w:val="16"/>
                <w:szCs w:val="16"/>
              </w:rPr>
              <w:t>-</w:t>
            </w:r>
          </w:p>
        </w:tc>
        <w:tc>
          <w:tcPr>
            <w:tcW w:w="806" w:type="dxa"/>
            <w:tcBorders>
              <w:top w:val="nil"/>
              <w:left w:val="nil"/>
              <w:bottom w:val="single" w:sz="4" w:space="0" w:color="auto"/>
              <w:right w:val="single" w:sz="4" w:space="0" w:color="auto"/>
            </w:tcBorders>
            <w:shd w:val="clear" w:color="000000" w:fill="C0C0C0"/>
            <w:noWrap/>
            <w:textDirection w:val="lrTb"/>
            <w:vAlign w:val="bottom"/>
            <w:hideMark/>
          </w:tcPr>
          <w:p w:rsidR="004533A4" w:rsidRPr="0073209E" w:rsidP="000008FE">
            <w:pPr>
              <w:bidi w:val="0"/>
              <w:jc w:val="right"/>
              <w:rPr>
                <w:rFonts w:ascii="Times New Roman" w:hAnsi="Times New Roman"/>
                <w:b/>
                <w:bCs/>
                <w:sz w:val="16"/>
                <w:szCs w:val="16"/>
              </w:rPr>
            </w:pPr>
            <w:r w:rsidRPr="0073209E">
              <w:rPr>
                <w:rFonts w:ascii="Times New Roman" w:hAnsi="Times New Roman"/>
                <w:b/>
                <w:bCs/>
                <w:sz w:val="16"/>
                <w:szCs w:val="16"/>
              </w:rPr>
              <w:t>0</w:t>
            </w:r>
          </w:p>
        </w:tc>
        <w:tc>
          <w:tcPr>
            <w:tcW w:w="806" w:type="dxa"/>
            <w:tcBorders>
              <w:top w:val="nil"/>
              <w:left w:val="nil"/>
              <w:bottom w:val="single" w:sz="4" w:space="0" w:color="auto"/>
              <w:right w:val="single" w:sz="4" w:space="0" w:color="auto"/>
            </w:tcBorders>
            <w:shd w:val="clear" w:color="000000" w:fill="C0C0C0"/>
            <w:noWrap/>
            <w:textDirection w:val="lrTb"/>
            <w:vAlign w:val="bottom"/>
            <w:hideMark/>
          </w:tcPr>
          <w:p w:rsidR="004533A4" w:rsidRPr="0073209E" w:rsidP="000008FE">
            <w:pPr>
              <w:bidi w:val="0"/>
              <w:jc w:val="right"/>
              <w:rPr>
                <w:rFonts w:ascii="Times New Roman" w:hAnsi="Times New Roman"/>
                <w:b/>
                <w:bCs/>
                <w:sz w:val="16"/>
                <w:szCs w:val="16"/>
              </w:rPr>
            </w:pPr>
            <w:r w:rsidRPr="0073209E">
              <w:rPr>
                <w:rFonts w:ascii="Times New Roman" w:hAnsi="Times New Roman"/>
                <w:b/>
                <w:bCs/>
                <w:sz w:val="16"/>
                <w:szCs w:val="16"/>
              </w:rPr>
              <w:t>0</w:t>
            </w:r>
          </w:p>
        </w:tc>
        <w:tc>
          <w:tcPr>
            <w:tcW w:w="806" w:type="dxa"/>
            <w:tcBorders>
              <w:top w:val="nil"/>
              <w:left w:val="nil"/>
              <w:bottom w:val="single" w:sz="4" w:space="0" w:color="auto"/>
              <w:right w:val="single" w:sz="4" w:space="0" w:color="auto"/>
            </w:tcBorders>
            <w:shd w:val="clear" w:color="000000" w:fill="C0C0C0"/>
            <w:noWrap/>
            <w:textDirection w:val="lrTb"/>
            <w:vAlign w:val="bottom"/>
            <w:hideMark/>
          </w:tcPr>
          <w:p w:rsidR="004533A4" w:rsidRPr="0073209E" w:rsidP="000008FE">
            <w:pPr>
              <w:bidi w:val="0"/>
              <w:jc w:val="right"/>
              <w:rPr>
                <w:rFonts w:ascii="Times New Roman" w:hAnsi="Times New Roman"/>
                <w:b/>
                <w:bCs/>
                <w:sz w:val="16"/>
                <w:szCs w:val="16"/>
              </w:rPr>
            </w:pPr>
            <w:r w:rsidRPr="0073209E">
              <w:rPr>
                <w:rFonts w:ascii="Times New Roman" w:hAnsi="Times New Roman"/>
                <w:b/>
                <w:bCs/>
                <w:sz w:val="16"/>
                <w:szCs w:val="16"/>
              </w:rPr>
              <w:t>0</w:t>
            </w:r>
          </w:p>
        </w:tc>
        <w:tc>
          <w:tcPr>
            <w:tcW w:w="806" w:type="dxa"/>
            <w:tcBorders>
              <w:top w:val="nil"/>
              <w:left w:val="nil"/>
              <w:bottom w:val="single" w:sz="4" w:space="0" w:color="auto"/>
              <w:right w:val="single" w:sz="4" w:space="0" w:color="auto"/>
            </w:tcBorders>
            <w:shd w:val="clear" w:color="000000" w:fill="C0C0C0"/>
            <w:noWrap/>
            <w:textDirection w:val="lrTb"/>
            <w:vAlign w:val="bottom"/>
            <w:hideMark/>
          </w:tcPr>
          <w:p w:rsidR="004533A4" w:rsidRPr="0073209E" w:rsidP="000008FE">
            <w:pPr>
              <w:bidi w:val="0"/>
              <w:jc w:val="right"/>
              <w:rPr>
                <w:rFonts w:ascii="Times New Roman" w:hAnsi="Times New Roman"/>
                <w:b/>
                <w:bCs/>
                <w:sz w:val="16"/>
                <w:szCs w:val="16"/>
              </w:rPr>
            </w:pPr>
            <w:r w:rsidRPr="0073209E">
              <w:rPr>
                <w:rFonts w:ascii="Times New Roman" w:hAnsi="Times New Roman"/>
                <w:b/>
                <w:bCs/>
                <w:sz w:val="16"/>
                <w:szCs w:val="16"/>
              </w:rPr>
              <w:t>0</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4533A4" w:rsidRPr="0073209E" w:rsidP="006C0389">
            <w:pPr>
              <w:numPr>
                <w:numId w:val="28"/>
              </w:numPr>
              <w:bidi w:val="0"/>
              <w:ind w:left="170" w:hanging="113"/>
              <w:rPr>
                <w:rFonts w:ascii="Times New Roman" w:hAnsi="Times New Roman"/>
                <w:sz w:val="16"/>
                <w:szCs w:val="16"/>
              </w:rPr>
            </w:pPr>
            <w:r>
              <w:rPr>
                <w:rFonts w:ascii="Times New Roman" w:hAnsi="Times New Roman"/>
                <w:sz w:val="16"/>
                <w:szCs w:val="16"/>
              </w:rPr>
              <w:t>v</w:t>
            </w:r>
            <w:r w:rsidRPr="0073209E">
              <w:rPr>
                <w:rFonts w:ascii="Times New Roman" w:hAnsi="Times New Roman"/>
                <w:sz w:val="16"/>
                <w:szCs w:val="16"/>
              </w:rPr>
              <w:t>ylúčenie finančných operácií</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4533A4" w:rsidRPr="0073209E" w:rsidP="000008FE">
            <w:pPr>
              <w:bidi w:val="0"/>
              <w:ind w:firstLine="320" w:firstLineChars="200"/>
              <w:rPr>
                <w:rFonts w:ascii="Times New Roman" w:hAnsi="Times New Roman"/>
                <w:sz w:val="16"/>
                <w:szCs w:val="16"/>
              </w:rPr>
            </w:pPr>
            <w:r>
              <w:rPr>
                <w:rFonts w:ascii="Times New Roman" w:hAnsi="Times New Roman"/>
                <w:sz w:val="16"/>
                <w:szCs w:val="16"/>
              </w:rPr>
              <w:t xml:space="preserve">           v</w:t>
            </w:r>
            <w:r w:rsidRPr="0073209E">
              <w:rPr>
                <w:rFonts w:ascii="Times New Roman" w:hAnsi="Times New Roman"/>
                <w:sz w:val="16"/>
                <w:szCs w:val="16"/>
              </w:rPr>
              <w:t xml:space="preserve">ylúčenie príjmových </w:t>
            </w:r>
            <w:r>
              <w:rPr>
                <w:rFonts w:ascii="Times New Roman" w:hAnsi="Times New Roman"/>
                <w:sz w:val="16"/>
                <w:szCs w:val="16"/>
              </w:rPr>
              <w:t xml:space="preserve"> </w:t>
            </w:r>
            <w:r w:rsidRPr="0073209E">
              <w:rPr>
                <w:rFonts w:ascii="Times New Roman" w:hAnsi="Times New Roman"/>
                <w:sz w:val="16"/>
                <w:szCs w:val="16"/>
              </w:rPr>
              <w:t>FO</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4533A4" w:rsidRPr="0073209E" w:rsidP="000008FE">
            <w:pPr>
              <w:bidi w:val="0"/>
              <w:ind w:firstLine="320" w:firstLineChars="200"/>
              <w:rPr>
                <w:rFonts w:ascii="Times New Roman" w:hAnsi="Times New Roman"/>
                <w:sz w:val="16"/>
                <w:szCs w:val="16"/>
              </w:rPr>
            </w:pPr>
            <w:r>
              <w:rPr>
                <w:rFonts w:ascii="Times New Roman" w:hAnsi="Times New Roman"/>
                <w:sz w:val="16"/>
                <w:szCs w:val="16"/>
              </w:rPr>
              <w:t xml:space="preserve">           v</w:t>
            </w:r>
            <w:r w:rsidRPr="0073209E">
              <w:rPr>
                <w:rFonts w:ascii="Times New Roman" w:hAnsi="Times New Roman"/>
                <w:sz w:val="16"/>
                <w:szCs w:val="16"/>
              </w:rPr>
              <w:t>ylúčenie výdavkových FO</w:t>
            </w:r>
          </w:p>
        </w:tc>
        <w:tc>
          <w:tcPr>
            <w:tcW w:w="806" w:type="dxa"/>
            <w:tcBorders>
              <w:top w:val="nil"/>
              <w:left w:val="nil"/>
              <w:bottom w:val="single" w:sz="4" w:space="0" w:color="auto"/>
              <w:right w:val="single" w:sz="4" w:space="0" w:color="auto"/>
            </w:tcBorders>
            <w:shd w:val="clear" w:color="000000" w:fill="FFFFFF"/>
            <w:noWrap/>
            <w:textDirection w:val="lrTb"/>
            <w:vAlign w:val="bottom"/>
          </w:tcPr>
          <w:p w:rsidR="004533A4" w:rsidRPr="0073209E" w:rsidP="000F2D28">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AA4107">
            <w:pPr>
              <w:bidi w:val="0"/>
              <w:jc w:val="center"/>
              <w:rPr>
                <w:rFonts w:ascii="Times New Roman" w:hAnsi="Times New Roman"/>
                <w:bCs/>
                <w:sz w:val="16"/>
                <w:szCs w:val="16"/>
              </w:rPr>
            </w:pPr>
            <w:r>
              <w:rPr>
                <w:rFonts w:ascii="Times New Roman" w:hAnsi="Times New Roman"/>
                <w:bCs/>
                <w:sz w:val="16"/>
                <w:szCs w:val="16"/>
              </w:rPr>
              <w:t>-</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c>
          <w:tcPr>
            <w:tcW w:w="806" w:type="dxa"/>
            <w:tcBorders>
              <w:top w:val="nil"/>
              <w:left w:val="nil"/>
              <w:bottom w:val="single" w:sz="4" w:space="0" w:color="auto"/>
              <w:right w:val="single" w:sz="4" w:space="0" w:color="auto"/>
            </w:tcBorders>
            <w:shd w:val="clear" w:color="000000" w:fill="FFFFFF"/>
            <w:noWrap/>
            <w:textDirection w:val="lrTb"/>
            <w:vAlign w:val="bottom"/>
            <w:hideMark/>
          </w:tcPr>
          <w:p w:rsidR="004533A4" w:rsidRPr="0073209E" w:rsidP="000008FE">
            <w:pPr>
              <w:bidi w:val="0"/>
              <w:jc w:val="right"/>
              <w:rPr>
                <w:rFonts w:ascii="Times New Roman" w:hAnsi="Times New Roman"/>
                <w:sz w:val="16"/>
                <w:szCs w:val="16"/>
              </w:rPr>
            </w:pPr>
            <w:r w:rsidRPr="0073209E">
              <w:rPr>
                <w:rFonts w:ascii="Times New Roman" w:hAnsi="Times New Roman"/>
                <w:sz w:val="16"/>
                <w:szCs w:val="16"/>
              </w:rPr>
              <w:t>0</w:t>
            </w:r>
          </w:p>
        </w:tc>
      </w:tr>
      <w:tr>
        <w:tblPrEx>
          <w:tblW w:w="9303" w:type="dxa"/>
          <w:jc w:val="center"/>
          <w:tblLayout w:type="fixed"/>
          <w:tblCellMar>
            <w:left w:w="70" w:type="dxa"/>
            <w:right w:w="70" w:type="dxa"/>
          </w:tblCellMar>
          <w:tblLook w:val="04A0"/>
        </w:tblPrEx>
        <w:trPr>
          <w:trHeight w:val="210"/>
          <w:jc w:val="center"/>
        </w:trPr>
        <w:tc>
          <w:tcPr>
            <w:tcW w:w="3661" w:type="dxa"/>
            <w:tcBorders>
              <w:top w:val="nil"/>
              <w:left w:val="single" w:sz="4" w:space="0" w:color="auto"/>
              <w:bottom w:val="single" w:sz="4" w:space="0" w:color="auto"/>
              <w:right w:val="single" w:sz="4" w:space="0" w:color="auto"/>
            </w:tcBorders>
            <w:shd w:val="clear" w:color="000000" w:fill="C0C0C0"/>
            <w:noWrap/>
            <w:textDirection w:val="lrTb"/>
            <w:vAlign w:val="center"/>
            <w:hideMark/>
          </w:tcPr>
          <w:p w:rsidR="004533A4" w:rsidRPr="0073209E" w:rsidP="00A74905">
            <w:pPr>
              <w:bidi w:val="0"/>
              <w:rPr>
                <w:rFonts w:ascii="Times New Roman" w:hAnsi="Times New Roman"/>
                <w:b/>
                <w:bCs/>
                <w:sz w:val="16"/>
                <w:szCs w:val="16"/>
              </w:rPr>
            </w:pPr>
            <w:r w:rsidRPr="0073209E">
              <w:rPr>
                <w:rFonts w:ascii="Times New Roman" w:hAnsi="Times New Roman"/>
                <w:b/>
                <w:bCs/>
                <w:sz w:val="16"/>
                <w:szCs w:val="16"/>
              </w:rPr>
              <w:t>Prebytok</w:t>
            </w:r>
            <w:r w:rsidRPr="00CB0E0C" w:rsidR="00A74905">
              <w:rPr>
                <w:rFonts w:ascii="Times New Roman" w:hAnsi="Times New Roman"/>
                <w:b/>
                <w:bCs/>
                <w:sz w:val="16"/>
                <w:szCs w:val="16"/>
              </w:rPr>
              <w:t>(+)</w:t>
            </w:r>
            <w:r w:rsidRPr="00CB0E0C">
              <w:rPr>
                <w:rFonts w:ascii="Times New Roman" w:hAnsi="Times New Roman"/>
                <w:b/>
                <w:bCs/>
                <w:sz w:val="16"/>
                <w:szCs w:val="16"/>
              </w:rPr>
              <w:t xml:space="preserve"> / schodok (-) </w:t>
            </w:r>
            <w:r w:rsidRPr="00CB0E0C" w:rsidR="00A74905">
              <w:rPr>
                <w:rFonts w:ascii="Times New Roman" w:hAnsi="Times New Roman"/>
                <w:b/>
                <w:bCs/>
                <w:sz w:val="16"/>
                <w:szCs w:val="16"/>
              </w:rPr>
              <w:t xml:space="preserve"> fondu</w:t>
            </w:r>
            <w:r w:rsidR="00A74905">
              <w:rPr>
                <w:rFonts w:ascii="Times New Roman" w:hAnsi="Times New Roman"/>
                <w:b/>
                <w:bCs/>
                <w:color w:val="FF0000"/>
                <w:sz w:val="16"/>
                <w:szCs w:val="16"/>
              </w:rPr>
              <w:t xml:space="preserve"> </w:t>
            </w:r>
            <w:r w:rsidRPr="0073209E">
              <w:rPr>
                <w:rFonts w:ascii="Times New Roman" w:hAnsi="Times New Roman"/>
                <w:b/>
                <w:bCs/>
                <w:sz w:val="16"/>
                <w:szCs w:val="16"/>
              </w:rPr>
              <w:t>(ESA 2010)</w:t>
            </w:r>
          </w:p>
        </w:tc>
        <w:tc>
          <w:tcPr>
            <w:tcW w:w="806" w:type="dxa"/>
            <w:tcBorders>
              <w:top w:val="nil"/>
              <w:left w:val="nil"/>
              <w:bottom w:val="single" w:sz="4" w:space="0" w:color="auto"/>
              <w:right w:val="single" w:sz="4" w:space="0" w:color="auto"/>
            </w:tcBorders>
            <w:shd w:val="clear" w:color="000000" w:fill="C0C0C0"/>
            <w:noWrap/>
            <w:textDirection w:val="lrTb"/>
            <w:vAlign w:val="center"/>
          </w:tcPr>
          <w:p w:rsidR="004533A4" w:rsidRPr="0073209E" w:rsidP="000F2D28">
            <w:pPr>
              <w:bidi w:val="0"/>
              <w:jc w:val="center"/>
              <w:rPr>
                <w:rFonts w:ascii="Times New Roman" w:hAnsi="Times New Roman"/>
                <w:b/>
                <w:bCs/>
                <w:sz w:val="16"/>
                <w:szCs w:val="16"/>
              </w:rPr>
            </w:pPr>
            <w:r>
              <w:rPr>
                <w:rFonts w:ascii="Times New Roman" w:hAnsi="Times New Roman"/>
                <w:b/>
                <w:bCs/>
                <w:sz w:val="16"/>
                <w:szCs w:val="16"/>
              </w:rPr>
              <w:t>-</w:t>
            </w:r>
          </w:p>
        </w:tc>
        <w:tc>
          <w:tcPr>
            <w:tcW w:w="806" w:type="dxa"/>
            <w:tcBorders>
              <w:top w:val="nil"/>
              <w:left w:val="nil"/>
              <w:bottom w:val="single" w:sz="4" w:space="0" w:color="auto"/>
              <w:right w:val="single" w:sz="4" w:space="0" w:color="auto"/>
            </w:tcBorders>
            <w:shd w:val="clear" w:color="000000" w:fill="C0C0C0"/>
            <w:noWrap/>
            <w:textDirection w:val="lrTb"/>
            <w:vAlign w:val="center"/>
            <w:hideMark/>
          </w:tcPr>
          <w:p w:rsidR="004533A4" w:rsidRPr="0073209E" w:rsidP="00AA4107">
            <w:pPr>
              <w:bidi w:val="0"/>
              <w:jc w:val="center"/>
              <w:rPr>
                <w:rFonts w:ascii="Times New Roman" w:hAnsi="Times New Roman"/>
                <w:b/>
                <w:bCs/>
                <w:sz w:val="16"/>
                <w:szCs w:val="16"/>
              </w:rPr>
            </w:pPr>
            <w:r>
              <w:rPr>
                <w:rFonts w:ascii="Times New Roman" w:hAnsi="Times New Roman"/>
                <w:b/>
                <w:bCs/>
                <w:sz w:val="16"/>
                <w:szCs w:val="16"/>
              </w:rPr>
              <w:t>-</w:t>
            </w:r>
          </w:p>
        </w:tc>
        <w:tc>
          <w:tcPr>
            <w:tcW w:w="806" w:type="dxa"/>
            <w:tcBorders>
              <w:top w:val="nil"/>
              <w:left w:val="nil"/>
              <w:bottom w:val="single" w:sz="4" w:space="0" w:color="auto"/>
              <w:right w:val="single" w:sz="4" w:space="0" w:color="auto"/>
            </w:tcBorders>
            <w:shd w:val="clear" w:color="000000" w:fill="C0C0C0"/>
            <w:noWrap/>
            <w:textDirection w:val="lrTb"/>
            <w:vAlign w:val="center"/>
            <w:hideMark/>
          </w:tcPr>
          <w:p w:rsidR="004533A4" w:rsidRPr="0073209E" w:rsidP="00AA4107">
            <w:pPr>
              <w:bidi w:val="0"/>
              <w:jc w:val="center"/>
              <w:rPr>
                <w:rFonts w:ascii="Times New Roman" w:hAnsi="Times New Roman"/>
                <w:b/>
                <w:bCs/>
                <w:sz w:val="16"/>
                <w:szCs w:val="16"/>
              </w:rPr>
            </w:pPr>
            <w:r>
              <w:rPr>
                <w:rFonts w:ascii="Times New Roman" w:hAnsi="Times New Roman"/>
                <w:b/>
                <w:bCs/>
                <w:sz w:val="16"/>
                <w:szCs w:val="16"/>
              </w:rPr>
              <w:t>-</w:t>
            </w:r>
          </w:p>
        </w:tc>
        <w:tc>
          <w:tcPr>
            <w:tcW w:w="806" w:type="dxa"/>
            <w:tcBorders>
              <w:top w:val="nil"/>
              <w:left w:val="nil"/>
              <w:bottom w:val="single" w:sz="4" w:space="0" w:color="auto"/>
              <w:right w:val="single" w:sz="4" w:space="0" w:color="auto"/>
            </w:tcBorders>
            <w:shd w:val="clear" w:color="000000" w:fill="C0C0C0"/>
            <w:noWrap/>
            <w:textDirection w:val="lrTb"/>
            <w:vAlign w:val="center"/>
            <w:hideMark/>
          </w:tcPr>
          <w:p w:rsidR="004533A4" w:rsidRPr="0073209E" w:rsidP="000008FE">
            <w:pPr>
              <w:bidi w:val="0"/>
              <w:jc w:val="right"/>
              <w:rPr>
                <w:rFonts w:ascii="Times New Roman" w:hAnsi="Times New Roman"/>
                <w:b/>
                <w:bCs/>
                <w:sz w:val="16"/>
                <w:szCs w:val="16"/>
              </w:rPr>
            </w:pPr>
            <w:r w:rsidRPr="0073209E">
              <w:rPr>
                <w:rFonts w:ascii="Times New Roman" w:hAnsi="Times New Roman"/>
                <w:b/>
                <w:bCs/>
                <w:sz w:val="16"/>
                <w:szCs w:val="16"/>
              </w:rPr>
              <w:t>0</w:t>
            </w:r>
          </w:p>
        </w:tc>
        <w:tc>
          <w:tcPr>
            <w:tcW w:w="806" w:type="dxa"/>
            <w:tcBorders>
              <w:top w:val="nil"/>
              <w:left w:val="nil"/>
              <w:bottom w:val="single" w:sz="4" w:space="0" w:color="auto"/>
              <w:right w:val="single" w:sz="4" w:space="0" w:color="auto"/>
            </w:tcBorders>
            <w:shd w:val="clear" w:color="000000" w:fill="C0C0C0"/>
            <w:noWrap/>
            <w:textDirection w:val="lrTb"/>
            <w:vAlign w:val="center"/>
            <w:hideMark/>
          </w:tcPr>
          <w:p w:rsidR="004533A4" w:rsidRPr="0073209E" w:rsidP="000008FE">
            <w:pPr>
              <w:bidi w:val="0"/>
              <w:jc w:val="right"/>
              <w:rPr>
                <w:rFonts w:ascii="Times New Roman" w:hAnsi="Times New Roman"/>
                <w:b/>
                <w:bCs/>
                <w:sz w:val="16"/>
                <w:szCs w:val="16"/>
              </w:rPr>
            </w:pPr>
            <w:r w:rsidRPr="0073209E">
              <w:rPr>
                <w:rFonts w:ascii="Times New Roman" w:hAnsi="Times New Roman"/>
                <w:b/>
                <w:bCs/>
                <w:sz w:val="16"/>
                <w:szCs w:val="16"/>
              </w:rPr>
              <w:t>0</w:t>
            </w:r>
          </w:p>
        </w:tc>
        <w:tc>
          <w:tcPr>
            <w:tcW w:w="806" w:type="dxa"/>
            <w:tcBorders>
              <w:top w:val="nil"/>
              <w:left w:val="nil"/>
              <w:bottom w:val="single" w:sz="4" w:space="0" w:color="auto"/>
              <w:right w:val="single" w:sz="4" w:space="0" w:color="auto"/>
            </w:tcBorders>
            <w:shd w:val="clear" w:color="000000" w:fill="C0C0C0"/>
            <w:noWrap/>
            <w:textDirection w:val="lrTb"/>
            <w:vAlign w:val="center"/>
            <w:hideMark/>
          </w:tcPr>
          <w:p w:rsidR="004533A4" w:rsidRPr="0073209E" w:rsidP="000008FE">
            <w:pPr>
              <w:bidi w:val="0"/>
              <w:jc w:val="right"/>
              <w:rPr>
                <w:rFonts w:ascii="Times New Roman" w:hAnsi="Times New Roman"/>
                <w:b/>
                <w:bCs/>
                <w:sz w:val="16"/>
                <w:szCs w:val="16"/>
              </w:rPr>
            </w:pPr>
            <w:r w:rsidRPr="0073209E">
              <w:rPr>
                <w:rFonts w:ascii="Times New Roman" w:hAnsi="Times New Roman"/>
                <w:b/>
                <w:bCs/>
                <w:sz w:val="16"/>
                <w:szCs w:val="16"/>
              </w:rPr>
              <w:t>0</w:t>
            </w:r>
          </w:p>
        </w:tc>
        <w:tc>
          <w:tcPr>
            <w:tcW w:w="806" w:type="dxa"/>
            <w:tcBorders>
              <w:top w:val="nil"/>
              <w:left w:val="nil"/>
              <w:bottom w:val="single" w:sz="4" w:space="0" w:color="auto"/>
              <w:right w:val="single" w:sz="4" w:space="0" w:color="auto"/>
            </w:tcBorders>
            <w:shd w:val="clear" w:color="000000" w:fill="C0C0C0"/>
            <w:noWrap/>
            <w:textDirection w:val="lrTb"/>
            <w:vAlign w:val="center"/>
            <w:hideMark/>
          </w:tcPr>
          <w:p w:rsidR="004533A4" w:rsidRPr="0073209E" w:rsidP="000008FE">
            <w:pPr>
              <w:bidi w:val="0"/>
              <w:jc w:val="right"/>
              <w:rPr>
                <w:rFonts w:ascii="Times New Roman" w:hAnsi="Times New Roman"/>
                <w:b/>
                <w:bCs/>
                <w:sz w:val="16"/>
                <w:szCs w:val="16"/>
              </w:rPr>
            </w:pPr>
            <w:r w:rsidRPr="0073209E">
              <w:rPr>
                <w:rFonts w:ascii="Times New Roman" w:hAnsi="Times New Roman"/>
                <w:b/>
                <w:bCs/>
                <w:sz w:val="16"/>
                <w:szCs w:val="16"/>
              </w:rPr>
              <w:t>0</w:t>
            </w:r>
          </w:p>
        </w:tc>
      </w:tr>
    </w:tbl>
    <w:p w:rsidR="006C0389" w:rsidRPr="005A5583" w:rsidP="00003F01">
      <w:pPr>
        <w:bidi w:val="0"/>
        <w:jc w:val="both"/>
        <w:rPr>
          <w:rFonts w:ascii="Times New Roman" w:hAnsi="Times New Roman"/>
        </w:rPr>
      </w:pPr>
    </w:p>
    <w:p w:rsidR="006C0389" w:rsidP="006C0389">
      <w:pPr>
        <w:bidi w:val="0"/>
        <w:ind w:firstLine="708"/>
        <w:jc w:val="both"/>
        <w:rPr>
          <w:rFonts w:ascii="Times New Roman" w:hAnsi="Times New Roman"/>
          <w:color w:val="000000"/>
        </w:rPr>
      </w:pPr>
      <w:r w:rsidRPr="00BE5F51">
        <w:rPr>
          <w:rFonts w:ascii="Times New Roman" w:hAnsi="Times New Roman"/>
        </w:rPr>
        <w:t>Objem príjmov fondu na rok 2016 sa rozpočtuje v celkovej výške 1</w:t>
      </w:r>
      <w:r>
        <w:rPr>
          <w:rFonts w:ascii="Times New Roman" w:hAnsi="Times New Roman"/>
        </w:rPr>
        <w:t>5</w:t>
      </w:r>
      <w:r w:rsidRPr="00BE5F51">
        <w:rPr>
          <w:rFonts w:ascii="Times New Roman" w:hAnsi="Times New Roman"/>
        </w:rPr>
        <w:t>,</w:t>
      </w:r>
      <w:r>
        <w:rPr>
          <w:rFonts w:ascii="Times New Roman" w:hAnsi="Times New Roman"/>
        </w:rPr>
        <w:t>1</w:t>
      </w:r>
      <w:r w:rsidRPr="00BE5F51">
        <w:rPr>
          <w:rFonts w:ascii="Times New Roman" w:hAnsi="Times New Roman"/>
        </w:rPr>
        <w:t xml:space="preserve"> mil. </w:t>
      </w:r>
      <w:r w:rsidRPr="006E4083" w:rsidR="005F7F94">
        <w:rPr>
          <w:rFonts w:ascii="Times New Roman" w:hAnsi="Times New Roman"/>
        </w:rPr>
        <w:t>eur.</w:t>
      </w:r>
      <w:r w:rsidR="005F7F94">
        <w:rPr>
          <w:rFonts w:ascii="Times New Roman" w:hAnsi="Times New Roman"/>
        </w:rPr>
        <w:t xml:space="preserve"> </w:t>
      </w:r>
      <w:r w:rsidRPr="00BE5F51">
        <w:rPr>
          <w:rFonts w:ascii="Times New Roman" w:hAnsi="Times New Roman"/>
        </w:rPr>
        <w:t>Hlavným zdrojom príjmovej časti sú príspevky zo štátneho rozpočtu. Rozpočtovaná výška na rok 2016 je 1</w:t>
      </w:r>
      <w:r>
        <w:rPr>
          <w:rFonts w:ascii="Times New Roman" w:hAnsi="Times New Roman"/>
        </w:rPr>
        <w:t>5</w:t>
      </w:r>
      <w:r w:rsidRPr="00BE5F51">
        <w:rPr>
          <w:rFonts w:ascii="Times New Roman" w:hAnsi="Times New Roman"/>
        </w:rPr>
        <w:t>,</w:t>
      </w:r>
      <w:r>
        <w:rPr>
          <w:rFonts w:ascii="Times New Roman" w:hAnsi="Times New Roman"/>
        </w:rPr>
        <w:t>0</w:t>
      </w:r>
      <w:r w:rsidRPr="00BE5F51">
        <w:rPr>
          <w:rFonts w:ascii="Times New Roman" w:hAnsi="Times New Roman"/>
        </w:rPr>
        <w:t xml:space="preserve"> mil. e</w:t>
      </w:r>
      <w:r>
        <w:rPr>
          <w:rFonts w:ascii="Times New Roman" w:hAnsi="Times New Roman"/>
        </w:rPr>
        <w:t>ur</w:t>
      </w:r>
      <w:r w:rsidRPr="00BE5F51">
        <w:rPr>
          <w:rFonts w:ascii="Times New Roman" w:hAnsi="Times New Roman"/>
        </w:rPr>
        <w:t xml:space="preserve">, z toho </w:t>
      </w:r>
      <w:r w:rsidR="00CC133A">
        <w:rPr>
          <w:rFonts w:ascii="Times New Roman" w:hAnsi="Times New Roman"/>
        </w:rPr>
        <w:t>5,0</w:t>
      </w:r>
      <w:r w:rsidRPr="00BE5F51">
        <w:rPr>
          <w:rFonts w:ascii="Times New Roman" w:hAnsi="Times New Roman"/>
        </w:rPr>
        <w:t xml:space="preserve"> mil. eur je osobitný príspevok v súlade s §</w:t>
      </w:r>
      <w:r w:rsidR="00E54539">
        <w:rPr>
          <w:rFonts w:ascii="Times New Roman" w:hAnsi="Times New Roman"/>
        </w:rPr>
        <w:t xml:space="preserve"> </w:t>
      </w:r>
      <w:r w:rsidRPr="00BE5F51">
        <w:rPr>
          <w:rFonts w:ascii="Times New Roman" w:hAnsi="Times New Roman"/>
        </w:rPr>
        <w:t>25 vyššie uvedeného zákona.</w:t>
      </w:r>
      <w:r>
        <w:rPr>
          <w:rFonts w:ascii="Times New Roman" w:hAnsi="Times New Roman"/>
        </w:rPr>
        <w:t xml:space="preserve"> </w:t>
      </w:r>
      <w:r w:rsidRPr="00BE5F51">
        <w:rPr>
          <w:rFonts w:ascii="Times New Roman" w:hAnsi="Times New Roman"/>
        </w:rPr>
        <w:t xml:space="preserve">Ďalším zdrojom príjmov fondu sú </w:t>
      </w:r>
      <w:r w:rsidRPr="00BE5F51">
        <w:rPr>
          <w:rFonts w:ascii="Times New Roman" w:hAnsi="Times New Roman"/>
          <w:color w:val="000000"/>
        </w:rPr>
        <w:t xml:space="preserve">administratívne poplatky za spracovanie žiadostí o poskytnutie finančných prostriedkov formou dotácie alebo </w:t>
      </w:r>
      <w:r>
        <w:rPr>
          <w:rFonts w:ascii="Times New Roman" w:hAnsi="Times New Roman"/>
          <w:color w:val="000000"/>
        </w:rPr>
        <w:t>štipendií</w:t>
      </w:r>
      <w:r w:rsidRPr="00BE5F51">
        <w:rPr>
          <w:rFonts w:ascii="Times New Roman" w:hAnsi="Times New Roman"/>
          <w:color w:val="000000"/>
        </w:rPr>
        <w:t xml:space="preserve">, ktoré sa rozpočtujú na rok 2016 v sume 80 tis. eur. </w:t>
      </w:r>
    </w:p>
    <w:p w:rsidR="006C0389" w:rsidRPr="00003F01" w:rsidP="006C0389">
      <w:pPr>
        <w:bidi w:val="0"/>
        <w:ind w:firstLine="708"/>
        <w:jc w:val="both"/>
        <w:rPr>
          <w:rFonts w:ascii="Times New Roman" w:hAnsi="Times New Roman"/>
          <w:color w:val="000000"/>
          <w:sz w:val="16"/>
          <w:szCs w:val="16"/>
        </w:rPr>
      </w:pPr>
    </w:p>
    <w:p w:rsidR="006C0389" w:rsidRPr="00FF3F8C" w:rsidP="006C0389">
      <w:pPr>
        <w:bidi w:val="0"/>
        <w:ind w:firstLine="708"/>
        <w:jc w:val="both"/>
        <w:rPr>
          <w:rFonts w:ascii="Times New Roman" w:hAnsi="Times New Roman"/>
        </w:rPr>
      </w:pPr>
      <w:r>
        <w:rPr>
          <w:rFonts w:ascii="Times New Roman" w:hAnsi="Times New Roman"/>
          <w:color w:val="000000"/>
        </w:rPr>
        <w:t xml:space="preserve">Fond neplánuje v rokoch 2016 </w:t>
      </w:r>
      <w:r w:rsidR="006244B6">
        <w:rPr>
          <w:rFonts w:ascii="Times New Roman" w:hAnsi="Times New Roman"/>
          <w:color w:val="000000"/>
        </w:rPr>
        <w:t>až</w:t>
      </w:r>
      <w:r>
        <w:rPr>
          <w:rFonts w:ascii="Times New Roman" w:hAnsi="Times New Roman"/>
          <w:color w:val="000000"/>
        </w:rPr>
        <w:t xml:space="preserve"> 2018 poskytovať v rámci podpornej činnosti pôžičky, z uvedeného dôvodu sa nerozpočtujú ďalšie vlastné príjmy plynúce zo splácania poskytnutých pôžičiek.</w:t>
      </w:r>
    </w:p>
    <w:p w:rsidR="006C0389" w:rsidRPr="00BE5F51" w:rsidP="006C0389">
      <w:pPr>
        <w:autoSpaceDE w:val="0"/>
        <w:autoSpaceDN w:val="0"/>
        <w:bidi w:val="0"/>
        <w:adjustRightInd w:val="0"/>
        <w:ind w:firstLine="708"/>
        <w:jc w:val="both"/>
        <w:rPr>
          <w:rFonts w:ascii="Times New Roman" w:hAnsi="Times New Roman"/>
          <w:color w:val="000000"/>
          <w:sz w:val="16"/>
          <w:szCs w:val="16"/>
        </w:rPr>
      </w:pPr>
    </w:p>
    <w:p w:rsidR="006C0389" w:rsidP="006C0389">
      <w:pPr>
        <w:bidi w:val="0"/>
        <w:ind w:firstLine="708"/>
        <w:jc w:val="both"/>
        <w:rPr>
          <w:rFonts w:ascii="Times New Roman" w:hAnsi="Times New Roman"/>
          <w:color w:val="000000"/>
        </w:rPr>
      </w:pPr>
      <w:r w:rsidRPr="00BE5F51">
        <w:rPr>
          <w:rFonts w:ascii="Times New Roman" w:hAnsi="Times New Roman"/>
          <w:color w:val="000000"/>
        </w:rPr>
        <w:t xml:space="preserve">Výdavky subjektu sa v roku 2016 navrhujú vo výške </w:t>
      </w:r>
      <w:r>
        <w:rPr>
          <w:rFonts w:ascii="Times New Roman" w:hAnsi="Times New Roman"/>
          <w:color w:val="000000"/>
        </w:rPr>
        <w:t>15,1</w:t>
      </w:r>
      <w:r w:rsidRPr="00BE5F51">
        <w:rPr>
          <w:rFonts w:ascii="Times New Roman" w:hAnsi="Times New Roman"/>
          <w:color w:val="000000"/>
        </w:rPr>
        <w:t xml:space="preserve"> mil. eur. </w:t>
      </w:r>
      <w:r>
        <w:rPr>
          <w:rFonts w:ascii="Times New Roman" w:hAnsi="Times New Roman"/>
          <w:color w:val="000000"/>
        </w:rPr>
        <w:t>V zmysle platnej legislatívy je  fond  oprávnený  použiť na vlastnú prevádzku najviac 3 % z celkovej sumy svojich príjmov.</w:t>
      </w:r>
    </w:p>
    <w:p w:rsidR="006C0389" w:rsidRPr="00BE5F51" w:rsidP="006C0389">
      <w:pPr>
        <w:bidi w:val="0"/>
        <w:ind w:firstLine="708"/>
        <w:jc w:val="both"/>
        <w:rPr>
          <w:rFonts w:ascii="Times New Roman" w:hAnsi="Times New Roman"/>
          <w:color w:val="000000"/>
          <w:sz w:val="16"/>
          <w:szCs w:val="16"/>
        </w:rPr>
      </w:pPr>
    </w:p>
    <w:p w:rsidR="006C0389" w:rsidRPr="00BE5F51" w:rsidP="006C0389">
      <w:pPr>
        <w:bidi w:val="0"/>
        <w:ind w:firstLine="708"/>
        <w:jc w:val="both"/>
        <w:rPr>
          <w:rFonts w:ascii="Times New Roman" w:hAnsi="Times New Roman"/>
          <w:color w:val="000000"/>
          <w:sz w:val="16"/>
          <w:szCs w:val="16"/>
        </w:rPr>
      </w:pPr>
      <w:r w:rsidRPr="00BE5F51">
        <w:rPr>
          <w:rFonts w:ascii="Times New Roman" w:hAnsi="Times New Roman"/>
          <w:color w:val="000000"/>
        </w:rPr>
        <w:t>Osobné výdavky</w:t>
      </w:r>
      <w:r>
        <w:rPr>
          <w:rFonts w:ascii="Times New Roman" w:hAnsi="Times New Roman"/>
          <w:color w:val="000000"/>
        </w:rPr>
        <w:t xml:space="preserve">, ktoré medziročne výrazne rastú súvisia s ukončením nábehovej fázy fungovania fondu  a postupnej stabilizácie počtu trvalých pracovných pomerov.  </w:t>
      </w:r>
    </w:p>
    <w:p w:rsidR="006C0389" w:rsidRPr="00003F01" w:rsidP="006C0389">
      <w:pPr>
        <w:bidi w:val="0"/>
        <w:ind w:firstLine="708"/>
        <w:jc w:val="both"/>
        <w:rPr>
          <w:rFonts w:ascii="Times New Roman" w:hAnsi="Times New Roman"/>
          <w:color w:val="000000"/>
          <w:sz w:val="16"/>
          <w:szCs w:val="16"/>
        </w:rPr>
      </w:pPr>
    </w:p>
    <w:p w:rsidR="006C0389" w:rsidRPr="00BE5F51" w:rsidP="006C0389">
      <w:pPr>
        <w:bidi w:val="0"/>
        <w:ind w:firstLine="708"/>
        <w:jc w:val="both"/>
        <w:rPr>
          <w:rFonts w:ascii="Times New Roman" w:hAnsi="Times New Roman"/>
          <w:color w:val="000000"/>
        </w:rPr>
      </w:pPr>
      <w:r w:rsidRPr="00BE5F51">
        <w:rPr>
          <w:rFonts w:ascii="Times New Roman" w:hAnsi="Times New Roman"/>
          <w:color w:val="000000"/>
        </w:rPr>
        <w:t xml:space="preserve">V rámci tovarov a služieb sú rozpočtované výdavky na </w:t>
      </w:r>
      <w:r>
        <w:rPr>
          <w:rFonts w:ascii="Times New Roman" w:hAnsi="Times New Roman"/>
          <w:color w:val="000000"/>
        </w:rPr>
        <w:t xml:space="preserve">údržbu a prevádzku informačného dotačného systému, webovej stránky fondu. </w:t>
      </w:r>
      <w:r w:rsidRPr="00BE5F51">
        <w:rPr>
          <w:rFonts w:ascii="Times New Roman" w:hAnsi="Times New Roman"/>
          <w:color w:val="000000"/>
        </w:rPr>
        <w:t>Súčasťou výdavkov sú aj pravidelné odmeny členov orgánov fondu.</w:t>
      </w:r>
    </w:p>
    <w:p w:rsidR="006C0389" w:rsidRPr="00BE5F51" w:rsidP="006C0389">
      <w:pPr>
        <w:bidi w:val="0"/>
        <w:ind w:firstLine="708"/>
        <w:jc w:val="both"/>
        <w:rPr>
          <w:rFonts w:ascii="Times New Roman" w:hAnsi="Times New Roman"/>
          <w:color w:val="000000"/>
          <w:sz w:val="16"/>
          <w:szCs w:val="16"/>
        </w:rPr>
      </w:pPr>
    </w:p>
    <w:p w:rsidR="006C0389" w:rsidRPr="00BE5F51" w:rsidP="006C0389">
      <w:pPr>
        <w:bidi w:val="0"/>
        <w:ind w:firstLine="708"/>
        <w:jc w:val="both"/>
        <w:rPr>
          <w:rFonts w:ascii="Times New Roman" w:hAnsi="Times New Roman"/>
          <w:color w:val="000000"/>
        </w:rPr>
      </w:pPr>
      <w:r>
        <w:rPr>
          <w:rFonts w:ascii="Times New Roman" w:hAnsi="Times New Roman"/>
          <w:color w:val="000000"/>
        </w:rPr>
        <w:t>V rámci bežných transferov sú rozpočtované zdroje na podporu umeleckých aktivít, kultúry, kreatívneho priemyslu a realizáciu projektov. Návrh rozpočtu zohľadňuje čerpanie prostriedkov v  rámci dotačného  systému  ministerstva  kultúry a predpokladá paušálny nárast.</w:t>
      </w:r>
    </w:p>
    <w:p w:rsidR="006C0389" w:rsidRPr="00BE5F51" w:rsidP="006C0389">
      <w:pPr>
        <w:bidi w:val="0"/>
        <w:jc w:val="both"/>
        <w:rPr>
          <w:rFonts w:ascii="Times New Roman" w:hAnsi="Times New Roman"/>
          <w:color w:val="000000"/>
          <w:sz w:val="16"/>
          <w:szCs w:val="16"/>
        </w:rPr>
      </w:pPr>
    </w:p>
    <w:p w:rsidR="006C0389" w:rsidRPr="00BE5F51" w:rsidP="006C0389">
      <w:pPr>
        <w:bidi w:val="0"/>
        <w:ind w:firstLine="708"/>
        <w:jc w:val="both"/>
        <w:rPr>
          <w:rFonts w:ascii="Times New Roman" w:hAnsi="Times New Roman"/>
          <w:color w:val="000000"/>
        </w:rPr>
      </w:pPr>
      <w:r>
        <w:rPr>
          <w:rFonts w:ascii="Times New Roman" w:hAnsi="Times New Roman"/>
          <w:color w:val="000000"/>
        </w:rPr>
        <w:t>V nadväznosti na poskytnuté  prostriedky zo štátneho rozpočtu vo forme bežného transferu sa na rok 2016 nerozpočtujú kapitálové výdavky. V rámci upraveného rozpočtu sa predpokladá použiť zdroje v objeme 565 tis. eur.</w:t>
      </w:r>
    </w:p>
    <w:p w:rsidR="006C0389" w:rsidRPr="00BE5F51" w:rsidP="006C0389">
      <w:pPr>
        <w:bidi w:val="0"/>
        <w:rPr>
          <w:rFonts w:ascii="Times New Roman" w:hAnsi="Times New Roman"/>
          <w:color w:val="000000"/>
          <w:sz w:val="16"/>
          <w:szCs w:val="16"/>
        </w:rPr>
      </w:pPr>
    </w:p>
    <w:p w:rsidR="006C0389" w:rsidP="00003F01">
      <w:pPr>
        <w:bidi w:val="0"/>
        <w:ind w:firstLine="708"/>
        <w:jc w:val="both"/>
        <w:rPr>
          <w:rFonts w:ascii="Times New Roman" w:hAnsi="Times New Roman"/>
        </w:rPr>
      </w:pPr>
      <w:r w:rsidR="006244B6">
        <w:rPr>
          <w:rFonts w:ascii="Times New Roman" w:hAnsi="Times New Roman"/>
        </w:rPr>
        <w:t xml:space="preserve">Celková bilanca </w:t>
      </w:r>
      <w:r w:rsidRPr="00BE5F51">
        <w:rPr>
          <w:rFonts w:ascii="Times New Roman" w:hAnsi="Times New Roman"/>
        </w:rPr>
        <w:t xml:space="preserve">fondu sa </w:t>
      </w:r>
      <w:r>
        <w:rPr>
          <w:rFonts w:ascii="Times New Roman" w:hAnsi="Times New Roman"/>
        </w:rPr>
        <w:t>každoročne predpokladá vyrovnan</w:t>
      </w:r>
      <w:r w:rsidR="006244B6">
        <w:rPr>
          <w:rFonts w:ascii="Times New Roman" w:hAnsi="Times New Roman"/>
        </w:rPr>
        <w:t>á</w:t>
      </w:r>
      <w:r w:rsidRPr="00BE5F51">
        <w:rPr>
          <w:rFonts w:ascii="Times New Roman" w:hAnsi="Times New Roman"/>
        </w:rPr>
        <w:t xml:space="preserve">. </w:t>
      </w:r>
      <w:r>
        <w:rPr>
          <w:rFonts w:ascii="Times New Roman" w:hAnsi="Times New Roman"/>
        </w:rPr>
        <w:t xml:space="preserve">Rovnako </w:t>
      </w:r>
      <w:r w:rsidRPr="00BE5F51">
        <w:rPr>
          <w:rFonts w:ascii="Times New Roman" w:hAnsi="Times New Roman"/>
        </w:rPr>
        <w:t>hospodáreni</w:t>
      </w:r>
      <w:r w:rsidR="006244B6">
        <w:rPr>
          <w:rFonts w:ascii="Times New Roman" w:hAnsi="Times New Roman"/>
        </w:rPr>
        <w:t>e</w:t>
      </w:r>
      <w:r w:rsidRPr="00BE5F51">
        <w:rPr>
          <w:rFonts w:ascii="Times New Roman" w:hAnsi="Times New Roman"/>
        </w:rPr>
        <w:t xml:space="preserve"> vyjadrené v metodike ESA 2010 sa v rokoch 2016 až 2018 predpokladá vyrovnané.</w:t>
      </w:r>
      <w:r>
        <w:rPr>
          <w:rFonts w:ascii="Times New Roman" w:hAnsi="Times New Roman"/>
        </w:rPr>
        <w:t xml:space="preserve"> </w:t>
      </w:r>
      <w:r w:rsidRPr="00071BB8">
        <w:rPr>
          <w:rFonts w:ascii="Times New Roman" w:hAnsi="Times New Roman"/>
        </w:rPr>
        <w:t xml:space="preserve"> </w:t>
      </w:r>
      <w:r>
        <w:rPr>
          <w:rFonts w:ascii="Times New Roman" w:hAnsi="Times New Roman"/>
        </w:rPr>
        <w:t xml:space="preserve"> </w:t>
      </w:r>
    </w:p>
    <w:p w:rsidR="00003F01" w:rsidP="006C0389">
      <w:pPr>
        <w:bidi w:val="0"/>
        <w:jc w:val="both"/>
        <w:rPr>
          <w:rFonts w:ascii="Times New Roman" w:hAnsi="Times New Roman"/>
        </w:rPr>
      </w:pPr>
    </w:p>
    <w:p w:rsidR="006C0389" w:rsidP="006C0389">
      <w:pPr>
        <w:bidi w:val="0"/>
        <w:jc w:val="both"/>
        <w:rPr>
          <w:rFonts w:ascii="Times New Roman" w:hAnsi="Times New Roman"/>
          <w:b/>
        </w:rPr>
      </w:pPr>
      <w:r>
        <w:rPr>
          <w:rFonts w:ascii="Times New Roman" w:hAnsi="Times New Roman"/>
          <w:b/>
        </w:rPr>
        <w:t>2</w:t>
      </w:r>
      <w:r w:rsidR="004F4345">
        <w:rPr>
          <w:rFonts w:ascii="Times New Roman" w:hAnsi="Times New Roman"/>
          <w:b/>
        </w:rPr>
        <w:t>2</w:t>
      </w:r>
      <w:r>
        <w:rPr>
          <w:rFonts w:ascii="Times New Roman" w:hAnsi="Times New Roman"/>
          <w:b/>
        </w:rPr>
        <w:t>. Zdravotnícke zariadenia</w:t>
      </w:r>
    </w:p>
    <w:p w:rsidR="006C0389" w:rsidRPr="00003F01" w:rsidP="006C0389">
      <w:pPr>
        <w:bidi w:val="0"/>
        <w:jc w:val="both"/>
        <w:rPr>
          <w:rFonts w:ascii="Times New Roman" w:hAnsi="Times New Roman"/>
          <w:b/>
          <w:sz w:val="16"/>
          <w:szCs w:val="16"/>
          <w:u w:val="single"/>
        </w:rPr>
      </w:pPr>
    </w:p>
    <w:p w:rsidR="006C0389" w:rsidP="006C0389">
      <w:pPr>
        <w:autoSpaceDE w:val="0"/>
        <w:autoSpaceDN w:val="0"/>
        <w:bidi w:val="0"/>
        <w:adjustRightInd w:val="0"/>
        <w:ind w:firstLine="708"/>
        <w:jc w:val="both"/>
        <w:rPr>
          <w:rFonts w:ascii="Times New Roman" w:hAnsi="Times New Roman"/>
        </w:rPr>
      </w:pPr>
      <w:r>
        <w:rPr>
          <w:rFonts w:ascii="Times New Roman" w:hAnsi="Times New Roman"/>
        </w:rPr>
        <w:t>Od roku 2015 sa súčasťou súhrnných údajov rozpočtu verejnej správy</w:t>
      </w:r>
      <w:r w:rsidRPr="00F568B9">
        <w:rPr>
          <w:rFonts w:ascii="Times New Roman" w:hAnsi="Times New Roman"/>
        </w:rPr>
        <w:t xml:space="preserve"> </w:t>
      </w:r>
      <w:r>
        <w:rPr>
          <w:rFonts w:ascii="Times New Roman" w:hAnsi="Times New Roman"/>
        </w:rPr>
        <w:t xml:space="preserve">stali aj údaje za zdravotnícke zariadenia, ktoré Štatistický úrad SR </w:t>
      </w:r>
      <w:r w:rsidRPr="00F568B9">
        <w:rPr>
          <w:rFonts w:ascii="Times New Roman" w:hAnsi="Times New Roman"/>
        </w:rPr>
        <w:t>v súlade s európskou metodikou ESA 2010 ustanovenou Nariadením EP a Rady (EÚ) č. 549/2013 z 21. mája 2013 o európskom systéme národných a regionálnych účtov v Európskej únii</w:t>
      </w:r>
      <w:r>
        <w:rPr>
          <w:rFonts w:ascii="Times New Roman" w:hAnsi="Times New Roman"/>
        </w:rPr>
        <w:t xml:space="preserve"> zaradil medzi subjekty verejnej správy.</w:t>
      </w:r>
    </w:p>
    <w:p w:rsidR="0094530F"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6244B6"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Times New Roman" w:hAnsi="Times New Roman"/>
        </w:rPr>
      </w:pPr>
    </w:p>
    <w:p w:rsidR="00705199" w:rsidP="0094530F">
      <w:pPr>
        <w:autoSpaceDE w:val="0"/>
        <w:autoSpaceDN w:val="0"/>
        <w:bidi w:val="0"/>
        <w:adjustRightInd w:val="0"/>
        <w:jc w:val="both"/>
        <w:rPr>
          <w:rFonts w:ascii="Arial Narrow" w:hAnsi="Arial Narrow"/>
          <w:sz w:val="22"/>
          <w:szCs w:val="22"/>
        </w:rPr>
      </w:pPr>
    </w:p>
    <w:tbl>
      <w:tblPr>
        <w:tblStyle w:val="TableNormal"/>
        <w:tblW w:w="9412" w:type="dxa"/>
        <w:tblLayout w:type="fixed"/>
        <w:tblCellMar>
          <w:left w:w="70" w:type="dxa"/>
          <w:right w:w="70" w:type="dxa"/>
        </w:tblCellMar>
        <w:tblLook w:val="04A0"/>
      </w:tblPr>
      <w:tblGrid>
        <w:gridCol w:w="865"/>
        <w:gridCol w:w="2996"/>
        <w:gridCol w:w="793"/>
        <w:gridCol w:w="793"/>
        <w:gridCol w:w="793"/>
        <w:gridCol w:w="793"/>
        <w:gridCol w:w="793"/>
        <w:gridCol w:w="793"/>
        <w:gridCol w:w="793"/>
      </w:tblGrid>
      <w:tr>
        <w:tblPrEx>
          <w:tblW w:w="9412" w:type="dxa"/>
          <w:tblLayout w:type="fixed"/>
          <w:tblCellMar>
            <w:left w:w="70" w:type="dxa"/>
            <w:right w:w="70" w:type="dxa"/>
          </w:tblCellMar>
          <w:tblLook w:val="04A0"/>
        </w:tblPrEx>
        <w:trPr>
          <w:trHeight w:hRule="exact" w:val="255"/>
        </w:trPr>
        <w:tc>
          <w:tcPr>
            <w:tcW w:w="3861" w:type="dxa"/>
            <w:gridSpan w:val="2"/>
            <w:tcBorders>
              <w:top w:val="single" w:sz="4" w:space="0" w:color="auto"/>
              <w:left w:val="single" w:sz="4" w:space="0" w:color="auto"/>
              <w:bottom w:val="single" w:sz="4" w:space="0" w:color="auto"/>
              <w:right w:val="nil"/>
            </w:tcBorders>
            <w:shd w:val="pct35" w:color="auto" w:fill="auto"/>
            <w:noWrap/>
            <w:textDirection w:val="lrTb"/>
            <w:vAlign w:val="center"/>
            <w:hideMark/>
          </w:tcPr>
          <w:p w:rsidR="0094530F" w:rsidRPr="00246F6D" w:rsidP="003553EB">
            <w:pPr>
              <w:bidi w:val="0"/>
              <w:rPr>
                <w:rFonts w:ascii="Times New Roman" w:hAnsi="Times New Roman"/>
                <w:b/>
                <w:bCs/>
                <w:color w:val="000000"/>
                <w:sz w:val="14"/>
                <w:szCs w:val="14"/>
              </w:rPr>
            </w:pPr>
            <w:r w:rsidRPr="00246F6D">
              <w:rPr>
                <w:rFonts w:ascii="Times New Roman" w:hAnsi="Times New Roman"/>
                <w:b/>
                <w:bCs/>
                <w:color w:val="000000"/>
                <w:sz w:val="14"/>
                <w:szCs w:val="14"/>
              </w:rPr>
              <w:t>v tis. eur</w:t>
            </w:r>
          </w:p>
        </w:tc>
        <w:tc>
          <w:tcPr>
            <w:tcW w:w="793" w:type="dxa"/>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94530F" w:rsidRPr="00246F6D" w:rsidP="003553EB">
            <w:pPr>
              <w:bidi w:val="0"/>
              <w:jc w:val="center"/>
              <w:rPr>
                <w:rFonts w:ascii="Times New Roman" w:hAnsi="Times New Roman"/>
                <w:b/>
                <w:bCs/>
                <w:color w:val="000000"/>
                <w:sz w:val="14"/>
                <w:szCs w:val="14"/>
              </w:rPr>
            </w:pPr>
            <w:r w:rsidRPr="00246F6D">
              <w:rPr>
                <w:rFonts w:ascii="Times New Roman" w:hAnsi="Times New Roman"/>
                <w:b/>
                <w:bCs/>
                <w:color w:val="000000"/>
                <w:sz w:val="14"/>
                <w:szCs w:val="14"/>
              </w:rPr>
              <w:t>2013 S</w:t>
            </w:r>
            <w:r w:rsidR="00686D70">
              <w:rPr>
                <w:rFonts w:ascii="Times New Roman" w:hAnsi="Times New Roman"/>
                <w:b/>
                <w:bCs/>
                <w:color w:val="000000"/>
                <w:sz w:val="14"/>
                <w:szCs w:val="14"/>
              </w:rPr>
              <w:t>*</w:t>
            </w:r>
          </w:p>
        </w:tc>
        <w:tc>
          <w:tcPr>
            <w:tcW w:w="793" w:type="dxa"/>
            <w:tcBorders>
              <w:top w:val="single" w:sz="4" w:space="0" w:color="auto"/>
              <w:left w:val="nil"/>
              <w:bottom w:val="single" w:sz="4" w:space="0" w:color="auto"/>
              <w:right w:val="single" w:sz="4" w:space="0" w:color="auto"/>
            </w:tcBorders>
            <w:shd w:val="pct35" w:color="auto" w:fill="auto"/>
            <w:noWrap/>
            <w:textDirection w:val="lrTb"/>
            <w:vAlign w:val="center"/>
            <w:hideMark/>
          </w:tcPr>
          <w:p w:rsidR="0094530F" w:rsidRPr="00246F6D" w:rsidP="003553EB">
            <w:pPr>
              <w:bidi w:val="0"/>
              <w:jc w:val="center"/>
              <w:rPr>
                <w:rFonts w:ascii="Times New Roman" w:hAnsi="Times New Roman"/>
                <w:b/>
                <w:bCs/>
                <w:color w:val="000000"/>
                <w:sz w:val="14"/>
                <w:szCs w:val="14"/>
              </w:rPr>
            </w:pPr>
            <w:r w:rsidRPr="00246F6D">
              <w:rPr>
                <w:rFonts w:ascii="Times New Roman" w:hAnsi="Times New Roman"/>
                <w:b/>
                <w:bCs/>
                <w:color w:val="000000"/>
                <w:sz w:val="14"/>
                <w:szCs w:val="14"/>
              </w:rPr>
              <w:t>2014 S</w:t>
            </w:r>
            <w:r w:rsidR="00686D70">
              <w:rPr>
                <w:rFonts w:ascii="Times New Roman" w:hAnsi="Times New Roman"/>
                <w:b/>
                <w:bCs/>
                <w:color w:val="000000"/>
                <w:sz w:val="14"/>
                <w:szCs w:val="14"/>
              </w:rPr>
              <w:t>*</w:t>
            </w:r>
          </w:p>
        </w:tc>
        <w:tc>
          <w:tcPr>
            <w:tcW w:w="793" w:type="dxa"/>
            <w:tcBorders>
              <w:top w:val="single" w:sz="4" w:space="0" w:color="auto"/>
              <w:left w:val="nil"/>
              <w:bottom w:val="single" w:sz="4" w:space="0" w:color="auto"/>
              <w:right w:val="single" w:sz="4" w:space="0" w:color="auto"/>
            </w:tcBorders>
            <w:shd w:val="pct35" w:color="auto" w:fill="auto"/>
            <w:textDirection w:val="lrTb"/>
            <w:vAlign w:val="center"/>
          </w:tcPr>
          <w:p w:rsidR="0094530F" w:rsidRPr="00246F6D" w:rsidP="003553EB">
            <w:pPr>
              <w:bidi w:val="0"/>
              <w:jc w:val="center"/>
              <w:rPr>
                <w:rFonts w:ascii="Times New Roman" w:hAnsi="Times New Roman"/>
                <w:b/>
                <w:bCs/>
                <w:color w:val="000000"/>
                <w:sz w:val="14"/>
                <w:szCs w:val="14"/>
              </w:rPr>
            </w:pPr>
            <w:r>
              <w:rPr>
                <w:rFonts w:ascii="Times New Roman" w:hAnsi="Times New Roman"/>
                <w:b/>
                <w:bCs/>
                <w:color w:val="000000"/>
                <w:sz w:val="14"/>
                <w:szCs w:val="14"/>
              </w:rPr>
              <w:t>2015 R</w:t>
            </w:r>
          </w:p>
        </w:tc>
        <w:tc>
          <w:tcPr>
            <w:tcW w:w="793" w:type="dxa"/>
            <w:tcBorders>
              <w:top w:val="single" w:sz="4" w:space="0" w:color="auto"/>
              <w:left w:val="single" w:sz="4" w:space="0" w:color="auto"/>
              <w:bottom w:val="single" w:sz="4" w:space="0" w:color="auto"/>
              <w:right w:val="single" w:sz="4" w:space="0" w:color="auto"/>
            </w:tcBorders>
            <w:shd w:val="pct35" w:color="auto" w:fill="auto"/>
            <w:noWrap/>
            <w:textDirection w:val="lrTb"/>
            <w:vAlign w:val="center"/>
            <w:hideMark/>
          </w:tcPr>
          <w:p w:rsidR="0094530F" w:rsidRPr="00246F6D" w:rsidP="003553EB">
            <w:pPr>
              <w:bidi w:val="0"/>
              <w:jc w:val="center"/>
              <w:rPr>
                <w:rFonts w:ascii="Times New Roman" w:hAnsi="Times New Roman"/>
                <w:b/>
                <w:bCs/>
                <w:color w:val="000000"/>
                <w:sz w:val="14"/>
                <w:szCs w:val="14"/>
              </w:rPr>
            </w:pPr>
            <w:r w:rsidRPr="00246F6D">
              <w:rPr>
                <w:rFonts w:ascii="Times New Roman" w:hAnsi="Times New Roman"/>
                <w:b/>
                <w:bCs/>
                <w:color w:val="000000"/>
                <w:sz w:val="14"/>
                <w:szCs w:val="14"/>
              </w:rPr>
              <w:t>2015 OS</w:t>
            </w:r>
          </w:p>
        </w:tc>
        <w:tc>
          <w:tcPr>
            <w:tcW w:w="793" w:type="dxa"/>
            <w:tcBorders>
              <w:top w:val="single" w:sz="4" w:space="0" w:color="auto"/>
              <w:left w:val="nil"/>
              <w:bottom w:val="single" w:sz="4" w:space="0" w:color="auto"/>
              <w:right w:val="single" w:sz="4" w:space="0" w:color="auto"/>
            </w:tcBorders>
            <w:shd w:val="pct35" w:color="auto" w:fill="auto"/>
            <w:noWrap/>
            <w:textDirection w:val="lrTb"/>
            <w:vAlign w:val="center"/>
            <w:hideMark/>
          </w:tcPr>
          <w:p w:rsidR="0094530F" w:rsidRPr="00246F6D" w:rsidP="003553EB">
            <w:pPr>
              <w:bidi w:val="0"/>
              <w:jc w:val="center"/>
              <w:rPr>
                <w:rFonts w:ascii="Times New Roman" w:hAnsi="Times New Roman"/>
                <w:b/>
                <w:bCs/>
                <w:color w:val="000000"/>
                <w:sz w:val="14"/>
                <w:szCs w:val="14"/>
              </w:rPr>
            </w:pPr>
            <w:r w:rsidRPr="00246F6D">
              <w:rPr>
                <w:rFonts w:ascii="Times New Roman" w:hAnsi="Times New Roman"/>
                <w:b/>
                <w:bCs/>
                <w:color w:val="000000"/>
                <w:sz w:val="14"/>
                <w:szCs w:val="14"/>
              </w:rPr>
              <w:t>2016 N</w:t>
            </w:r>
          </w:p>
        </w:tc>
        <w:tc>
          <w:tcPr>
            <w:tcW w:w="793" w:type="dxa"/>
            <w:tcBorders>
              <w:top w:val="single" w:sz="4" w:space="0" w:color="auto"/>
              <w:left w:val="nil"/>
              <w:bottom w:val="single" w:sz="4" w:space="0" w:color="auto"/>
              <w:right w:val="single" w:sz="4" w:space="0" w:color="auto"/>
            </w:tcBorders>
            <w:shd w:val="pct35" w:color="auto" w:fill="auto"/>
            <w:noWrap/>
            <w:textDirection w:val="lrTb"/>
            <w:vAlign w:val="center"/>
            <w:hideMark/>
          </w:tcPr>
          <w:p w:rsidR="0094530F" w:rsidRPr="00246F6D" w:rsidP="003553EB">
            <w:pPr>
              <w:bidi w:val="0"/>
              <w:jc w:val="center"/>
              <w:rPr>
                <w:rFonts w:ascii="Times New Roman" w:hAnsi="Times New Roman"/>
                <w:b/>
                <w:bCs/>
                <w:color w:val="000000"/>
                <w:sz w:val="14"/>
                <w:szCs w:val="14"/>
              </w:rPr>
            </w:pPr>
            <w:r w:rsidRPr="00246F6D">
              <w:rPr>
                <w:rFonts w:ascii="Times New Roman" w:hAnsi="Times New Roman"/>
                <w:b/>
                <w:bCs/>
                <w:color w:val="000000"/>
                <w:sz w:val="14"/>
                <w:szCs w:val="14"/>
              </w:rPr>
              <w:t>2017 N</w:t>
            </w:r>
          </w:p>
        </w:tc>
        <w:tc>
          <w:tcPr>
            <w:tcW w:w="793" w:type="dxa"/>
            <w:tcBorders>
              <w:top w:val="single" w:sz="4" w:space="0" w:color="auto"/>
              <w:left w:val="nil"/>
              <w:bottom w:val="single" w:sz="4" w:space="0" w:color="auto"/>
              <w:right w:val="single" w:sz="4" w:space="0" w:color="auto"/>
            </w:tcBorders>
            <w:shd w:val="pct35" w:color="auto" w:fill="auto"/>
            <w:noWrap/>
            <w:textDirection w:val="lrTb"/>
            <w:vAlign w:val="center"/>
            <w:hideMark/>
          </w:tcPr>
          <w:p w:rsidR="0094530F" w:rsidRPr="00246F6D" w:rsidP="003553EB">
            <w:pPr>
              <w:bidi w:val="0"/>
              <w:jc w:val="center"/>
              <w:rPr>
                <w:rFonts w:ascii="Times New Roman" w:hAnsi="Times New Roman"/>
                <w:b/>
                <w:bCs/>
                <w:color w:val="000000"/>
                <w:sz w:val="14"/>
                <w:szCs w:val="14"/>
              </w:rPr>
            </w:pPr>
            <w:r w:rsidRPr="00246F6D">
              <w:rPr>
                <w:rFonts w:ascii="Times New Roman" w:hAnsi="Times New Roman"/>
                <w:b/>
                <w:bCs/>
                <w:color w:val="000000"/>
                <w:sz w:val="14"/>
                <w:szCs w:val="14"/>
              </w:rPr>
              <w:t>2018 N</w:t>
            </w:r>
          </w:p>
        </w:tc>
      </w:tr>
      <w:tr>
        <w:tblPrEx>
          <w:tblW w:w="9412" w:type="dxa"/>
          <w:tblLayout w:type="fixed"/>
          <w:tblCellMar>
            <w:left w:w="70" w:type="dxa"/>
            <w:right w:w="70" w:type="dxa"/>
          </w:tblCellMar>
          <w:tblLook w:val="04A0"/>
        </w:tblPrEx>
        <w:trPr>
          <w:trHeight w:hRule="exact" w:val="255"/>
        </w:trPr>
        <w:tc>
          <w:tcPr>
            <w:tcW w:w="3861" w:type="dxa"/>
            <w:gridSpan w:val="2"/>
            <w:tcBorders>
              <w:top w:val="single" w:sz="4" w:space="0" w:color="auto"/>
              <w:left w:val="single" w:sz="4" w:space="0" w:color="auto"/>
              <w:bottom w:val="single" w:sz="4" w:space="0" w:color="auto"/>
              <w:right w:val="nil"/>
            </w:tcBorders>
            <w:shd w:val="pct25" w:color="auto" w:fill="auto"/>
            <w:noWrap/>
            <w:textDirection w:val="lrTb"/>
            <w:vAlign w:val="center"/>
            <w:hideMark/>
          </w:tcPr>
          <w:p w:rsidR="0094530F" w:rsidRPr="00246F6D" w:rsidP="003553EB">
            <w:pPr>
              <w:bidi w:val="0"/>
              <w:rPr>
                <w:rFonts w:ascii="Times New Roman" w:hAnsi="Times New Roman"/>
                <w:b/>
                <w:bCs/>
                <w:color w:val="000000"/>
                <w:sz w:val="14"/>
                <w:szCs w:val="14"/>
              </w:rPr>
            </w:pPr>
            <w:r w:rsidRPr="00246F6D">
              <w:rPr>
                <w:rFonts w:ascii="Times New Roman" w:hAnsi="Times New Roman"/>
                <w:b/>
                <w:bCs/>
                <w:color w:val="000000"/>
                <w:sz w:val="14"/>
                <w:szCs w:val="14"/>
              </w:rPr>
              <w:t>Príjmy zdravotníckych zariadení spolu</w:t>
            </w:r>
          </w:p>
        </w:tc>
        <w:tc>
          <w:tcPr>
            <w:tcW w:w="793" w:type="dxa"/>
            <w:tcBorders>
              <w:top w:val="single" w:sz="4" w:space="0" w:color="auto"/>
              <w:left w:val="single" w:sz="4" w:space="0" w:color="auto"/>
              <w:bottom w:val="single" w:sz="4" w:space="0" w:color="auto"/>
              <w:right w:val="single" w:sz="4" w:space="0" w:color="auto"/>
            </w:tcBorders>
            <w:shd w:val="pct25" w:color="auto" w:fill="auto"/>
            <w:noWrap/>
            <w:textDirection w:val="lrTb"/>
            <w:vAlign w:val="center"/>
            <w:hideMark/>
          </w:tcPr>
          <w:p w:rsidR="0094530F" w:rsidRPr="00246F6D" w:rsidP="0094530F">
            <w:pPr>
              <w:bidi w:val="0"/>
              <w:jc w:val="center"/>
              <w:rPr>
                <w:rFonts w:ascii="Times New Roman" w:hAnsi="Times New Roman"/>
                <w:b/>
                <w:bCs/>
                <w:color w:val="000000"/>
                <w:sz w:val="14"/>
                <w:szCs w:val="14"/>
              </w:rPr>
            </w:pPr>
            <w:r>
              <w:rPr>
                <w:rFonts w:ascii="Times New Roman" w:hAnsi="Times New Roman"/>
                <w:b/>
                <w:bCs/>
                <w:color w:val="000000"/>
                <w:sz w:val="14"/>
                <w:szCs w:val="14"/>
              </w:rPr>
              <w:t>-</w:t>
            </w:r>
          </w:p>
        </w:tc>
        <w:tc>
          <w:tcPr>
            <w:tcW w:w="793" w:type="dxa"/>
            <w:tcBorders>
              <w:top w:val="single" w:sz="4" w:space="0" w:color="auto"/>
              <w:left w:val="nil"/>
              <w:bottom w:val="single" w:sz="4" w:space="0" w:color="auto"/>
              <w:right w:val="single" w:sz="4" w:space="0" w:color="auto"/>
            </w:tcBorders>
            <w:shd w:val="pct25" w:color="auto" w:fill="auto"/>
            <w:noWrap/>
            <w:textDirection w:val="lrTb"/>
            <w:vAlign w:val="center"/>
            <w:hideMark/>
          </w:tcPr>
          <w:p w:rsidR="0094530F" w:rsidRPr="00246F6D" w:rsidP="0094530F">
            <w:pPr>
              <w:bidi w:val="0"/>
              <w:jc w:val="center"/>
              <w:rPr>
                <w:rFonts w:ascii="Times New Roman" w:hAnsi="Times New Roman"/>
                <w:b/>
                <w:bCs/>
                <w:color w:val="000000"/>
                <w:sz w:val="14"/>
                <w:szCs w:val="14"/>
              </w:rPr>
            </w:pPr>
            <w:r>
              <w:rPr>
                <w:rFonts w:ascii="Times New Roman" w:hAnsi="Times New Roman"/>
                <w:b/>
                <w:bCs/>
                <w:color w:val="000000"/>
                <w:sz w:val="14"/>
                <w:szCs w:val="14"/>
              </w:rPr>
              <w:t>-</w:t>
            </w:r>
          </w:p>
        </w:tc>
        <w:tc>
          <w:tcPr>
            <w:tcW w:w="793" w:type="dxa"/>
            <w:tcBorders>
              <w:top w:val="single" w:sz="4" w:space="0" w:color="auto"/>
              <w:left w:val="nil"/>
              <w:bottom w:val="single" w:sz="4" w:space="0" w:color="auto"/>
              <w:right w:val="single" w:sz="4" w:space="0" w:color="auto"/>
            </w:tcBorders>
            <w:shd w:val="pct25" w:color="auto" w:fill="auto"/>
            <w:textDirection w:val="lrTb"/>
            <w:vAlign w:val="center"/>
          </w:tcPr>
          <w:p w:rsidR="0094530F" w:rsidRPr="00246F6D" w:rsidP="003553EB">
            <w:pPr>
              <w:bidi w:val="0"/>
              <w:jc w:val="center"/>
              <w:rPr>
                <w:rFonts w:ascii="Times New Roman" w:hAnsi="Times New Roman"/>
                <w:b/>
                <w:bCs/>
                <w:color w:val="000000"/>
                <w:sz w:val="14"/>
                <w:szCs w:val="14"/>
              </w:rPr>
            </w:pPr>
            <w:r>
              <w:rPr>
                <w:rFonts w:ascii="Times New Roman" w:hAnsi="Times New Roman"/>
                <w:b/>
                <w:bCs/>
                <w:color w:val="000000"/>
                <w:sz w:val="14"/>
                <w:szCs w:val="14"/>
              </w:rPr>
              <w:t>-</w:t>
            </w:r>
          </w:p>
        </w:tc>
        <w:tc>
          <w:tcPr>
            <w:tcW w:w="793" w:type="dxa"/>
            <w:tcBorders>
              <w:top w:val="single" w:sz="4" w:space="0" w:color="auto"/>
              <w:left w:val="single" w:sz="4" w:space="0" w:color="auto"/>
              <w:bottom w:val="single" w:sz="4" w:space="0" w:color="auto"/>
              <w:right w:val="single" w:sz="4" w:space="0" w:color="auto"/>
            </w:tcBorders>
            <w:shd w:val="pct25" w:color="auto" w:fill="auto"/>
            <w:noWrap/>
            <w:textDirection w:val="lrTb"/>
            <w:vAlign w:val="center"/>
            <w:hideMark/>
          </w:tcPr>
          <w:p w:rsidR="0094530F" w:rsidRPr="00246F6D" w:rsidP="003553EB">
            <w:pPr>
              <w:bidi w:val="0"/>
              <w:jc w:val="right"/>
              <w:rPr>
                <w:rFonts w:ascii="Times New Roman" w:hAnsi="Times New Roman"/>
                <w:b/>
                <w:bCs/>
                <w:color w:val="000000"/>
                <w:sz w:val="14"/>
                <w:szCs w:val="14"/>
              </w:rPr>
            </w:pPr>
            <w:r w:rsidRPr="00246F6D">
              <w:rPr>
                <w:rFonts w:ascii="Times New Roman" w:hAnsi="Times New Roman"/>
                <w:b/>
                <w:bCs/>
                <w:color w:val="000000"/>
                <w:sz w:val="14"/>
                <w:szCs w:val="14"/>
              </w:rPr>
              <w:t>1 344 375</w:t>
            </w:r>
          </w:p>
        </w:tc>
        <w:tc>
          <w:tcPr>
            <w:tcW w:w="793" w:type="dxa"/>
            <w:tcBorders>
              <w:top w:val="single" w:sz="4" w:space="0" w:color="auto"/>
              <w:left w:val="nil"/>
              <w:bottom w:val="single" w:sz="4" w:space="0" w:color="auto"/>
              <w:right w:val="single" w:sz="4" w:space="0" w:color="auto"/>
            </w:tcBorders>
            <w:shd w:val="pct25" w:color="auto" w:fill="auto"/>
            <w:noWrap/>
            <w:textDirection w:val="lrTb"/>
            <w:vAlign w:val="center"/>
            <w:hideMark/>
          </w:tcPr>
          <w:p w:rsidR="0094530F" w:rsidRPr="00246F6D" w:rsidP="003553EB">
            <w:pPr>
              <w:bidi w:val="0"/>
              <w:jc w:val="right"/>
              <w:rPr>
                <w:rFonts w:ascii="Times New Roman" w:hAnsi="Times New Roman"/>
                <w:b/>
                <w:bCs/>
                <w:color w:val="000000"/>
                <w:sz w:val="14"/>
                <w:szCs w:val="14"/>
              </w:rPr>
            </w:pPr>
            <w:r w:rsidRPr="00246F6D">
              <w:rPr>
                <w:rFonts w:ascii="Times New Roman" w:hAnsi="Times New Roman"/>
                <w:b/>
                <w:bCs/>
                <w:color w:val="000000"/>
                <w:sz w:val="14"/>
                <w:szCs w:val="14"/>
              </w:rPr>
              <w:t>1 442 683</w:t>
            </w:r>
          </w:p>
        </w:tc>
        <w:tc>
          <w:tcPr>
            <w:tcW w:w="793" w:type="dxa"/>
            <w:tcBorders>
              <w:top w:val="single" w:sz="4" w:space="0" w:color="auto"/>
              <w:left w:val="nil"/>
              <w:bottom w:val="single" w:sz="4" w:space="0" w:color="auto"/>
              <w:right w:val="single" w:sz="4" w:space="0" w:color="auto"/>
            </w:tcBorders>
            <w:shd w:val="pct25" w:color="auto" w:fill="auto"/>
            <w:noWrap/>
            <w:textDirection w:val="lrTb"/>
            <w:vAlign w:val="center"/>
            <w:hideMark/>
          </w:tcPr>
          <w:p w:rsidR="0094530F" w:rsidRPr="00246F6D" w:rsidP="003553EB">
            <w:pPr>
              <w:bidi w:val="0"/>
              <w:jc w:val="right"/>
              <w:rPr>
                <w:rFonts w:ascii="Times New Roman" w:hAnsi="Times New Roman"/>
                <w:b/>
                <w:bCs/>
                <w:color w:val="000000"/>
                <w:sz w:val="14"/>
                <w:szCs w:val="14"/>
              </w:rPr>
            </w:pPr>
            <w:r w:rsidRPr="00246F6D">
              <w:rPr>
                <w:rFonts w:ascii="Times New Roman" w:hAnsi="Times New Roman"/>
                <w:b/>
                <w:bCs/>
                <w:color w:val="000000"/>
                <w:sz w:val="14"/>
                <w:szCs w:val="14"/>
              </w:rPr>
              <w:t>1 458 089</w:t>
            </w:r>
          </w:p>
        </w:tc>
        <w:tc>
          <w:tcPr>
            <w:tcW w:w="793" w:type="dxa"/>
            <w:tcBorders>
              <w:top w:val="single" w:sz="4" w:space="0" w:color="auto"/>
              <w:left w:val="nil"/>
              <w:bottom w:val="single" w:sz="4" w:space="0" w:color="auto"/>
              <w:right w:val="single" w:sz="4" w:space="0" w:color="auto"/>
            </w:tcBorders>
            <w:shd w:val="pct25" w:color="auto" w:fill="auto"/>
            <w:noWrap/>
            <w:textDirection w:val="lrTb"/>
            <w:vAlign w:val="center"/>
            <w:hideMark/>
          </w:tcPr>
          <w:p w:rsidR="0094530F" w:rsidRPr="00246F6D" w:rsidP="003553EB">
            <w:pPr>
              <w:bidi w:val="0"/>
              <w:jc w:val="right"/>
              <w:rPr>
                <w:rFonts w:ascii="Times New Roman" w:hAnsi="Times New Roman"/>
                <w:b/>
                <w:bCs/>
                <w:color w:val="000000"/>
                <w:sz w:val="14"/>
                <w:szCs w:val="14"/>
              </w:rPr>
            </w:pPr>
            <w:r w:rsidRPr="00246F6D">
              <w:rPr>
                <w:rFonts w:ascii="Times New Roman" w:hAnsi="Times New Roman"/>
                <w:b/>
                <w:bCs/>
                <w:color w:val="000000"/>
                <w:sz w:val="14"/>
                <w:szCs w:val="14"/>
              </w:rPr>
              <w:t>1 467 676</w:t>
            </w:r>
          </w:p>
        </w:tc>
      </w:tr>
      <w:tr>
        <w:tblPrEx>
          <w:tblW w:w="9412" w:type="dxa"/>
          <w:tblLayout w:type="fixed"/>
          <w:tblCellMar>
            <w:left w:w="70" w:type="dxa"/>
            <w:right w:w="70" w:type="dxa"/>
          </w:tblCellMar>
          <w:tblLook w:val="04A0"/>
        </w:tblPrEx>
        <w:trPr>
          <w:trHeight w:hRule="exact" w:val="255"/>
        </w:trPr>
        <w:tc>
          <w:tcPr>
            <w:tcW w:w="865" w:type="dxa"/>
            <w:tcBorders>
              <w:top w:val="single" w:sz="4" w:space="0" w:color="auto"/>
              <w:left w:val="single" w:sz="4" w:space="0" w:color="auto"/>
              <w:bottom w:val="single" w:sz="4" w:space="0" w:color="auto"/>
              <w:right w:val="single" w:sz="4" w:space="0" w:color="000000"/>
            </w:tcBorders>
            <w:textDirection w:val="lrTb"/>
            <w:vAlign w:val="top"/>
          </w:tcPr>
          <w:p w:rsidR="0094530F" w:rsidRPr="00246F6D" w:rsidP="003553EB">
            <w:pPr>
              <w:bidi w:val="0"/>
              <w:rPr>
                <w:rFonts w:ascii="Times New Roman" w:hAnsi="Times New Roman"/>
                <w:color w:val="000000"/>
                <w:sz w:val="14"/>
                <w:szCs w:val="14"/>
              </w:rPr>
            </w:pPr>
          </w:p>
        </w:tc>
        <w:tc>
          <w:tcPr>
            <w:tcW w:w="8547" w:type="dxa"/>
            <w:gridSpan w:val="8"/>
            <w:tcBorders>
              <w:top w:val="single" w:sz="4" w:space="0" w:color="auto"/>
              <w:left w:val="single" w:sz="4" w:space="0" w:color="auto"/>
              <w:bottom w:val="single" w:sz="4" w:space="0" w:color="auto"/>
              <w:right w:val="single" w:sz="4" w:space="0" w:color="auto"/>
            </w:tcBorders>
            <w:noWrap/>
            <w:textDirection w:val="lrTb"/>
            <w:vAlign w:val="center"/>
            <w:hideMark/>
          </w:tcPr>
          <w:p w:rsidR="0094530F" w:rsidRPr="00246F6D" w:rsidP="003553EB">
            <w:pPr>
              <w:bidi w:val="0"/>
              <w:rPr>
                <w:rFonts w:ascii="Times New Roman" w:hAnsi="Times New Roman"/>
                <w:color w:val="000000"/>
                <w:sz w:val="14"/>
                <w:szCs w:val="14"/>
              </w:rPr>
            </w:pPr>
            <w:r w:rsidRPr="00246F6D">
              <w:rPr>
                <w:rFonts w:ascii="Times New Roman" w:hAnsi="Times New Roman"/>
                <w:color w:val="000000"/>
                <w:sz w:val="14"/>
                <w:szCs w:val="14"/>
              </w:rPr>
              <w:t>v tom:</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single" w:sz="4" w:space="0" w:color="auto"/>
            </w:tcBorders>
            <w:noWrap/>
            <w:textDirection w:val="lrTb"/>
            <w:vAlign w:val="center"/>
            <w:hideMark/>
          </w:tcPr>
          <w:p w:rsidR="0094530F" w:rsidRPr="00246F6D" w:rsidP="0094530F">
            <w:pPr>
              <w:numPr>
                <w:numId w:val="31"/>
              </w:numPr>
              <w:bidi w:val="0"/>
              <w:rPr>
                <w:rFonts w:ascii="Times New Roman" w:hAnsi="Times New Roman"/>
                <w:color w:val="000000"/>
                <w:sz w:val="14"/>
                <w:szCs w:val="14"/>
              </w:rPr>
            </w:pPr>
            <w:r w:rsidRPr="00246F6D">
              <w:rPr>
                <w:rFonts w:ascii="Times New Roman" w:hAnsi="Times New Roman"/>
                <w:color w:val="000000"/>
                <w:sz w:val="14"/>
                <w:szCs w:val="14"/>
              </w:rPr>
              <w:t>daňové príjmy</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sz w:val="14"/>
                <w:szCs w:val="14"/>
              </w:rPr>
            </w:pPr>
            <w:r w:rsidRPr="00246F6D">
              <w:rPr>
                <w:rFonts w:ascii="Times New Roman" w:hAnsi="Times New Roman"/>
                <w:sz w:val="14"/>
                <w:szCs w:val="14"/>
              </w:rPr>
              <w:t>47</w:t>
            </w:r>
          </w:p>
        </w:tc>
        <w:tc>
          <w:tcPr>
            <w:tcW w:w="793" w:type="dxa"/>
            <w:tcBorders>
              <w:top w:val="nil"/>
              <w:left w:val="nil"/>
              <w:bottom w:val="single" w:sz="4" w:space="0" w:color="auto"/>
              <w:right w:val="single" w:sz="4" w:space="0" w:color="auto"/>
            </w:tcBorders>
            <w:shd w:val="clear" w:color="000000" w:fill="FFFFFF"/>
            <w:noWrap/>
            <w:textDirection w:val="lrTb"/>
            <w:vAlign w:val="center"/>
            <w:hideMark/>
          </w:tcPr>
          <w:p w:rsidR="0094530F" w:rsidRPr="00246F6D" w:rsidP="003553EB">
            <w:pPr>
              <w:bidi w:val="0"/>
              <w:jc w:val="right"/>
              <w:rPr>
                <w:rFonts w:ascii="Times New Roman" w:hAnsi="Times New Roman"/>
                <w:color w:val="000000"/>
                <w:sz w:val="14"/>
                <w:szCs w:val="14"/>
              </w:rPr>
            </w:pPr>
            <w:r>
              <w:rPr>
                <w:rFonts w:ascii="Times New Roman" w:hAnsi="Times New Roman"/>
                <w:color w:val="000000"/>
                <w:sz w:val="14"/>
                <w:szCs w:val="14"/>
              </w:rPr>
              <w:t>0</w:t>
            </w:r>
          </w:p>
        </w:tc>
        <w:tc>
          <w:tcPr>
            <w:tcW w:w="793" w:type="dxa"/>
            <w:tcBorders>
              <w:top w:val="nil"/>
              <w:left w:val="nil"/>
              <w:bottom w:val="single" w:sz="4" w:space="0" w:color="auto"/>
              <w:right w:val="single" w:sz="4" w:space="0" w:color="auto"/>
            </w:tcBorders>
            <w:shd w:val="clear" w:color="000000" w:fill="FFFFFF"/>
            <w:noWrap/>
            <w:textDirection w:val="lrTb"/>
            <w:vAlign w:val="center"/>
            <w:hideMark/>
          </w:tcPr>
          <w:p w:rsidR="0094530F" w:rsidRPr="00246F6D" w:rsidP="003553EB">
            <w:pPr>
              <w:bidi w:val="0"/>
              <w:jc w:val="right"/>
              <w:rPr>
                <w:rFonts w:ascii="Times New Roman" w:hAnsi="Times New Roman"/>
                <w:color w:val="000000"/>
                <w:sz w:val="14"/>
                <w:szCs w:val="14"/>
              </w:rPr>
            </w:pPr>
            <w:r>
              <w:rPr>
                <w:rFonts w:ascii="Times New Roman" w:hAnsi="Times New Roman"/>
                <w:color w:val="000000"/>
                <w:sz w:val="14"/>
                <w:szCs w:val="14"/>
              </w:rPr>
              <w:t>0</w:t>
            </w:r>
          </w:p>
        </w:tc>
        <w:tc>
          <w:tcPr>
            <w:tcW w:w="793" w:type="dxa"/>
            <w:tcBorders>
              <w:top w:val="nil"/>
              <w:left w:val="nil"/>
              <w:bottom w:val="single" w:sz="4" w:space="0" w:color="auto"/>
              <w:right w:val="single" w:sz="4" w:space="0" w:color="auto"/>
            </w:tcBorders>
            <w:shd w:val="clear" w:color="000000" w:fill="FFFFFF"/>
            <w:noWrap/>
            <w:textDirection w:val="lrTb"/>
            <w:vAlign w:val="center"/>
            <w:hideMark/>
          </w:tcPr>
          <w:p w:rsidR="0094530F" w:rsidRPr="00246F6D" w:rsidP="003553EB">
            <w:pPr>
              <w:bidi w:val="0"/>
              <w:jc w:val="right"/>
              <w:rPr>
                <w:rFonts w:ascii="Times New Roman" w:hAnsi="Times New Roman"/>
                <w:color w:val="000000"/>
                <w:sz w:val="14"/>
                <w:szCs w:val="14"/>
              </w:rPr>
            </w:pPr>
            <w:r>
              <w:rPr>
                <w:rFonts w:ascii="Times New Roman" w:hAnsi="Times New Roman"/>
                <w:color w:val="000000"/>
                <w:sz w:val="14"/>
                <w:szCs w:val="14"/>
              </w:rPr>
              <w:t>0</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single" w:sz="4" w:space="0" w:color="auto"/>
            </w:tcBorders>
            <w:noWrap/>
            <w:textDirection w:val="lrTb"/>
            <w:vAlign w:val="center"/>
            <w:hideMark/>
          </w:tcPr>
          <w:p w:rsidR="0094530F" w:rsidRPr="00246F6D" w:rsidP="0094530F">
            <w:pPr>
              <w:numPr>
                <w:numId w:val="31"/>
              </w:numPr>
              <w:bidi w:val="0"/>
              <w:rPr>
                <w:rFonts w:ascii="Times New Roman" w:hAnsi="Times New Roman"/>
                <w:color w:val="000000"/>
                <w:sz w:val="14"/>
                <w:szCs w:val="14"/>
              </w:rPr>
            </w:pPr>
            <w:r w:rsidRPr="00246F6D">
              <w:rPr>
                <w:rFonts w:ascii="Times New Roman" w:hAnsi="Times New Roman"/>
                <w:color w:val="000000"/>
                <w:sz w:val="14"/>
                <w:szCs w:val="14"/>
              </w:rPr>
              <w:t>nedaňové príjmy</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1 271 304</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Pr>
                <w:rFonts w:ascii="Times New Roman" w:hAnsi="Times New Roman"/>
                <w:color w:val="000000"/>
                <w:sz w:val="14"/>
                <w:szCs w:val="14"/>
              </w:rPr>
              <w:t>1</w:t>
            </w:r>
            <w:r w:rsidR="006244B6">
              <w:rPr>
                <w:rFonts w:ascii="Times New Roman" w:hAnsi="Times New Roman"/>
                <w:color w:val="000000"/>
                <w:sz w:val="14"/>
                <w:szCs w:val="14"/>
              </w:rPr>
              <w:t> </w:t>
            </w:r>
            <w:r>
              <w:rPr>
                <w:rFonts w:ascii="Times New Roman" w:hAnsi="Times New Roman"/>
                <w:color w:val="000000"/>
                <w:sz w:val="14"/>
                <w:szCs w:val="14"/>
              </w:rPr>
              <w:t>352</w:t>
            </w:r>
            <w:r w:rsidR="006244B6">
              <w:rPr>
                <w:rFonts w:ascii="Times New Roman" w:hAnsi="Times New Roman"/>
                <w:color w:val="000000"/>
                <w:sz w:val="14"/>
                <w:szCs w:val="14"/>
              </w:rPr>
              <w:t xml:space="preserve"> </w:t>
            </w:r>
            <w:r>
              <w:rPr>
                <w:rFonts w:ascii="Times New Roman" w:hAnsi="Times New Roman"/>
                <w:color w:val="000000"/>
                <w:sz w:val="14"/>
                <w:szCs w:val="14"/>
              </w:rPr>
              <w:t>468</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 xml:space="preserve">1 375 </w:t>
            </w:r>
            <w:r>
              <w:rPr>
                <w:rFonts w:ascii="Times New Roman" w:hAnsi="Times New Roman"/>
                <w:color w:val="000000"/>
                <w:sz w:val="14"/>
                <w:szCs w:val="14"/>
              </w:rPr>
              <w:t>109</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 xml:space="preserve">1 394 </w:t>
            </w:r>
            <w:r>
              <w:rPr>
                <w:rFonts w:ascii="Times New Roman" w:hAnsi="Times New Roman"/>
                <w:color w:val="000000"/>
                <w:sz w:val="14"/>
                <w:szCs w:val="14"/>
              </w:rPr>
              <w:t>314</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single" w:sz="4" w:space="0" w:color="auto"/>
            </w:tcBorders>
            <w:textDirection w:val="lrTb"/>
            <w:vAlign w:val="center"/>
            <w:hideMark/>
          </w:tcPr>
          <w:p w:rsidR="0094530F" w:rsidRPr="00246F6D" w:rsidP="0094530F">
            <w:pPr>
              <w:numPr>
                <w:numId w:val="31"/>
              </w:numPr>
              <w:bidi w:val="0"/>
              <w:rPr>
                <w:rFonts w:ascii="Times New Roman" w:hAnsi="Times New Roman"/>
                <w:color w:val="000000"/>
                <w:sz w:val="14"/>
                <w:szCs w:val="14"/>
              </w:rPr>
            </w:pPr>
            <w:r w:rsidRPr="00246F6D">
              <w:rPr>
                <w:rFonts w:ascii="Times New Roman" w:hAnsi="Times New Roman"/>
                <w:color w:val="000000"/>
                <w:sz w:val="14"/>
                <w:szCs w:val="14"/>
              </w:rPr>
              <w:t>granty a transfery</w:t>
            </w:r>
          </w:p>
        </w:tc>
        <w:tc>
          <w:tcPr>
            <w:tcW w:w="793" w:type="dxa"/>
            <w:tcBorders>
              <w:top w:val="nil"/>
              <w:left w:val="nil"/>
              <w:bottom w:val="single" w:sz="4" w:space="0" w:color="auto"/>
              <w:right w:val="single" w:sz="4" w:space="0" w:color="auto"/>
            </w:tcBorders>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20 118</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7 641</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8 138</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8 045</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single" w:sz="4" w:space="0" w:color="auto"/>
            </w:tcBorders>
            <w:noWrap/>
            <w:textDirection w:val="lrTb"/>
            <w:vAlign w:val="center"/>
            <w:hideMark/>
          </w:tcPr>
          <w:p w:rsidR="0094530F" w:rsidRPr="00246F6D" w:rsidP="0094530F">
            <w:pPr>
              <w:numPr>
                <w:numId w:val="31"/>
              </w:numPr>
              <w:bidi w:val="0"/>
              <w:rPr>
                <w:rFonts w:ascii="Times New Roman" w:hAnsi="Times New Roman"/>
                <w:color w:val="000000"/>
                <w:sz w:val="14"/>
                <w:szCs w:val="14"/>
              </w:rPr>
            </w:pPr>
            <w:r w:rsidRPr="00246F6D">
              <w:rPr>
                <w:rFonts w:ascii="Times New Roman" w:hAnsi="Times New Roman"/>
                <w:color w:val="000000"/>
                <w:sz w:val="14"/>
                <w:szCs w:val="14"/>
              </w:rPr>
              <w:t>príjmy z transakcií s fin. akt. a fin. pas, v tom:</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52 757</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70 824</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72 293</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65 167</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ind w:left="720"/>
              <w:rPr>
                <w:rFonts w:ascii="Times New Roman" w:hAnsi="Times New Roman"/>
                <w:color w:val="000000"/>
                <w:sz w:val="14"/>
                <w:szCs w:val="14"/>
              </w:rPr>
            </w:pPr>
            <w:r w:rsidRPr="00246F6D">
              <w:rPr>
                <w:rFonts w:ascii="Times New Roman" w:hAnsi="Times New Roman"/>
                <w:color w:val="000000"/>
                <w:sz w:val="14"/>
                <w:szCs w:val="14"/>
              </w:rPr>
              <w:t>zostatok prostriedkov z predchádzajúcich rokov</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shd w:val="clear" w:color="000000" w:fill="FFFFFF"/>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shd w:val="clear" w:color="000000" w:fill="FFFFFF"/>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52 746</w:t>
            </w:r>
          </w:p>
        </w:tc>
        <w:tc>
          <w:tcPr>
            <w:tcW w:w="793" w:type="dxa"/>
            <w:tcBorders>
              <w:top w:val="nil"/>
              <w:left w:val="nil"/>
              <w:bottom w:val="single" w:sz="4" w:space="0" w:color="auto"/>
              <w:right w:val="single" w:sz="4" w:space="0" w:color="auto"/>
            </w:tcBorders>
            <w:shd w:val="clear" w:color="000000" w:fill="FFFFFF"/>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70 824</w:t>
            </w:r>
          </w:p>
        </w:tc>
        <w:tc>
          <w:tcPr>
            <w:tcW w:w="793" w:type="dxa"/>
            <w:tcBorders>
              <w:top w:val="nil"/>
              <w:left w:val="nil"/>
              <w:bottom w:val="single" w:sz="4" w:space="0" w:color="auto"/>
              <w:right w:val="single" w:sz="4" w:space="0" w:color="auto"/>
            </w:tcBorders>
            <w:shd w:val="clear" w:color="000000" w:fill="FFFFFF"/>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72 293</w:t>
            </w:r>
          </w:p>
        </w:tc>
        <w:tc>
          <w:tcPr>
            <w:tcW w:w="793" w:type="dxa"/>
            <w:tcBorders>
              <w:top w:val="nil"/>
              <w:left w:val="nil"/>
              <w:bottom w:val="single" w:sz="4" w:space="0" w:color="auto"/>
              <w:right w:val="single" w:sz="4" w:space="0" w:color="auto"/>
            </w:tcBorders>
            <w:shd w:val="clear" w:color="000000" w:fill="FFFFFF"/>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65 167</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single" w:sz="4" w:space="0" w:color="auto"/>
            </w:tcBorders>
            <w:noWrap/>
            <w:textDirection w:val="lrTb"/>
            <w:vAlign w:val="center"/>
            <w:hideMark/>
          </w:tcPr>
          <w:p w:rsidR="0094530F" w:rsidRPr="00246F6D" w:rsidP="0094530F">
            <w:pPr>
              <w:numPr>
                <w:numId w:val="31"/>
              </w:numPr>
              <w:bidi w:val="0"/>
              <w:rPr>
                <w:rFonts w:ascii="Times New Roman" w:hAnsi="Times New Roman"/>
                <w:color w:val="000000"/>
                <w:sz w:val="14"/>
                <w:szCs w:val="14"/>
              </w:rPr>
            </w:pPr>
            <w:r w:rsidRPr="00246F6D">
              <w:rPr>
                <w:rFonts w:ascii="Times New Roman" w:hAnsi="Times New Roman"/>
                <w:color w:val="000000"/>
                <w:sz w:val="14"/>
                <w:szCs w:val="14"/>
              </w:rPr>
              <w:t>prijaté úvery (FO)</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shd w:val="clear" w:color="000000" w:fill="FFFFFF"/>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shd w:val="clear" w:color="000000" w:fill="FFFFFF"/>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shd w:val="clear" w:color="000000" w:fill="FFFFFF"/>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150</w:t>
            </w:r>
          </w:p>
        </w:tc>
        <w:tc>
          <w:tcPr>
            <w:tcW w:w="793" w:type="dxa"/>
            <w:tcBorders>
              <w:top w:val="nil"/>
              <w:left w:val="nil"/>
              <w:bottom w:val="single" w:sz="4" w:space="0" w:color="auto"/>
              <w:right w:val="single" w:sz="4" w:space="0" w:color="auto"/>
            </w:tcBorders>
            <w:shd w:val="clear" w:color="000000" w:fill="FFFFFF"/>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11 750</w:t>
            </w:r>
          </w:p>
        </w:tc>
        <w:tc>
          <w:tcPr>
            <w:tcW w:w="793" w:type="dxa"/>
            <w:tcBorders>
              <w:top w:val="nil"/>
              <w:left w:val="nil"/>
              <w:bottom w:val="single" w:sz="4" w:space="0" w:color="auto"/>
              <w:right w:val="single" w:sz="4" w:space="0" w:color="auto"/>
            </w:tcBorders>
            <w:shd w:val="clear" w:color="000000" w:fill="FFFFFF"/>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2 550</w:t>
            </w:r>
          </w:p>
        </w:tc>
        <w:tc>
          <w:tcPr>
            <w:tcW w:w="793" w:type="dxa"/>
            <w:tcBorders>
              <w:top w:val="nil"/>
              <w:left w:val="nil"/>
              <w:bottom w:val="single" w:sz="4" w:space="0" w:color="auto"/>
              <w:right w:val="single" w:sz="4" w:space="0" w:color="auto"/>
            </w:tcBorders>
            <w:shd w:val="clear" w:color="000000" w:fill="FFFFFF"/>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150</w:t>
            </w:r>
          </w:p>
        </w:tc>
      </w:tr>
      <w:tr>
        <w:tblPrEx>
          <w:tblW w:w="9412" w:type="dxa"/>
          <w:tblLayout w:type="fixed"/>
          <w:tblCellMar>
            <w:left w:w="70" w:type="dxa"/>
            <w:right w:w="70" w:type="dxa"/>
          </w:tblCellMar>
          <w:tblLook w:val="04A0"/>
        </w:tblPrEx>
        <w:trPr>
          <w:trHeight w:hRule="exact" w:val="255"/>
        </w:trPr>
        <w:tc>
          <w:tcPr>
            <w:tcW w:w="3861" w:type="dxa"/>
            <w:gridSpan w:val="2"/>
            <w:tcBorders>
              <w:top w:val="single" w:sz="4" w:space="0" w:color="auto"/>
              <w:left w:val="single" w:sz="4" w:space="0" w:color="auto"/>
              <w:bottom w:val="single" w:sz="4" w:space="0" w:color="auto"/>
              <w:right w:val="single" w:sz="4" w:space="0" w:color="auto"/>
            </w:tcBorders>
            <w:shd w:val="pct25" w:color="auto" w:fill="auto"/>
            <w:noWrap/>
            <w:textDirection w:val="lrTb"/>
            <w:vAlign w:val="center"/>
            <w:hideMark/>
          </w:tcPr>
          <w:p w:rsidR="0094530F" w:rsidRPr="00246F6D" w:rsidP="003553EB">
            <w:pPr>
              <w:bidi w:val="0"/>
              <w:rPr>
                <w:rFonts w:ascii="Times New Roman" w:hAnsi="Times New Roman"/>
                <w:b/>
                <w:bCs/>
                <w:color w:val="000000"/>
                <w:sz w:val="14"/>
                <w:szCs w:val="14"/>
              </w:rPr>
            </w:pPr>
            <w:r w:rsidRPr="00246F6D">
              <w:rPr>
                <w:rFonts w:ascii="Times New Roman" w:hAnsi="Times New Roman"/>
                <w:b/>
                <w:bCs/>
                <w:color w:val="000000"/>
                <w:sz w:val="14"/>
                <w:szCs w:val="14"/>
              </w:rPr>
              <w:t>Výdavky zdravotníckych zariadení spolu</w:t>
            </w:r>
          </w:p>
        </w:tc>
        <w:tc>
          <w:tcPr>
            <w:tcW w:w="793" w:type="dxa"/>
            <w:tcBorders>
              <w:top w:val="single" w:sz="4" w:space="0" w:color="auto"/>
              <w:left w:val="single" w:sz="4" w:space="0" w:color="auto"/>
              <w:bottom w:val="single" w:sz="4" w:space="0" w:color="auto"/>
              <w:right w:val="single" w:sz="4" w:space="0" w:color="auto"/>
            </w:tcBorders>
            <w:shd w:val="pct25" w:color="auto" w:fill="auto"/>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single" w:sz="4" w:space="0" w:color="auto"/>
              <w:left w:val="single" w:sz="4" w:space="0" w:color="auto"/>
              <w:bottom w:val="single" w:sz="4" w:space="0" w:color="auto"/>
              <w:right w:val="single" w:sz="4" w:space="0" w:color="auto"/>
            </w:tcBorders>
            <w:shd w:val="pct25" w:color="auto" w:fill="auto"/>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single" w:sz="4" w:space="0" w:color="auto"/>
              <w:left w:val="single" w:sz="4" w:space="0" w:color="auto"/>
              <w:bottom w:val="single" w:sz="4" w:space="0" w:color="auto"/>
              <w:right w:val="single" w:sz="4" w:space="0" w:color="auto"/>
            </w:tcBorders>
            <w:shd w:val="pct25" w:color="auto" w:fill="auto"/>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single" w:sz="4" w:space="0" w:color="auto"/>
              <w:left w:val="single" w:sz="4" w:space="0" w:color="auto"/>
              <w:bottom w:val="single" w:sz="4" w:space="0" w:color="auto"/>
              <w:right w:val="single" w:sz="4" w:space="0" w:color="auto"/>
            </w:tcBorders>
            <w:shd w:val="pct25" w:color="auto" w:fill="auto"/>
            <w:noWrap/>
            <w:textDirection w:val="lrTb"/>
            <w:vAlign w:val="center"/>
            <w:hideMark/>
          </w:tcPr>
          <w:p w:rsidR="0094530F" w:rsidRPr="00246F6D" w:rsidP="003553EB">
            <w:pPr>
              <w:bidi w:val="0"/>
              <w:jc w:val="right"/>
              <w:rPr>
                <w:rFonts w:ascii="Times New Roman" w:hAnsi="Times New Roman"/>
                <w:b/>
                <w:bCs/>
                <w:color w:val="000000"/>
                <w:sz w:val="14"/>
                <w:szCs w:val="14"/>
              </w:rPr>
            </w:pPr>
            <w:r w:rsidRPr="00246F6D">
              <w:rPr>
                <w:rFonts w:ascii="Times New Roman" w:hAnsi="Times New Roman"/>
                <w:b/>
                <w:bCs/>
                <w:color w:val="000000"/>
                <w:sz w:val="14"/>
                <w:szCs w:val="14"/>
              </w:rPr>
              <w:t>1 273 551</w:t>
            </w:r>
          </w:p>
        </w:tc>
        <w:tc>
          <w:tcPr>
            <w:tcW w:w="793" w:type="dxa"/>
            <w:tcBorders>
              <w:top w:val="single" w:sz="4" w:space="0" w:color="auto"/>
              <w:left w:val="single" w:sz="4" w:space="0" w:color="auto"/>
              <w:bottom w:val="single" w:sz="4" w:space="0" w:color="auto"/>
              <w:right w:val="single" w:sz="4" w:space="0" w:color="auto"/>
            </w:tcBorders>
            <w:shd w:val="pct25" w:color="auto" w:fill="auto"/>
            <w:noWrap/>
            <w:textDirection w:val="lrTb"/>
            <w:vAlign w:val="center"/>
            <w:hideMark/>
          </w:tcPr>
          <w:p w:rsidR="0094530F" w:rsidRPr="00246F6D" w:rsidP="003553EB">
            <w:pPr>
              <w:bidi w:val="0"/>
              <w:jc w:val="right"/>
              <w:rPr>
                <w:rFonts w:ascii="Times New Roman" w:hAnsi="Times New Roman"/>
                <w:b/>
                <w:bCs/>
                <w:color w:val="000000"/>
                <w:sz w:val="14"/>
                <w:szCs w:val="14"/>
              </w:rPr>
            </w:pPr>
            <w:r w:rsidRPr="00246F6D">
              <w:rPr>
                <w:rFonts w:ascii="Times New Roman" w:hAnsi="Times New Roman"/>
                <w:b/>
                <w:bCs/>
                <w:color w:val="000000"/>
                <w:sz w:val="14"/>
                <w:szCs w:val="14"/>
              </w:rPr>
              <w:t>1 370 390</w:t>
            </w:r>
          </w:p>
        </w:tc>
        <w:tc>
          <w:tcPr>
            <w:tcW w:w="793" w:type="dxa"/>
            <w:tcBorders>
              <w:top w:val="single" w:sz="4" w:space="0" w:color="auto"/>
              <w:left w:val="single" w:sz="4" w:space="0" w:color="auto"/>
              <w:bottom w:val="single" w:sz="4" w:space="0" w:color="auto"/>
              <w:right w:val="single" w:sz="4" w:space="0" w:color="auto"/>
            </w:tcBorders>
            <w:shd w:val="pct25" w:color="auto" w:fill="auto"/>
            <w:noWrap/>
            <w:textDirection w:val="lrTb"/>
            <w:vAlign w:val="center"/>
            <w:hideMark/>
          </w:tcPr>
          <w:p w:rsidR="0094530F" w:rsidRPr="00246F6D" w:rsidP="003553EB">
            <w:pPr>
              <w:bidi w:val="0"/>
              <w:jc w:val="right"/>
              <w:rPr>
                <w:rFonts w:ascii="Times New Roman" w:hAnsi="Times New Roman"/>
                <w:b/>
                <w:bCs/>
                <w:color w:val="000000"/>
                <w:sz w:val="14"/>
                <w:szCs w:val="14"/>
              </w:rPr>
            </w:pPr>
            <w:r w:rsidRPr="00246F6D">
              <w:rPr>
                <w:rFonts w:ascii="Times New Roman" w:hAnsi="Times New Roman"/>
                <w:b/>
                <w:bCs/>
                <w:color w:val="000000"/>
                <w:sz w:val="14"/>
                <w:szCs w:val="14"/>
              </w:rPr>
              <w:t>1 392 922</w:t>
            </w:r>
          </w:p>
        </w:tc>
        <w:tc>
          <w:tcPr>
            <w:tcW w:w="793" w:type="dxa"/>
            <w:tcBorders>
              <w:top w:val="single" w:sz="4" w:space="0" w:color="auto"/>
              <w:left w:val="single" w:sz="4" w:space="0" w:color="auto"/>
              <w:bottom w:val="single" w:sz="4" w:space="0" w:color="auto"/>
              <w:right w:val="single" w:sz="4" w:space="0" w:color="auto"/>
            </w:tcBorders>
            <w:shd w:val="pct25" w:color="auto" w:fill="auto"/>
            <w:noWrap/>
            <w:textDirection w:val="lrTb"/>
            <w:vAlign w:val="center"/>
            <w:hideMark/>
          </w:tcPr>
          <w:p w:rsidR="0094530F" w:rsidRPr="00246F6D" w:rsidP="003553EB">
            <w:pPr>
              <w:bidi w:val="0"/>
              <w:jc w:val="right"/>
              <w:rPr>
                <w:rFonts w:ascii="Times New Roman" w:hAnsi="Times New Roman"/>
                <w:b/>
                <w:bCs/>
                <w:color w:val="000000"/>
                <w:sz w:val="14"/>
                <w:szCs w:val="14"/>
              </w:rPr>
            </w:pPr>
            <w:r w:rsidRPr="00246F6D">
              <w:rPr>
                <w:rFonts w:ascii="Times New Roman" w:hAnsi="Times New Roman"/>
                <w:b/>
                <w:bCs/>
                <w:color w:val="000000"/>
                <w:sz w:val="14"/>
                <w:szCs w:val="14"/>
              </w:rPr>
              <w:t>1 400 774</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single" w:sz="4" w:space="0" w:color="auto"/>
            </w:tcBorders>
            <w:noWrap/>
            <w:textDirection w:val="lrTb"/>
            <w:vAlign w:val="center"/>
            <w:hideMark/>
          </w:tcPr>
          <w:p w:rsidR="0094530F" w:rsidRPr="00246F6D" w:rsidP="0094530F">
            <w:pPr>
              <w:numPr>
                <w:numId w:val="31"/>
              </w:numPr>
              <w:bidi w:val="0"/>
              <w:rPr>
                <w:rFonts w:ascii="Times New Roman" w:hAnsi="Times New Roman"/>
                <w:bCs/>
                <w:color w:val="000000"/>
                <w:sz w:val="14"/>
                <w:szCs w:val="14"/>
              </w:rPr>
            </w:pPr>
            <w:r w:rsidRPr="00246F6D">
              <w:rPr>
                <w:rFonts w:ascii="Times New Roman" w:hAnsi="Times New Roman"/>
                <w:bCs/>
                <w:color w:val="000000"/>
                <w:sz w:val="14"/>
                <w:szCs w:val="14"/>
              </w:rPr>
              <w:t>bežné výdavky, v tom:</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6244B6" w:rsidP="003553EB">
            <w:pPr>
              <w:bidi w:val="0"/>
              <w:jc w:val="right"/>
              <w:rPr>
                <w:rFonts w:ascii="Times New Roman" w:hAnsi="Times New Roman"/>
                <w:bCs/>
                <w:color w:val="000000"/>
                <w:sz w:val="14"/>
                <w:szCs w:val="14"/>
              </w:rPr>
            </w:pPr>
            <w:r w:rsidRPr="006244B6">
              <w:rPr>
                <w:rFonts w:ascii="Times New Roman" w:hAnsi="Times New Roman"/>
                <w:bCs/>
                <w:color w:val="000000"/>
                <w:sz w:val="14"/>
                <w:szCs w:val="14"/>
              </w:rPr>
              <w:t>1 235 565</w:t>
            </w:r>
          </w:p>
        </w:tc>
        <w:tc>
          <w:tcPr>
            <w:tcW w:w="793" w:type="dxa"/>
            <w:tcBorders>
              <w:top w:val="nil"/>
              <w:left w:val="nil"/>
              <w:bottom w:val="single" w:sz="4" w:space="0" w:color="auto"/>
              <w:right w:val="single" w:sz="4" w:space="0" w:color="auto"/>
            </w:tcBorders>
            <w:noWrap/>
            <w:textDirection w:val="lrTb"/>
            <w:vAlign w:val="center"/>
            <w:hideMark/>
          </w:tcPr>
          <w:p w:rsidR="0094530F" w:rsidRPr="006244B6" w:rsidP="003553EB">
            <w:pPr>
              <w:bidi w:val="0"/>
              <w:jc w:val="right"/>
              <w:rPr>
                <w:rFonts w:ascii="Times New Roman" w:hAnsi="Times New Roman"/>
                <w:bCs/>
                <w:color w:val="000000"/>
                <w:sz w:val="14"/>
                <w:szCs w:val="14"/>
              </w:rPr>
            </w:pPr>
            <w:r w:rsidRPr="006244B6">
              <w:rPr>
                <w:rFonts w:ascii="Times New Roman" w:hAnsi="Times New Roman"/>
                <w:bCs/>
                <w:color w:val="000000"/>
                <w:sz w:val="14"/>
                <w:szCs w:val="14"/>
              </w:rPr>
              <w:t>1 329 398</w:t>
            </w:r>
          </w:p>
        </w:tc>
        <w:tc>
          <w:tcPr>
            <w:tcW w:w="793" w:type="dxa"/>
            <w:tcBorders>
              <w:top w:val="nil"/>
              <w:left w:val="nil"/>
              <w:bottom w:val="single" w:sz="4" w:space="0" w:color="auto"/>
              <w:right w:val="single" w:sz="4" w:space="0" w:color="auto"/>
            </w:tcBorders>
            <w:noWrap/>
            <w:textDirection w:val="lrTb"/>
            <w:vAlign w:val="center"/>
            <w:hideMark/>
          </w:tcPr>
          <w:p w:rsidR="0094530F" w:rsidRPr="006244B6" w:rsidP="003553EB">
            <w:pPr>
              <w:bidi w:val="0"/>
              <w:jc w:val="right"/>
              <w:rPr>
                <w:rFonts w:ascii="Times New Roman" w:hAnsi="Times New Roman"/>
                <w:bCs/>
                <w:color w:val="000000"/>
                <w:sz w:val="14"/>
                <w:szCs w:val="14"/>
              </w:rPr>
            </w:pPr>
            <w:r w:rsidRPr="006244B6">
              <w:rPr>
                <w:rFonts w:ascii="Times New Roman" w:hAnsi="Times New Roman"/>
                <w:bCs/>
                <w:color w:val="000000"/>
                <w:sz w:val="14"/>
                <w:szCs w:val="14"/>
              </w:rPr>
              <w:t>1 351 516</w:t>
            </w:r>
          </w:p>
        </w:tc>
        <w:tc>
          <w:tcPr>
            <w:tcW w:w="793" w:type="dxa"/>
            <w:tcBorders>
              <w:top w:val="nil"/>
              <w:left w:val="nil"/>
              <w:bottom w:val="single" w:sz="4" w:space="0" w:color="auto"/>
              <w:right w:val="single" w:sz="4" w:space="0" w:color="auto"/>
            </w:tcBorders>
            <w:noWrap/>
            <w:textDirection w:val="lrTb"/>
            <w:vAlign w:val="center"/>
            <w:hideMark/>
          </w:tcPr>
          <w:p w:rsidR="0094530F" w:rsidRPr="006244B6" w:rsidP="003553EB">
            <w:pPr>
              <w:bidi w:val="0"/>
              <w:jc w:val="right"/>
              <w:rPr>
                <w:rFonts w:ascii="Times New Roman" w:hAnsi="Times New Roman"/>
                <w:bCs/>
                <w:color w:val="000000"/>
                <w:sz w:val="14"/>
                <w:szCs w:val="14"/>
              </w:rPr>
            </w:pPr>
            <w:r w:rsidRPr="006244B6">
              <w:rPr>
                <w:rFonts w:ascii="Times New Roman" w:hAnsi="Times New Roman"/>
                <w:bCs/>
                <w:color w:val="000000"/>
                <w:sz w:val="14"/>
                <w:szCs w:val="14"/>
              </w:rPr>
              <w:t>1 372 268</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rPr>
                <w:rFonts w:ascii="Times New Roman" w:hAnsi="Times New Roman"/>
                <w:color w:val="000000"/>
                <w:sz w:val="14"/>
                <w:szCs w:val="14"/>
              </w:rPr>
            </w:pPr>
            <w:r>
              <w:rPr>
                <w:rFonts w:ascii="Times New Roman" w:hAnsi="Times New Roman"/>
                <w:color w:val="000000"/>
                <w:sz w:val="14"/>
                <w:szCs w:val="14"/>
              </w:rPr>
              <w:t xml:space="preserve">                    </w:t>
            </w:r>
            <w:r w:rsidRPr="00246F6D">
              <w:rPr>
                <w:rFonts w:ascii="Times New Roman" w:hAnsi="Times New Roman"/>
                <w:color w:val="000000"/>
                <w:sz w:val="14"/>
                <w:szCs w:val="14"/>
              </w:rPr>
              <w:t>mzdy, platy</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497 449</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558 589</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569 273</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580 402</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rPr>
                <w:rFonts w:ascii="Times New Roman" w:hAnsi="Times New Roman"/>
                <w:color w:val="000000"/>
                <w:sz w:val="14"/>
                <w:szCs w:val="14"/>
              </w:rPr>
            </w:pPr>
            <w:r>
              <w:rPr>
                <w:rFonts w:ascii="Times New Roman" w:hAnsi="Times New Roman"/>
                <w:color w:val="000000"/>
                <w:sz w:val="14"/>
                <w:szCs w:val="14"/>
              </w:rPr>
              <w:t xml:space="preserve">                    p</w:t>
            </w:r>
            <w:r w:rsidRPr="00246F6D">
              <w:rPr>
                <w:rFonts w:ascii="Times New Roman" w:hAnsi="Times New Roman"/>
                <w:color w:val="000000"/>
                <w:sz w:val="14"/>
                <w:szCs w:val="14"/>
              </w:rPr>
              <w:t>oistné a príspevok do poisťovní</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186 075</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214 592</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218 775</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223 129</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rPr>
                <w:rFonts w:ascii="Times New Roman" w:hAnsi="Times New Roman"/>
                <w:color w:val="000000"/>
                <w:sz w:val="14"/>
                <w:szCs w:val="14"/>
              </w:rPr>
            </w:pPr>
            <w:r>
              <w:rPr>
                <w:rFonts w:ascii="Times New Roman" w:hAnsi="Times New Roman"/>
                <w:color w:val="000000"/>
                <w:sz w:val="14"/>
                <w:szCs w:val="14"/>
              </w:rPr>
              <w:t xml:space="preserve">                    t</w:t>
            </w:r>
            <w:r w:rsidRPr="00246F6D">
              <w:rPr>
                <w:rFonts w:ascii="Times New Roman" w:hAnsi="Times New Roman"/>
                <w:color w:val="000000"/>
                <w:sz w:val="14"/>
                <w:szCs w:val="14"/>
              </w:rPr>
              <w:t>ovary a služby</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547 097</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551 532</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558 887</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564 052</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rPr>
                <w:rFonts w:ascii="Times New Roman" w:hAnsi="Times New Roman"/>
                <w:color w:val="000000"/>
                <w:sz w:val="14"/>
                <w:szCs w:val="14"/>
              </w:rPr>
            </w:pPr>
            <w:r>
              <w:rPr>
                <w:rFonts w:ascii="Times New Roman" w:hAnsi="Times New Roman"/>
                <w:color w:val="000000"/>
                <w:sz w:val="14"/>
                <w:szCs w:val="14"/>
              </w:rPr>
              <w:t xml:space="preserve">                    b</w:t>
            </w:r>
            <w:r w:rsidRPr="00246F6D">
              <w:rPr>
                <w:rFonts w:ascii="Times New Roman" w:hAnsi="Times New Roman"/>
                <w:color w:val="000000"/>
                <w:sz w:val="14"/>
                <w:szCs w:val="14"/>
              </w:rPr>
              <w:t>ežné transfery</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3 831</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3 631</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3 680</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3 813</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rPr>
                <w:rFonts w:ascii="Times New Roman" w:hAnsi="Times New Roman"/>
                <w:color w:val="000000"/>
                <w:sz w:val="14"/>
                <w:szCs w:val="14"/>
              </w:rPr>
            </w:pPr>
            <w:r>
              <w:rPr>
                <w:rFonts w:ascii="Times New Roman" w:hAnsi="Times New Roman"/>
                <w:color w:val="000000"/>
                <w:sz w:val="14"/>
                <w:szCs w:val="14"/>
              </w:rPr>
              <w:t xml:space="preserve">                    s</w:t>
            </w:r>
            <w:r w:rsidRPr="00246F6D">
              <w:rPr>
                <w:rFonts w:ascii="Times New Roman" w:hAnsi="Times New Roman"/>
                <w:color w:val="000000"/>
                <w:sz w:val="14"/>
                <w:szCs w:val="14"/>
              </w:rPr>
              <w:t>plácanie úrokov a ostatné platby s úvermi</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1 114</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1 054</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901</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872</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single" w:sz="4" w:space="0" w:color="auto"/>
            </w:tcBorders>
            <w:noWrap/>
            <w:textDirection w:val="lrTb"/>
            <w:vAlign w:val="center"/>
            <w:hideMark/>
          </w:tcPr>
          <w:p w:rsidR="0094530F" w:rsidRPr="00246F6D" w:rsidP="0094530F">
            <w:pPr>
              <w:numPr>
                <w:numId w:val="31"/>
              </w:numPr>
              <w:bidi w:val="0"/>
              <w:rPr>
                <w:rFonts w:ascii="Times New Roman" w:hAnsi="Times New Roman"/>
                <w:bCs/>
                <w:color w:val="000000"/>
                <w:sz w:val="14"/>
                <w:szCs w:val="14"/>
              </w:rPr>
            </w:pPr>
            <w:r>
              <w:rPr>
                <w:rFonts w:ascii="Times New Roman" w:hAnsi="Times New Roman"/>
                <w:bCs/>
                <w:color w:val="000000"/>
                <w:sz w:val="14"/>
                <w:szCs w:val="14"/>
              </w:rPr>
              <w:t>k</w:t>
            </w:r>
            <w:r w:rsidRPr="00246F6D">
              <w:rPr>
                <w:rFonts w:ascii="Times New Roman" w:hAnsi="Times New Roman"/>
                <w:bCs/>
                <w:color w:val="000000"/>
                <w:sz w:val="14"/>
                <w:szCs w:val="14"/>
              </w:rPr>
              <w:t>apitálové výdavky, v tom:</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6244B6" w:rsidP="003553EB">
            <w:pPr>
              <w:bidi w:val="0"/>
              <w:jc w:val="right"/>
              <w:rPr>
                <w:rFonts w:ascii="Times New Roman" w:hAnsi="Times New Roman"/>
                <w:bCs/>
                <w:color w:val="000000"/>
                <w:sz w:val="14"/>
                <w:szCs w:val="14"/>
              </w:rPr>
            </w:pPr>
            <w:r w:rsidRPr="006244B6">
              <w:rPr>
                <w:rFonts w:ascii="Times New Roman" w:hAnsi="Times New Roman"/>
                <w:bCs/>
                <w:color w:val="000000"/>
                <w:sz w:val="14"/>
                <w:szCs w:val="14"/>
              </w:rPr>
              <w:t>35 372</w:t>
            </w:r>
          </w:p>
        </w:tc>
        <w:tc>
          <w:tcPr>
            <w:tcW w:w="793" w:type="dxa"/>
            <w:tcBorders>
              <w:top w:val="nil"/>
              <w:left w:val="nil"/>
              <w:bottom w:val="single" w:sz="4" w:space="0" w:color="auto"/>
              <w:right w:val="single" w:sz="4" w:space="0" w:color="auto"/>
            </w:tcBorders>
            <w:noWrap/>
            <w:textDirection w:val="lrTb"/>
            <w:vAlign w:val="center"/>
            <w:hideMark/>
          </w:tcPr>
          <w:p w:rsidR="0094530F" w:rsidRPr="006244B6" w:rsidP="003553EB">
            <w:pPr>
              <w:bidi w:val="0"/>
              <w:jc w:val="right"/>
              <w:rPr>
                <w:rFonts w:ascii="Times New Roman" w:hAnsi="Times New Roman"/>
                <w:bCs/>
                <w:color w:val="000000"/>
                <w:sz w:val="14"/>
                <w:szCs w:val="14"/>
              </w:rPr>
            </w:pPr>
            <w:r w:rsidRPr="006244B6">
              <w:rPr>
                <w:rFonts w:ascii="Times New Roman" w:hAnsi="Times New Roman"/>
                <w:bCs/>
                <w:color w:val="000000"/>
                <w:sz w:val="14"/>
                <w:szCs w:val="14"/>
              </w:rPr>
              <w:t>34 919</w:t>
            </w:r>
          </w:p>
        </w:tc>
        <w:tc>
          <w:tcPr>
            <w:tcW w:w="793" w:type="dxa"/>
            <w:tcBorders>
              <w:top w:val="nil"/>
              <w:left w:val="nil"/>
              <w:bottom w:val="single" w:sz="4" w:space="0" w:color="auto"/>
              <w:right w:val="single" w:sz="4" w:space="0" w:color="auto"/>
            </w:tcBorders>
            <w:noWrap/>
            <w:textDirection w:val="lrTb"/>
            <w:vAlign w:val="center"/>
            <w:hideMark/>
          </w:tcPr>
          <w:p w:rsidR="0094530F" w:rsidRPr="006244B6" w:rsidP="003553EB">
            <w:pPr>
              <w:bidi w:val="0"/>
              <w:jc w:val="right"/>
              <w:rPr>
                <w:rFonts w:ascii="Times New Roman" w:hAnsi="Times New Roman"/>
                <w:bCs/>
                <w:color w:val="000000"/>
                <w:sz w:val="14"/>
                <w:szCs w:val="14"/>
              </w:rPr>
            </w:pPr>
            <w:r w:rsidRPr="006244B6">
              <w:rPr>
                <w:rFonts w:ascii="Times New Roman" w:hAnsi="Times New Roman"/>
                <w:bCs/>
                <w:color w:val="000000"/>
                <w:sz w:val="14"/>
                <w:szCs w:val="14"/>
              </w:rPr>
              <w:t>34 154</w:t>
            </w:r>
          </w:p>
        </w:tc>
        <w:tc>
          <w:tcPr>
            <w:tcW w:w="793" w:type="dxa"/>
            <w:tcBorders>
              <w:top w:val="nil"/>
              <w:left w:val="nil"/>
              <w:bottom w:val="single" w:sz="4" w:space="0" w:color="auto"/>
              <w:right w:val="single" w:sz="4" w:space="0" w:color="auto"/>
            </w:tcBorders>
            <w:noWrap/>
            <w:textDirection w:val="lrTb"/>
            <w:vAlign w:val="center"/>
            <w:hideMark/>
          </w:tcPr>
          <w:p w:rsidR="0094530F" w:rsidRPr="006244B6" w:rsidP="003553EB">
            <w:pPr>
              <w:bidi w:val="0"/>
              <w:jc w:val="right"/>
              <w:rPr>
                <w:rFonts w:ascii="Times New Roman" w:hAnsi="Times New Roman"/>
                <w:bCs/>
                <w:color w:val="000000"/>
                <w:sz w:val="14"/>
                <w:szCs w:val="14"/>
              </w:rPr>
            </w:pPr>
            <w:r w:rsidRPr="006244B6">
              <w:rPr>
                <w:rFonts w:ascii="Times New Roman" w:hAnsi="Times New Roman"/>
                <w:bCs/>
                <w:color w:val="000000"/>
                <w:sz w:val="14"/>
                <w:szCs w:val="14"/>
              </w:rPr>
              <w:t>21 404</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rPr>
                <w:rFonts w:ascii="Times New Roman" w:hAnsi="Times New Roman"/>
                <w:color w:val="000000"/>
                <w:sz w:val="14"/>
                <w:szCs w:val="14"/>
              </w:rPr>
            </w:pPr>
            <w:r>
              <w:rPr>
                <w:rFonts w:ascii="Times New Roman" w:hAnsi="Times New Roman"/>
                <w:color w:val="000000"/>
                <w:sz w:val="14"/>
                <w:szCs w:val="14"/>
              </w:rPr>
              <w:t xml:space="preserve">                    o</w:t>
            </w:r>
            <w:r w:rsidRPr="00246F6D">
              <w:rPr>
                <w:rFonts w:ascii="Times New Roman" w:hAnsi="Times New Roman"/>
                <w:color w:val="000000"/>
                <w:sz w:val="14"/>
                <w:szCs w:val="14"/>
              </w:rPr>
              <w:t>bstarávanie kapitálových aktív</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34 486</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34 919</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34 154</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21 404</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rPr>
                <w:rFonts w:ascii="Times New Roman" w:hAnsi="Times New Roman"/>
                <w:color w:val="000000"/>
                <w:sz w:val="14"/>
                <w:szCs w:val="14"/>
              </w:rPr>
            </w:pPr>
            <w:r>
              <w:rPr>
                <w:rFonts w:ascii="Times New Roman" w:hAnsi="Times New Roman"/>
                <w:color w:val="000000"/>
                <w:sz w:val="14"/>
                <w:szCs w:val="14"/>
              </w:rPr>
              <w:t xml:space="preserve">                    k</w:t>
            </w:r>
            <w:r w:rsidRPr="00246F6D">
              <w:rPr>
                <w:rFonts w:ascii="Times New Roman" w:hAnsi="Times New Roman"/>
                <w:color w:val="000000"/>
                <w:sz w:val="14"/>
                <w:szCs w:val="14"/>
              </w:rPr>
              <w:t>apitálové transfery</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886</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0</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0</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0</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single" w:sz="4" w:space="0" w:color="auto"/>
            </w:tcBorders>
            <w:noWrap/>
            <w:textDirection w:val="lrTb"/>
            <w:vAlign w:val="center"/>
            <w:hideMark/>
          </w:tcPr>
          <w:p w:rsidR="0094530F" w:rsidRPr="00246F6D" w:rsidP="0094530F">
            <w:pPr>
              <w:numPr>
                <w:numId w:val="31"/>
              </w:numPr>
              <w:bidi w:val="0"/>
              <w:rPr>
                <w:rFonts w:ascii="Times New Roman" w:hAnsi="Times New Roman"/>
                <w:bCs/>
                <w:color w:val="000000"/>
                <w:sz w:val="14"/>
                <w:szCs w:val="14"/>
              </w:rPr>
            </w:pPr>
            <w:r>
              <w:rPr>
                <w:rFonts w:ascii="Times New Roman" w:hAnsi="Times New Roman"/>
                <w:bCs/>
                <w:color w:val="000000"/>
                <w:sz w:val="14"/>
                <w:szCs w:val="14"/>
              </w:rPr>
              <w:t>v</w:t>
            </w:r>
            <w:r w:rsidRPr="00246F6D">
              <w:rPr>
                <w:rFonts w:ascii="Times New Roman" w:hAnsi="Times New Roman"/>
                <w:bCs/>
                <w:color w:val="000000"/>
                <w:sz w:val="14"/>
                <w:szCs w:val="14"/>
              </w:rPr>
              <w:t>ýdavky z transakcií s fin. akt. a pas. (FO)</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bCs/>
                <w:color w:val="000000"/>
                <w:sz w:val="14"/>
                <w:szCs w:val="14"/>
              </w:rPr>
            </w:pPr>
            <w:r w:rsidRPr="00246F6D">
              <w:rPr>
                <w:rFonts w:ascii="Times New Roman" w:hAnsi="Times New Roman"/>
                <w:bCs/>
                <w:color w:val="000000"/>
                <w:sz w:val="14"/>
                <w:szCs w:val="14"/>
              </w:rPr>
              <w:t>2 614</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bCs/>
                <w:color w:val="000000"/>
                <w:sz w:val="14"/>
                <w:szCs w:val="14"/>
              </w:rPr>
            </w:pPr>
            <w:r w:rsidRPr="00246F6D">
              <w:rPr>
                <w:rFonts w:ascii="Times New Roman" w:hAnsi="Times New Roman"/>
                <w:bCs/>
                <w:color w:val="000000"/>
                <w:sz w:val="14"/>
                <w:szCs w:val="14"/>
              </w:rPr>
              <w:t>6 073</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bCs/>
                <w:color w:val="000000"/>
                <w:sz w:val="14"/>
                <w:szCs w:val="14"/>
              </w:rPr>
            </w:pPr>
            <w:r w:rsidRPr="00246F6D">
              <w:rPr>
                <w:rFonts w:ascii="Times New Roman" w:hAnsi="Times New Roman"/>
                <w:bCs/>
                <w:color w:val="000000"/>
                <w:sz w:val="14"/>
                <w:szCs w:val="14"/>
              </w:rPr>
              <w:t>7 252</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bCs/>
                <w:color w:val="000000"/>
                <w:sz w:val="14"/>
                <w:szCs w:val="14"/>
              </w:rPr>
            </w:pPr>
            <w:r w:rsidRPr="00246F6D">
              <w:rPr>
                <w:rFonts w:ascii="Times New Roman" w:hAnsi="Times New Roman"/>
                <w:bCs/>
                <w:color w:val="000000"/>
                <w:sz w:val="14"/>
                <w:szCs w:val="14"/>
              </w:rPr>
              <w:t>7 102</w:t>
            </w:r>
          </w:p>
        </w:tc>
      </w:tr>
      <w:tr>
        <w:tblPrEx>
          <w:tblW w:w="9412" w:type="dxa"/>
          <w:tblLayout w:type="fixed"/>
          <w:tblCellMar>
            <w:left w:w="70" w:type="dxa"/>
            <w:right w:w="70" w:type="dxa"/>
          </w:tblCellMar>
          <w:tblLook w:val="04A0"/>
        </w:tblPrEx>
        <w:trPr>
          <w:trHeight w:hRule="exact" w:val="255"/>
        </w:trPr>
        <w:tc>
          <w:tcPr>
            <w:tcW w:w="3861" w:type="dxa"/>
            <w:gridSpan w:val="2"/>
            <w:tcBorders>
              <w:top w:val="single" w:sz="4" w:space="0" w:color="auto"/>
              <w:left w:val="single" w:sz="4" w:space="0" w:color="auto"/>
              <w:bottom w:val="single" w:sz="4" w:space="0" w:color="auto"/>
              <w:right w:val="nil"/>
            </w:tcBorders>
            <w:shd w:val="pct25" w:color="auto" w:fill="auto"/>
            <w:noWrap/>
            <w:textDirection w:val="lrTb"/>
            <w:vAlign w:val="center"/>
            <w:hideMark/>
          </w:tcPr>
          <w:p w:rsidR="0094530F" w:rsidRPr="00246F6D" w:rsidP="003553EB">
            <w:pPr>
              <w:bidi w:val="0"/>
              <w:rPr>
                <w:rFonts w:ascii="Times New Roman" w:hAnsi="Times New Roman"/>
                <w:b/>
                <w:bCs/>
                <w:color w:val="000000"/>
                <w:sz w:val="14"/>
                <w:szCs w:val="14"/>
              </w:rPr>
            </w:pPr>
            <w:r w:rsidRPr="00246F6D">
              <w:rPr>
                <w:rFonts w:ascii="Times New Roman" w:hAnsi="Times New Roman"/>
                <w:b/>
                <w:bCs/>
                <w:color w:val="000000"/>
                <w:sz w:val="14"/>
                <w:szCs w:val="14"/>
              </w:rPr>
              <w:t>Celkový prebytok / schodok (+/-) zdravotníckych zariadení</w:t>
            </w:r>
          </w:p>
        </w:tc>
        <w:tc>
          <w:tcPr>
            <w:tcW w:w="793" w:type="dxa"/>
            <w:tcBorders>
              <w:top w:val="single" w:sz="4" w:space="0" w:color="auto"/>
              <w:left w:val="single" w:sz="4" w:space="0" w:color="auto"/>
              <w:bottom w:val="single" w:sz="4" w:space="0" w:color="auto"/>
              <w:right w:val="single" w:sz="4" w:space="0" w:color="auto"/>
            </w:tcBorders>
            <w:shd w:val="pct25" w:color="auto" w:fill="auto"/>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single" w:sz="4" w:space="0" w:color="auto"/>
              <w:left w:val="nil"/>
              <w:bottom w:val="single" w:sz="4" w:space="0" w:color="auto"/>
              <w:right w:val="single" w:sz="4" w:space="0" w:color="auto"/>
            </w:tcBorders>
            <w:shd w:val="pct25" w:color="auto" w:fill="auto"/>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single" w:sz="4" w:space="0" w:color="auto"/>
              <w:left w:val="nil"/>
              <w:bottom w:val="single" w:sz="4" w:space="0" w:color="auto"/>
              <w:right w:val="single" w:sz="4" w:space="0" w:color="auto"/>
            </w:tcBorders>
            <w:shd w:val="pct25" w:color="auto" w:fill="auto"/>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single" w:sz="4" w:space="0" w:color="auto"/>
              <w:left w:val="single" w:sz="4" w:space="0" w:color="auto"/>
              <w:bottom w:val="single" w:sz="4" w:space="0" w:color="auto"/>
              <w:right w:val="single" w:sz="4" w:space="0" w:color="auto"/>
            </w:tcBorders>
            <w:shd w:val="pct25" w:color="auto" w:fill="auto"/>
            <w:noWrap/>
            <w:textDirection w:val="lrTb"/>
            <w:vAlign w:val="center"/>
            <w:hideMark/>
          </w:tcPr>
          <w:p w:rsidR="0094530F" w:rsidRPr="00246F6D" w:rsidP="003553EB">
            <w:pPr>
              <w:bidi w:val="0"/>
              <w:jc w:val="right"/>
              <w:rPr>
                <w:rFonts w:ascii="Times New Roman" w:hAnsi="Times New Roman"/>
                <w:b/>
                <w:bCs/>
                <w:color w:val="000000"/>
                <w:sz w:val="14"/>
                <w:szCs w:val="14"/>
              </w:rPr>
            </w:pPr>
            <w:r w:rsidRPr="00246F6D">
              <w:rPr>
                <w:rFonts w:ascii="Times New Roman" w:hAnsi="Times New Roman"/>
                <w:b/>
                <w:bCs/>
                <w:color w:val="000000"/>
                <w:sz w:val="14"/>
                <w:szCs w:val="14"/>
              </w:rPr>
              <w:t>70 824</w:t>
            </w:r>
          </w:p>
        </w:tc>
        <w:tc>
          <w:tcPr>
            <w:tcW w:w="793" w:type="dxa"/>
            <w:tcBorders>
              <w:top w:val="single" w:sz="4" w:space="0" w:color="auto"/>
              <w:left w:val="nil"/>
              <w:bottom w:val="single" w:sz="4" w:space="0" w:color="auto"/>
              <w:right w:val="single" w:sz="4" w:space="0" w:color="auto"/>
            </w:tcBorders>
            <w:shd w:val="pct25" w:color="auto" w:fill="auto"/>
            <w:noWrap/>
            <w:textDirection w:val="lrTb"/>
            <w:vAlign w:val="center"/>
            <w:hideMark/>
          </w:tcPr>
          <w:p w:rsidR="0094530F" w:rsidRPr="00246F6D" w:rsidP="003553EB">
            <w:pPr>
              <w:bidi w:val="0"/>
              <w:jc w:val="right"/>
              <w:rPr>
                <w:rFonts w:ascii="Times New Roman" w:hAnsi="Times New Roman"/>
                <w:b/>
                <w:bCs/>
                <w:color w:val="000000"/>
                <w:sz w:val="14"/>
                <w:szCs w:val="14"/>
              </w:rPr>
            </w:pPr>
            <w:r w:rsidRPr="00246F6D">
              <w:rPr>
                <w:rFonts w:ascii="Times New Roman" w:hAnsi="Times New Roman"/>
                <w:b/>
                <w:bCs/>
                <w:color w:val="000000"/>
                <w:sz w:val="14"/>
                <w:szCs w:val="14"/>
              </w:rPr>
              <w:t>72 293</w:t>
            </w:r>
          </w:p>
        </w:tc>
        <w:tc>
          <w:tcPr>
            <w:tcW w:w="793" w:type="dxa"/>
            <w:tcBorders>
              <w:top w:val="single" w:sz="4" w:space="0" w:color="auto"/>
              <w:left w:val="nil"/>
              <w:bottom w:val="single" w:sz="4" w:space="0" w:color="auto"/>
              <w:right w:val="single" w:sz="4" w:space="0" w:color="auto"/>
            </w:tcBorders>
            <w:shd w:val="pct25" w:color="auto" w:fill="auto"/>
            <w:noWrap/>
            <w:textDirection w:val="lrTb"/>
            <w:vAlign w:val="center"/>
            <w:hideMark/>
          </w:tcPr>
          <w:p w:rsidR="0094530F" w:rsidRPr="00246F6D" w:rsidP="003553EB">
            <w:pPr>
              <w:bidi w:val="0"/>
              <w:jc w:val="right"/>
              <w:rPr>
                <w:rFonts w:ascii="Times New Roman" w:hAnsi="Times New Roman"/>
                <w:b/>
                <w:bCs/>
                <w:color w:val="000000"/>
                <w:sz w:val="14"/>
                <w:szCs w:val="14"/>
              </w:rPr>
            </w:pPr>
            <w:r w:rsidRPr="00246F6D">
              <w:rPr>
                <w:rFonts w:ascii="Times New Roman" w:hAnsi="Times New Roman"/>
                <w:b/>
                <w:bCs/>
                <w:color w:val="000000"/>
                <w:sz w:val="14"/>
                <w:szCs w:val="14"/>
              </w:rPr>
              <w:t>65 167</w:t>
            </w:r>
          </w:p>
        </w:tc>
        <w:tc>
          <w:tcPr>
            <w:tcW w:w="793" w:type="dxa"/>
            <w:tcBorders>
              <w:top w:val="single" w:sz="4" w:space="0" w:color="auto"/>
              <w:left w:val="nil"/>
              <w:bottom w:val="single" w:sz="4" w:space="0" w:color="auto"/>
              <w:right w:val="single" w:sz="4" w:space="0" w:color="auto"/>
            </w:tcBorders>
            <w:shd w:val="pct25" w:color="auto" w:fill="auto"/>
            <w:noWrap/>
            <w:textDirection w:val="lrTb"/>
            <w:vAlign w:val="center"/>
            <w:hideMark/>
          </w:tcPr>
          <w:p w:rsidR="0094530F" w:rsidRPr="00246F6D" w:rsidP="003553EB">
            <w:pPr>
              <w:bidi w:val="0"/>
              <w:jc w:val="right"/>
              <w:rPr>
                <w:rFonts w:ascii="Times New Roman" w:hAnsi="Times New Roman"/>
                <w:b/>
                <w:bCs/>
                <w:color w:val="000000"/>
                <w:sz w:val="14"/>
                <w:szCs w:val="14"/>
              </w:rPr>
            </w:pPr>
            <w:r w:rsidRPr="00246F6D">
              <w:rPr>
                <w:rFonts w:ascii="Times New Roman" w:hAnsi="Times New Roman"/>
                <w:b/>
                <w:bCs/>
                <w:color w:val="000000"/>
                <w:sz w:val="14"/>
                <w:szCs w:val="14"/>
              </w:rPr>
              <w:t>66 903</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nil"/>
            </w:tcBorders>
            <w:noWrap/>
            <w:textDirection w:val="lrTb"/>
            <w:vAlign w:val="center"/>
            <w:hideMark/>
          </w:tcPr>
          <w:p w:rsidR="0094530F" w:rsidRPr="00246F6D" w:rsidP="003553EB">
            <w:pPr>
              <w:bidi w:val="0"/>
              <w:rPr>
                <w:rFonts w:ascii="Times New Roman" w:hAnsi="Times New Roman"/>
                <w:bCs/>
                <w:color w:val="000000"/>
                <w:sz w:val="14"/>
                <w:szCs w:val="14"/>
              </w:rPr>
            </w:pPr>
            <w:r>
              <w:rPr>
                <w:rFonts w:ascii="Times New Roman" w:hAnsi="Times New Roman"/>
                <w:bCs/>
                <w:color w:val="000000"/>
                <w:sz w:val="14"/>
                <w:szCs w:val="14"/>
              </w:rPr>
              <w:t>v</w:t>
            </w:r>
            <w:r w:rsidRPr="00246F6D">
              <w:rPr>
                <w:rFonts w:ascii="Times New Roman" w:hAnsi="Times New Roman"/>
                <w:bCs/>
                <w:color w:val="000000"/>
                <w:sz w:val="14"/>
                <w:szCs w:val="14"/>
              </w:rPr>
              <w:t>ylúčenie finančných operácií</w:t>
            </w:r>
            <w:r>
              <w:rPr>
                <w:rFonts w:ascii="Times New Roman" w:hAnsi="Times New Roman"/>
                <w:bCs/>
                <w:color w:val="000000"/>
                <w:sz w:val="14"/>
                <w:szCs w:val="14"/>
              </w:rPr>
              <w:t>, v tom:</w:t>
            </w:r>
          </w:p>
        </w:tc>
        <w:tc>
          <w:tcPr>
            <w:tcW w:w="793" w:type="dxa"/>
            <w:tcBorders>
              <w:top w:val="nil"/>
              <w:left w:val="single" w:sz="4" w:space="0" w:color="auto"/>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bCs/>
                <w:color w:val="000000"/>
                <w:sz w:val="14"/>
                <w:szCs w:val="14"/>
              </w:rPr>
            </w:pPr>
            <w:r w:rsidRPr="00246F6D">
              <w:rPr>
                <w:rFonts w:ascii="Times New Roman" w:hAnsi="Times New Roman"/>
                <w:bCs/>
                <w:color w:val="000000"/>
                <w:sz w:val="14"/>
                <w:szCs w:val="14"/>
              </w:rPr>
              <w:t>-50 293</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bCs/>
                <w:color w:val="000000"/>
                <w:sz w:val="14"/>
                <w:szCs w:val="14"/>
              </w:rPr>
            </w:pPr>
            <w:r w:rsidRPr="00246F6D">
              <w:rPr>
                <w:rFonts w:ascii="Times New Roman" w:hAnsi="Times New Roman"/>
                <w:bCs/>
                <w:color w:val="000000"/>
                <w:sz w:val="14"/>
                <w:szCs w:val="14"/>
              </w:rPr>
              <w:t>-76 501</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bCs/>
                <w:color w:val="000000"/>
                <w:sz w:val="14"/>
                <w:szCs w:val="14"/>
              </w:rPr>
            </w:pPr>
            <w:r w:rsidRPr="00246F6D">
              <w:rPr>
                <w:rFonts w:ascii="Times New Roman" w:hAnsi="Times New Roman"/>
                <w:bCs/>
                <w:color w:val="000000"/>
                <w:sz w:val="14"/>
                <w:szCs w:val="14"/>
              </w:rPr>
              <w:t>-67 591</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bCs/>
                <w:color w:val="000000"/>
                <w:sz w:val="14"/>
                <w:szCs w:val="14"/>
              </w:rPr>
            </w:pPr>
            <w:r w:rsidRPr="00246F6D">
              <w:rPr>
                <w:rFonts w:ascii="Times New Roman" w:hAnsi="Times New Roman"/>
                <w:bCs/>
                <w:color w:val="000000"/>
                <w:sz w:val="14"/>
                <w:szCs w:val="14"/>
              </w:rPr>
              <w:t>-58 215</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nil"/>
            </w:tcBorders>
            <w:noWrap/>
            <w:textDirection w:val="lrTb"/>
            <w:vAlign w:val="center"/>
            <w:hideMark/>
          </w:tcPr>
          <w:p w:rsidR="0094530F" w:rsidRPr="00246F6D" w:rsidP="0094530F">
            <w:pPr>
              <w:numPr>
                <w:numId w:val="31"/>
              </w:numPr>
              <w:bidi w:val="0"/>
              <w:rPr>
                <w:rFonts w:ascii="Times New Roman" w:hAnsi="Times New Roman"/>
                <w:color w:val="000000"/>
                <w:sz w:val="14"/>
                <w:szCs w:val="14"/>
              </w:rPr>
            </w:pPr>
            <w:r>
              <w:rPr>
                <w:rFonts w:ascii="Times New Roman" w:hAnsi="Times New Roman"/>
                <w:color w:val="000000"/>
                <w:sz w:val="14"/>
                <w:szCs w:val="14"/>
              </w:rPr>
              <w:t>v</w:t>
            </w:r>
            <w:r w:rsidRPr="00246F6D">
              <w:rPr>
                <w:rFonts w:ascii="Times New Roman" w:hAnsi="Times New Roman"/>
                <w:color w:val="000000"/>
                <w:sz w:val="14"/>
                <w:szCs w:val="14"/>
              </w:rPr>
              <w:t>ylúčenie príjmových FO</w:t>
            </w:r>
          </w:p>
        </w:tc>
        <w:tc>
          <w:tcPr>
            <w:tcW w:w="793" w:type="dxa"/>
            <w:tcBorders>
              <w:top w:val="nil"/>
              <w:left w:val="single" w:sz="4" w:space="0" w:color="auto"/>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-52 907</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-82 574</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-74 843</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-65 317</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nil"/>
            </w:tcBorders>
            <w:noWrap/>
            <w:textDirection w:val="lrTb"/>
            <w:vAlign w:val="center"/>
            <w:hideMark/>
          </w:tcPr>
          <w:p w:rsidR="0094530F" w:rsidRPr="00246F6D" w:rsidP="0094530F">
            <w:pPr>
              <w:numPr>
                <w:numId w:val="31"/>
              </w:numPr>
              <w:bidi w:val="0"/>
              <w:rPr>
                <w:rFonts w:ascii="Times New Roman" w:hAnsi="Times New Roman"/>
                <w:color w:val="000000"/>
                <w:sz w:val="14"/>
                <w:szCs w:val="14"/>
              </w:rPr>
            </w:pPr>
            <w:r>
              <w:rPr>
                <w:rFonts w:ascii="Times New Roman" w:hAnsi="Times New Roman"/>
                <w:color w:val="000000"/>
                <w:sz w:val="14"/>
                <w:szCs w:val="14"/>
              </w:rPr>
              <w:t>v</w:t>
            </w:r>
            <w:r w:rsidRPr="00246F6D">
              <w:rPr>
                <w:rFonts w:ascii="Times New Roman" w:hAnsi="Times New Roman"/>
                <w:color w:val="000000"/>
                <w:sz w:val="14"/>
                <w:szCs w:val="14"/>
              </w:rPr>
              <w:t>ylúčenie výdavkových FO</w:t>
            </w:r>
          </w:p>
        </w:tc>
        <w:tc>
          <w:tcPr>
            <w:tcW w:w="793" w:type="dxa"/>
            <w:tcBorders>
              <w:top w:val="nil"/>
              <w:left w:val="single" w:sz="4" w:space="0" w:color="auto"/>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2 614</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6 073</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7 252</w:t>
            </w:r>
          </w:p>
        </w:tc>
        <w:tc>
          <w:tcPr>
            <w:tcW w:w="793" w:type="dxa"/>
            <w:tcBorders>
              <w:top w:val="nil"/>
              <w:left w:val="nil"/>
              <w:bottom w:val="single" w:sz="4" w:space="0" w:color="auto"/>
              <w:right w:val="single" w:sz="4" w:space="0" w:color="auto"/>
            </w:tcBorders>
            <w:noWrap/>
            <w:textDirection w:val="lrTb"/>
            <w:vAlign w:val="center"/>
            <w:hideMark/>
          </w:tcPr>
          <w:p w:rsidR="0094530F" w:rsidRPr="00246F6D" w:rsidP="003553EB">
            <w:pPr>
              <w:bidi w:val="0"/>
              <w:jc w:val="right"/>
              <w:rPr>
                <w:rFonts w:ascii="Times New Roman" w:hAnsi="Times New Roman"/>
                <w:color w:val="000000"/>
                <w:sz w:val="14"/>
                <w:szCs w:val="14"/>
              </w:rPr>
            </w:pPr>
            <w:r w:rsidRPr="00246F6D">
              <w:rPr>
                <w:rFonts w:ascii="Times New Roman" w:hAnsi="Times New Roman"/>
                <w:color w:val="000000"/>
                <w:sz w:val="14"/>
                <w:szCs w:val="14"/>
              </w:rPr>
              <w:t>7 102</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nil"/>
            </w:tcBorders>
            <w:noWrap/>
            <w:textDirection w:val="lrTb"/>
            <w:vAlign w:val="center"/>
            <w:hideMark/>
          </w:tcPr>
          <w:p w:rsidR="0094530F" w:rsidRPr="00246F6D" w:rsidP="003553EB">
            <w:pPr>
              <w:bidi w:val="0"/>
              <w:rPr>
                <w:rFonts w:ascii="Times New Roman" w:hAnsi="Times New Roman"/>
                <w:bCs/>
                <w:color w:val="000000"/>
                <w:sz w:val="14"/>
                <w:szCs w:val="14"/>
              </w:rPr>
            </w:pPr>
            <w:r>
              <w:rPr>
                <w:rFonts w:ascii="Times New Roman" w:hAnsi="Times New Roman"/>
                <w:bCs/>
                <w:color w:val="000000"/>
                <w:sz w:val="14"/>
                <w:szCs w:val="14"/>
              </w:rPr>
              <w:t>m</w:t>
            </w:r>
            <w:r w:rsidRPr="00246F6D">
              <w:rPr>
                <w:rFonts w:ascii="Times New Roman" w:hAnsi="Times New Roman"/>
                <w:bCs/>
                <w:color w:val="000000"/>
                <w:sz w:val="14"/>
                <w:szCs w:val="14"/>
              </w:rPr>
              <w:t>edziročná zmena stavu pohľadávok</w:t>
            </w:r>
          </w:p>
        </w:tc>
        <w:tc>
          <w:tcPr>
            <w:tcW w:w="793" w:type="dxa"/>
            <w:tcBorders>
              <w:top w:val="nil"/>
              <w:left w:val="single" w:sz="4" w:space="0" w:color="auto"/>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6A3345" w:rsidP="003553EB">
            <w:pPr>
              <w:bidi w:val="0"/>
              <w:jc w:val="right"/>
              <w:rPr>
                <w:rFonts w:ascii="Times New Roman" w:hAnsi="Times New Roman"/>
                <w:bCs/>
                <w:color w:val="000000"/>
                <w:sz w:val="14"/>
                <w:szCs w:val="14"/>
              </w:rPr>
            </w:pPr>
            <w:r w:rsidRPr="006A3345">
              <w:rPr>
                <w:rFonts w:ascii="Times New Roman" w:hAnsi="Times New Roman"/>
                <w:bCs/>
                <w:color w:val="000000"/>
                <w:sz w:val="14"/>
                <w:szCs w:val="14"/>
              </w:rPr>
              <w:t>43 728</w:t>
            </w:r>
          </w:p>
        </w:tc>
        <w:tc>
          <w:tcPr>
            <w:tcW w:w="793" w:type="dxa"/>
            <w:tcBorders>
              <w:top w:val="nil"/>
              <w:left w:val="nil"/>
              <w:bottom w:val="single" w:sz="4" w:space="0" w:color="auto"/>
              <w:right w:val="single" w:sz="4" w:space="0" w:color="auto"/>
            </w:tcBorders>
            <w:noWrap/>
            <w:textDirection w:val="lrTb"/>
            <w:vAlign w:val="center"/>
            <w:hideMark/>
          </w:tcPr>
          <w:p w:rsidR="0094530F" w:rsidRPr="006244B6" w:rsidP="003553EB">
            <w:pPr>
              <w:bidi w:val="0"/>
              <w:jc w:val="right"/>
              <w:rPr>
                <w:rFonts w:ascii="Times New Roman" w:hAnsi="Times New Roman"/>
                <w:bCs/>
                <w:color w:val="000000"/>
                <w:sz w:val="14"/>
                <w:szCs w:val="14"/>
              </w:rPr>
            </w:pPr>
            <w:r w:rsidRPr="006244B6">
              <w:rPr>
                <w:rFonts w:ascii="Times New Roman" w:hAnsi="Times New Roman"/>
                <w:bCs/>
                <w:color w:val="000000"/>
                <w:sz w:val="14"/>
                <w:szCs w:val="14"/>
              </w:rPr>
              <w:t>0</w:t>
            </w:r>
          </w:p>
        </w:tc>
        <w:tc>
          <w:tcPr>
            <w:tcW w:w="793" w:type="dxa"/>
            <w:tcBorders>
              <w:top w:val="nil"/>
              <w:left w:val="nil"/>
              <w:bottom w:val="single" w:sz="4" w:space="0" w:color="auto"/>
              <w:right w:val="single" w:sz="4" w:space="0" w:color="auto"/>
            </w:tcBorders>
            <w:noWrap/>
            <w:textDirection w:val="lrTb"/>
            <w:vAlign w:val="center"/>
            <w:hideMark/>
          </w:tcPr>
          <w:p w:rsidR="0094530F" w:rsidRPr="006244B6" w:rsidP="003553EB">
            <w:pPr>
              <w:bidi w:val="0"/>
              <w:jc w:val="right"/>
              <w:rPr>
                <w:rFonts w:ascii="Times New Roman" w:hAnsi="Times New Roman"/>
                <w:bCs/>
                <w:color w:val="000000"/>
                <w:sz w:val="14"/>
                <w:szCs w:val="14"/>
              </w:rPr>
            </w:pPr>
            <w:r w:rsidRPr="006244B6">
              <w:rPr>
                <w:rFonts w:ascii="Times New Roman" w:hAnsi="Times New Roman"/>
                <w:bCs/>
                <w:color w:val="000000"/>
                <w:sz w:val="14"/>
                <w:szCs w:val="14"/>
              </w:rPr>
              <w:t>0</w:t>
            </w:r>
          </w:p>
        </w:tc>
        <w:tc>
          <w:tcPr>
            <w:tcW w:w="793" w:type="dxa"/>
            <w:tcBorders>
              <w:top w:val="nil"/>
              <w:left w:val="nil"/>
              <w:bottom w:val="single" w:sz="4" w:space="0" w:color="auto"/>
              <w:right w:val="single" w:sz="4" w:space="0" w:color="auto"/>
            </w:tcBorders>
            <w:noWrap/>
            <w:textDirection w:val="lrTb"/>
            <w:vAlign w:val="center"/>
            <w:hideMark/>
          </w:tcPr>
          <w:p w:rsidR="0094530F" w:rsidRPr="006244B6" w:rsidP="003553EB">
            <w:pPr>
              <w:bidi w:val="0"/>
              <w:jc w:val="right"/>
              <w:rPr>
                <w:rFonts w:ascii="Times New Roman" w:hAnsi="Times New Roman"/>
                <w:bCs/>
                <w:color w:val="000000"/>
                <w:sz w:val="14"/>
                <w:szCs w:val="14"/>
              </w:rPr>
            </w:pPr>
            <w:r w:rsidRPr="006244B6">
              <w:rPr>
                <w:rFonts w:ascii="Times New Roman" w:hAnsi="Times New Roman"/>
                <w:bCs/>
                <w:color w:val="000000"/>
                <w:sz w:val="14"/>
                <w:szCs w:val="14"/>
              </w:rPr>
              <w:t>0</w:t>
            </w:r>
          </w:p>
        </w:tc>
      </w:tr>
      <w:tr>
        <w:tblPrEx>
          <w:tblW w:w="9412" w:type="dxa"/>
          <w:tblLayout w:type="fixed"/>
          <w:tblCellMar>
            <w:left w:w="70" w:type="dxa"/>
            <w:right w:w="70" w:type="dxa"/>
          </w:tblCellMar>
          <w:tblLook w:val="04A0"/>
        </w:tblPrEx>
        <w:trPr>
          <w:trHeight w:hRule="exact" w:val="255"/>
        </w:trPr>
        <w:tc>
          <w:tcPr>
            <w:tcW w:w="3861" w:type="dxa"/>
            <w:gridSpan w:val="2"/>
            <w:tcBorders>
              <w:top w:val="nil"/>
              <w:left w:val="single" w:sz="4" w:space="0" w:color="auto"/>
              <w:bottom w:val="single" w:sz="4" w:space="0" w:color="auto"/>
              <w:right w:val="nil"/>
            </w:tcBorders>
            <w:noWrap/>
            <w:textDirection w:val="lrTb"/>
            <w:vAlign w:val="center"/>
            <w:hideMark/>
          </w:tcPr>
          <w:p w:rsidR="0094530F" w:rsidRPr="00246F6D" w:rsidP="003553EB">
            <w:pPr>
              <w:bidi w:val="0"/>
              <w:rPr>
                <w:rFonts w:ascii="Times New Roman" w:hAnsi="Times New Roman"/>
                <w:bCs/>
                <w:color w:val="000000"/>
                <w:sz w:val="14"/>
                <w:szCs w:val="14"/>
              </w:rPr>
            </w:pPr>
            <w:r>
              <w:rPr>
                <w:rFonts w:ascii="Times New Roman" w:hAnsi="Times New Roman"/>
                <w:bCs/>
                <w:color w:val="000000"/>
                <w:sz w:val="14"/>
                <w:szCs w:val="14"/>
              </w:rPr>
              <w:t>m</w:t>
            </w:r>
            <w:r w:rsidRPr="00246F6D">
              <w:rPr>
                <w:rFonts w:ascii="Times New Roman" w:hAnsi="Times New Roman"/>
                <w:bCs/>
                <w:color w:val="000000"/>
                <w:sz w:val="14"/>
                <w:szCs w:val="14"/>
              </w:rPr>
              <w:t>edziročná zmena stavu záväzkov</w:t>
            </w:r>
          </w:p>
        </w:tc>
        <w:tc>
          <w:tcPr>
            <w:tcW w:w="793" w:type="dxa"/>
            <w:tcBorders>
              <w:top w:val="nil"/>
              <w:left w:val="single" w:sz="4" w:space="0" w:color="auto"/>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noWrap/>
            <w:textDirection w:val="lrTb"/>
            <w:vAlign w:val="top"/>
            <w:hideMark/>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nil"/>
              <w:bottom w:val="single" w:sz="4" w:space="0" w:color="auto"/>
              <w:right w:val="single" w:sz="4" w:space="0" w:color="auto"/>
            </w:tcBorders>
            <w:textDirection w:val="lrTb"/>
            <w:vAlign w:val="top"/>
          </w:tcPr>
          <w:p w:rsidR="0094530F" w:rsidRPr="0094530F" w:rsidP="003553EB">
            <w:pPr>
              <w:bidi w:val="0"/>
              <w:jc w:val="center"/>
              <w:rPr>
                <w:rFonts w:ascii="Times New Roman" w:hAnsi="Times New Roman"/>
                <w:b/>
              </w:rPr>
            </w:pPr>
            <w:r w:rsidRPr="0094530F">
              <w:rPr>
                <w:rFonts w:ascii="Times New Roman" w:hAnsi="Times New Roman"/>
                <w:b/>
              </w:rPr>
              <w:t>-</w:t>
            </w:r>
          </w:p>
        </w:tc>
        <w:tc>
          <w:tcPr>
            <w:tcW w:w="793" w:type="dxa"/>
            <w:tcBorders>
              <w:top w:val="nil"/>
              <w:left w:val="single" w:sz="4" w:space="0" w:color="auto"/>
              <w:bottom w:val="single" w:sz="4" w:space="0" w:color="auto"/>
              <w:right w:val="single" w:sz="4" w:space="0" w:color="auto"/>
            </w:tcBorders>
            <w:noWrap/>
            <w:textDirection w:val="lrTb"/>
            <w:vAlign w:val="center"/>
            <w:hideMark/>
          </w:tcPr>
          <w:p w:rsidR="0094530F" w:rsidRPr="006A3345" w:rsidP="003553EB">
            <w:pPr>
              <w:bidi w:val="0"/>
              <w:jc w:val="right"/>
              <w:rPr>
                <w:rFonts w:ascii="Times New Roman" w:hAnsi="Times New Roman"/>
                <w:bCs/>
                <w:color w:val="000000"/>
                <w:sz w:val="14"/>
                <w:szCs w:val="14"/>
              </w:rPr>
            </w:pPr>
            <w:r w:rsidRPr="006A3345">
              <w:rPr>
                <w:rFonts w:ascii="Times New Roman" w:hAnsi="Times New Roman"/>
                <w:bCs/>
                <w:color w:val="000000"/>
                <w:sz w:val="14"/>
                <w:szCs w:val="14"/>
              </w:rPr>
              <w:t>-114 419</w:t>
            </w:r>
          </w:p>
        </w:tc>
        <w:tc>
          <w:tcPr>
            <w:tcW w:w="793" w:type="dxa"/>
            <w:tcBorders>
              <w:top w:val="nil"/>
              <w:left w:val="nil"/>
              <w:bottom w:val="single" w:sz="4" w:space="0" w:color="auto"/>
              <w:right w:val="single" w:sz="4" w:space="0" w:color="auto"/>
            </w:tcBorders>
            <w:noWrap/>
            <w:textDirection w:val="lrTb"/>
            <w:vAlign w:val="center"/>
            <w:hideMark/>
          </w:tcPr>
          <w:p w:rsidR="0094530F" w:rsidRPr="006244B6" w:rsidP="003553EB">
            <w:pPr>
              <w:bidi w:val="0"/>
              <w:jc w:val="right"/>
              <w:rPr>
                <w:rFonts w:ascii="Times New Roman" w:hAnsi="Times New Roman"/>
                <w:bCs/>
                <w:color w:val="000000"/>
                <w:sz w:val="14"/>
                <w:szCs w:val="14"/>
              </w:rPr>
            </w:pPr>
            <w:r w:rsidRPr="006244B6">
              <w:rPr>
                <w:rFonts w:ascii="Times New Roman" w:hAnsi="Times New Roman"/>
                <w:bCs/>
                <w:color w:val="000000"/>
                <w:sz w:val="14"/>
                <w:szCs w:val="14"/>
              </w:rPr>
              <w:t>0</w:t>
            </w:r>
          </w:p>
        </w:tc>
        <w:tc>
          <w:tcPr>
            <w:tcW w:w="793" w:type="dxa"/>
            <w:tcBorders>
              <w:top w:val="nil"/>
              <w:left w:val="nil"/>
              <w:bottom w:val="single" w:sz="4" w:space="0" w:color="auto"/>
              <w:right w:val="single" w:sz="4" w:space="0" w:color="auto"/>
            </w:tcBorders>
            <w:noWrap/>
            <w:textDirection w:val="lrTb"/>
            <w:vAlign w:val="center"/>
            <w:hideMark/>
          </w:tcPr>
          <w:p w:rsidR="0094530F" w:rsidRPr="006244B6" w:rsidP="003553EB">
            <w:pPr>
              <w:bidi w:val="0"/>
              <w:jc w:val="right"/>
              <w:rPr>
                <w:rFonts w:ascii="Times New Roman" w:hAnsi="Times New Roman"/>
                <w:bCs/>
                <w:color w:val="000000"/>
                <w:sz w:val="14"/>
                <w:szCs w:val="14"/>
              </w:rPr>
            </w:pPr>
            <w:r w:rsidRPr="006244B6">
              <w:rPr>
                <w:rFonts w:ascii="Times New Roman" w:hAnsi="Times New Roman"/>
                <w:bCs/>
                <w:color w:val="000000"/>
                <w:sz w:val="14"/>
                <w:szCs w:val="14"/>
              </w:rPr>
              <w:t>0</w:t>
            </w:r>
          </w:p>
        </w:tc>
        <w:tc>
          <w:tcPr>
            <w:tcW w:w="793" w:type="dxa"/>
            <w:tcBorders>
              <w:top w:val="nil"/>
              <w:left w:val="nil"/>
              <w:bottom w:val="single" w:sz="4" w:space="0" w:color="auto"/>
              <w:right w:val="single" w:sz="4" w:space="0" w:color="auto"/>
            </w:tcBorders>
            <w:noWrap/>
            <w:textDirection w:val="lrTb"/>
            <w:vAlign w:val="center"/>
            <w:hideMark/>
          </w:tcPr>
          <w:p w:rsidR="0094530F" w:rsidRPr="006244B6" w:rsidP="003553EB">
            <w:pPr>
              <w:bidi w:val="0"/>
              <w:jc w:val="right"/>
              <w:rPr>
                <w:rFonts w:ascii="Times New Roman" w:hAnsi="Times New Roman"/>
                <w:bCs/>
                <w:color w:val="000000"/>
                <w:sz w:val="14"/>
                <w:szCs w:val="14"/>
              </w:rPr>
            </w:pPr>
            <w:r w:rsidRPr="006244B6">
              <w:rPr>
                <w:rFonts w:ascii="Times New Roman" w:hAnsi="Times New Roman"/>
                <w:bCs/>
                <w:color w:val="000000"/>
                <w:sz w:val="14"/>
                <w:szCs w:val="14"/>
              </w:rPr>
              <w:t>0</w:t>
            </w:r>
          </w:p>
        </w:tc>
      </w:tr>
      <w:tr>
        <w:tblPrEx>
          <w:tblW w:w="9412" w:type="dxa"/>
          <w:tblLayout w:type="fixed"/>
          <w:tblCellMar>
            <w:left w:w="70" w:type="dxa"/>
            <w:right w:w="70" w:type="dxa"/>
          </w:tblCellMar>
          <w:tblLook w:val="04A0"/>
        </w:tblPrEx>
        <w:trPr>
          <w:trHeight w:hRule="exact" w:val="255"/>
        </w:trPr>
        <w:tc>
          <w:tcPr>
            <w:tcW w:w="3861" w:type="dxa"/>
            <w:gridSpan w:val="2"/>
            <w:tcBorders>
              <w:top w:val="single" w:sz="4" w:space="0" w:color="auto"/>
              <w:left w:val="single" w:sz="4" w:space="0" w:color="auto"/>
              <w:bottom w:val="single" w:sz="4" w:space="0" w:color="auto"/>
              <w:right w:val="nil"/>
            </w:tcBorders>
            <w:shd w:val="pct25" w:color="auto" w:fill="auto"/>
            <w:noWrap/>
            <w:textDirection w:val="lrTb"/>
            <w:vAlign w:val="center"/>
            <w:hideMark/>
          </w:tcPr>
          <w:p w:rsidR="0094530F" w:rsidRPr="00CB0E0C" w:rsidP="00BF78C5">
            <w:pPr>
              <w:bidi w:val="0"/>
              <w:rPr>
                <w:rFonts w:ascii="Times New Roman" w:hAnsi="Times New Roman"/>
                <w:b/>
                <w:bCs/>
                <w:sz w:val="14"/>
                <w:szCs w:val="14"/>
              </w:rPr>
            </w:pPr>
            <w:r w:rsidRPr="00CB0E0C">
              <w:rPr>
                <w:rFonts w:ascii="Times New Roman" w:hAnsi="Times New Roman"/>
                <w:b/>
                <w:bCs/>
                <w:sz w:val="14"/>
                <w:szCs w:val="14"/>
              </w:rPr>
              <w:t>Prebytok</w:t>
            </w:r>
            <w:r w:rsidRPr="00CB0E0C" w:rsidR="00BF78C5">
              <w:rPr>
                <w:rFonts w:ascii="Times New Roman" w:hAnsi="Times New Roman"/>
                <w:b/>
                <w:bCs/>
                <w:sz w:val="14"/>
                <w:szCs w:val="14"/>
              </w:rPr>
              <w:t xml:space="preserve">(+) </w:t>
            </w:r>
            <w:r w:rsidRPr="00CB0E0C">
              <w:rPr>
                <w:rFonts w:ascii="Times New Roman" w:hAnsi="Times New Roman"/>
                <w:b/>
                <w:bCs/>
                <w:sz w:val="14"/>
                <w:szCs w:val="14"/>
              </w:rPr>
              <w:t>/schodok</w:t>
            </w:r>
            <w:r w:rsidRPr="00CB0E0C" w:rsidR="00BF78C5">
              <w:rPr>
                <w:rFonts w:ascii="Times New Roman" w:hAnsi="Times New Roman"/>
                <w:b/>
                <w:bCs/>
                <w:sz w:val="14"/>
                <w:szCs w:val="14"/>
              </w:rPr>
              <w:t>(</w:t>
            </w:r>
            <w:r w:rsidRPr="00CB0E0C">
              <w:rPr>
                <w:rFonts w:ascii="Times New Roman" w:hAnsi="Times New Roman"/>
                <w:b/>
                <w:bCs/>
                <w:sz w:val="14"/>
                <w:szCs w:val="14"/>
              </w:rPr>
              <w:t>-)</w:t>
            </w:r>
            <w:r w:rsidRPr="00CB0E0C" w:rsidR="00BF78C5">
              <w:rPr>
                <w:rFonts w:ascii="Times New Roman" w:hAnsi="Times New Roman"/>
                <w:b/>
                <w:bCs/>
                <w:sz w:val="14"/>
                <w:szCs w:val="14"/>
              </w:rPr>
              <w:t xml:space="preserve"> </w:t>
            </w:r>
            <w:r w:rsidRPr="00CB0E0C">
              <w:rPr>
                <w:rFonts w:ascii="Times New Roman" w:hAnsi="Times New Roman"/>
                <w:b/>
                <w:bCs/>
                <w:sz w:val="14"/>
                <w:szCs w:val="14"/>
              </w:rPr>
              <w:t>zdravotníckych zariadení (ESA 2010)</w:t>
            </w:r>
          </w:p>
        </w:tc>
        <w:tc>
          <w:tcPr>
            <w:tcW w:w="793" w:type="dxa"/>
            <w:tcBorders>
              <w:top w:val="single" w:sz="4" w:space="0" w:color="auto"/>
              <w:left w:val="single" w:sz="4" w:space="0" w:color="auto"/>
              <w:bottom w:val="single" w:sz="4" w:space="0" w:color="auto"/>
              <w:right w:val="single" w:sz="4" w:space="0" w:color="auto"/>
            </w:tcBorders>
            <w:shd w:val="pct25" w:color="auto" w:fill="auto"/>
            <w:noWrap/>
            <w:textDirection w:val="lrTb"/>
            <w:vAlign w:val="center"/>
            <w:hideMark/>
          </w:tcPr>
          <w:p w:rsidR="0094530F" w:rsidRPr="00CB0E0C" w:rsidP="003553EB">
            <w:pPr>
              <w:bidi w:val="0"/>
              <w:jc w:val="right"/>
              <w:rPr>
                <w:rFonts w:ascii="Times New Roman" w:hAnsi="Times New Roman"/>
                <w:b/>
                <w:bCs/>
                <w:sz w:val="14"/>
                <w:szCs w:val="14"/>
              </w:rPr>
            </w:pPr>
            <w:r w:rsidRPr="00CB0E0C">
              <w:rPr>
                <w:rFonts w:ascii="Times New Roman" w:hAnsi="Times New Roman"/>
                <w:b/>
                <w:bCs/>
                <w:sz w:val="14"/>
                <w:szCs w:val="14"/>
              </w:rPr>
              <w:t>-30 198</w:t>
            </w:r>
          </w:p>
        </w:tc>
        <w:tc>
          <w:tcPr>
            <w:tcW w:w="793" w:type="dxa"/>
            <w:tcBorders>
              <w:top w:val="single" w:sz="4" w:space="0" w:color="auto"/>
              <w:left w:val="nil"/>
              <w:bottom w:val="single" w:sz="4" w:space="0" w:color="auto"/>
              <w:right w:val="single" w:sz="4" w:space="0" w:color="auto"/>
            </w:tcBorders>
            <w:shd w:val="pct25" w:color="auto" w:fill="auto"/>
            <w:noWrap/>
            <w:textDirection w:val="lrTb"/>
            <w:vAlign w:val="center"/>
            <w:hideMark/>
          </w:tcPr>
          <w:p w:rsidR="0094530F" w:rsidRPr="00CB0E0C" w:rsidP="003553EB">
            <w:pPr>
              <w:bidi w:val="0"/>
              <w:jc w:val="right"/>
              <w:rPr>
                <w:rFonts w:ascii="Times New Roman" w:hAnsi="Times New Roman"/>
                <w:b/>
                <w:bCs/>
                <w:sz w:val="14"/>
                <w:szCs w:val="14"/>
              </w:rPr>
            </w:pPr>
            <w:r w:rsidRPr="00CB0E0C">
              <w:rPr>
                <w:rFonts w:ascii="Times New Roman" w:hAnsi="Times New Roman"/>
                <w:b/>
                <w:bCs/>
                <w:sz w:val="14"/>
                <w:szCs w:val="14"/>
              </w:rPr>
              <w:t>-61 935</w:t>
            </w:r>
          </w:p>
        </w:tc>
        <w:tc>
          <w:tcPr>
            <w:tcW w:w="793" w:type="dxa"/>
            <w:tcBorders>
              <w:top w:val="single" w:sz="4" w:space="0" w:color="auto"/>
              <w:left w:val="nil"/>
              <w:bottom w:val="single" w:sz="4" w:space="0" w:color="auto"/>
              <w:right w:val="single" w:sz="4" w:space="0" w:color="auto"/>
            </w:tcBorders>
            <w:shd w:val="pct25" w:color="auto" w:fill="auto"/>
            <w:textDirection w:val="lrTb"/>
            <w:vAlign w:val="top"/>
          </w:tcPr>
          <w:p w:rsidR="0094530F" w:rsidRPr="00CB0E0C" w:rsidP="003553EB">
            <w:pPr>
              <w:bidi w:val="0"/>
              <w:jc w:val="center"/>
              <w:rPr>
                <w:rFonts w:ascii="Times New Roman" w:hAnsi="Times New Roman"/>
                <w:b/>
              </w:rPr>
            </w:pPr>
            <w:r w:rsidRPr="00CB0E0C">
              <w:rPr>
                <w:rFonts w:ascii="Times New Roman" w:hAnsi="Times New Roman"/>
                <w:b/>
              </w:rPr>
              <w:t>-</w:t>
            </w:r>
          </w:p>
        </w:tc>
        <w:tc>
          <w:tcPr>
            <w:tcW w:w="793" w:type="dxa"/>
            <w:tcBorders>
              <w:top w:val="single" w:sz="4" w:space="0" w:color="auto"/>
              <w:left w:val="single" w:sz="4" w:space="0" w:color="auto"/>
              <w:bottom w:val="single" w:sz="4" w:space="0" w:color="auto"/>
              <w:right w:val="single" w:sz="4" w:space="0" w:color="auto"/>
            </w:tcBorders>
            <w:shd w:val="pct25" w:color="auto" w:fill="auto"/>
            <w:noWrap/>
            <w:textDirection w:val="lrTb"/>
            <w:vAlign w:val="center"/>
            <w:hideMark/>
          </w:tcPr>
          <w:p w:rsidR="0094530F" w:rsidRPr="00CB0E0C" w:rsidP="003553EB">
            <w:pPr>
              <w:bidi w:val="0"/>
              <w:jc w:val="right"/>
              <w:rPr>
                <w:rFonts w:ascii="Times New Roman" w:hAnsi="Times New Roman"/>
                <w:b/>
                <w:bCs/>
                <w:sz w:val="14"/>
                <w:szCs w:val="14"/>
              </w:rPr>
            </w:pPr>
            <w:r w:rsidRPr="00CB0E0C">
              <w:rPr>
                <w:rFonts w:ascii="Times New Roman" w:hAnsi="Times New Roman"/>
                <w:b/>
                <w:bCs/>
                <w:sz w:val="14"/>
                <w:szCs w:val="14"/>
              </w:rPr>
              <w:t>-50 160</w:t>
            </w:r>
          </w:p>
        </w:tc>
        <w:tc>
          <w:tcPr>
            <w:tcW w:w="793" w:type="dxa"/>
            <w:tcBorders>
              <w:top w:val="single" w:sz="4" w:space="0" w:color="auto"/>
              <w:left w:val="nil"/>
              <w:bottom w:val="single" w:sz="4" w:space="0" w:color="auto"/>
              <w:right w:val="single" w:sz="4" w:space="0" w:color="auto"/>
            </w:tcBorders>
            <w:shd w:val="pct25" w:color="auto" w:fill="auto"/>
            <w:noWrap/>
            <w:textDirection w:val="lrTb"/>
            <w:vAlign w:val="center"/>
            <w:hideMark/>
          </w:tcPr>
          <w:p w:rsidR="0094530F" w:rsidRPr="00CB0E0C" w:rsidP="003553EB">
            <w:pPr>
              <w:bidi w:val="0"/>
              <w:jc w:val="right"/>
              <w:rPr>
                <w:rFonts w:ascii="Times New Roman" w:hAnsi="Times New Roman"/>
                <w:b/>
                <w:bCs/>
                <w:sz w:val="14"/>
                <w:szCs w:val="14"/>
              </w:rPr>
            </w:pPr>
            <w:r w:rsidRPr="00CB0E0C">
              <w:rPr>
                <w:rFonts w:ascii="Times New Roman" w:hAnsi="Times New Roman"/>
                <w:b/>
                <w:bCs/>
                <w:sz w:val="14"/>
                <w:szCs w:val="14"/>
              </w:rPr>
              <w:t>-4 208</w:t>
            </w:r>
          </w:p>
        </w:tc>
        <w:tc>
          <w:tcPr>
            <w:tcW w:w="793" w:type="dxa"/>
            <w:tcBorders>
              <w:top w:val="single" w:sz="4" w:space="0" w:color="auto"/>
              <w:left w:val="nil"/>
              <w:bottom w:val="single" w:sz="4" w:space="0" w:color="auto"/>
              <w:right w:val="single" w:sz="4" w:space="0" w:color="auto"/>
            </w:tcBorders>
            <w:shd w:val="pct25" w:color="auto" w:fill="auto"/>
            <w:noWrap/>
            <w:textDirection w:val="lrTb"/>
            <w:vAlign w:val="center"/>
            <w:hideMark/>
          </w:tcPr>
          <w:p w:rsidR="0094530F" w:rsidRPr="00CB0E0C" w:rsidP="003553EB">
            <w:pPr>
              <w:bidi w:val="0"/>
              <w:jc w:val="right"/>
              <w:rPr>
                <w:rFonts w:ascii="Times New Roman" w:hAnsi="Times New Roman"/>
                <w:b/>
                <w:bCs/>
                <w:sz w:val="14"/>
                <w:szCs w:val="14"/>
              </w:rPr>
            </w:pPr>
            <w:r w:rsidRPr="00CB0E0C">
              <w:rPr>
                <w:rFonts w:ascii="Times New Roman" w:hAnsi="Times New Roman"/>
                <w:b/>
                <w:bCs/>
                <w:sz w:val="14"/>
                <w:szCs w:val="14"/>
              </w:rPr>
              <w:t>-2 423</w:t>
            </w:r>
          </w:p>
        </w:tc>
        <w:tc>
          <w:tcPr>
            <w:tcW w:w="793" w:type="dxa"/>
            <w:tcBorders>
              <w:top w:val="single" w:sz="4" w:space="0" w:color="auto"/>
              <w:left w:val="nil"/>
              <w:bottom w:val="single" w:sz="4" w:space="0" w:color="auto"/>
              <w:right w:val="single" w:sz="4" w:space="0" w:color="auto"/>
            </w:tcBorders>
            <w:shd w:val="pct25" w:color="auto" w:fill="auto"/>
            <w:noWrap/>
            <w:textDirection w:val="lrTb"/>
            <w:vAlign w:val="center"/>
            <w:hideMark/>
          </w:tcPr>
          <w:p w:rsidR="0094530F" w:rsidRPr="00CB0E0C" w:rsidP="003553EB">
            <w:pPr>
              <w:bidi w:val="0"/>
              <w:jc w:val="right"/>
              <w:rPr>
                <w:rFonts w:ascii="Times New Roman" w:hAnsi="Times New Roman"/>
                <w:b/>
                <w:bCs/>
                <w:sz w:val="14"/>
                <w:szCs w:val="14"/>
              </w:rPr>
            </w:pPr>
            <w:r w:rsidRPr="00CB0E0C">
              <w:rPr>
                <w:rFonts w:ascii="Times New Roman" w:hAnsi="Times New Roman"/>
                <w:b/>
                <w:bCs/>
                <w:sz w:val="14"/>
                <w:szCs w:val="14"/>
              </w:rPr>
              <w:t>8 688</w:t>
            </w:r>
          </w:p>
        </w:tc>
      </w:tr>
    </w:tbl>
    <w:p w:rsidR="0094530F" w:rsidRPr="00CB0E0C" w:rsidP="0094530F">
      <w:pPr>
        <w:bidi w:val="0"/>
        <w:jc w:val="both"/>
        <w:rPr>
          <w:rFonts w:ascii="Times New Roman" w:hAnsi="Times New Roman"/>
          <w:sz w:val="14"/>
          <w:szCs w:val="14"/>
        </w:rPr>
      </w:pPr>
      <w:r w:rsidRPr="00CB0E0C">
        <w:rPr>
          <w:rFonts w:ascii="Times New Roman" w:hAnsi="Times New Roman"/>
          <w:sz w:val="14"/>
          <w:szCs w:val="14"/>
        </w:rPr>
        <w:t xml:space="preserve">* </w:t>
      </w:r>
      <w:r w:rsidRPr="00CB0E0C" w:rsidR="004A0580">
        <w:rPr>
          <w:rFonts w:ascii="Times New Roman" w:hAnsi="Times New Roman"/>
          <w:sz w:val="14"/>
          <w:szCs w:val="14"/>
        </w:rPr>
        <w:t>S</w:t>
      </w:r>
      <w:r w:rsidRPr="00CB0E0C">
        <w:rPr>
          <w:rFonts w:ascii="Times New Roman" w:hAnsi="Times New Roman"/>
          <w:sz w:val="14"/>
          <w:szCs w:val="14"/>
        </w:rPr>
        <w:t>chodok v ESA 2010 za roky 2013 a 2014 je prebratý z notifikácie za príslušný rok</w:t>
      </w:r>
      <w:r w:rsidRPr="00CB0E0C" w:rsidR="008642CF">
        <w:rPr>
          <w:rFonts w:ascii="Times New Roman" w:hAnsi="Times New Roman"/>
          <w:sz w:val="14"/>
          <w:szCs w:val="14"/>
        </w:rPr>
        <w:t>.</w:t>
      </w:r>
    </w:p>
    <w:p w:rsidR="0094530F" w:rsidRPr="00CB0E0C" w:rsidP="0094530F">
      <w:pPr>
        <w:bidi w:val="0"/>
        <w:jc w:val="both"/>
        <w:rPr>
          <w:rFonts w:ascii="Times New Roman" w:hAnsi="Times New Roman"/>
          <w:b/>
          <w:u w:val="single"/>
        </w:rPr>
      </w:pPr>
    </w:p>
    <w:p w:rsidR="006C0389" w:rsidRPr="00C00234" w:rsidP="006C0389">
      <w:pPr>
        <w:bidi w:val="0"/>
        <w:jc w:val="both"/>
        <w:rPr>
          <w:rFonts w:ascii="Times New Roman" w:hAnsi="Times New Roman"/>
          <w:b/>
          <w:u w:val="single"/>
        </w:rPr>
      </w:pPr>
    </w:p>
    <w:p w:rsidR="006C0389" w:rsidP="006C0389">
      <w:pPr>
        <w:bidi w:val="0"/>
        <w:ind w:firstLine="708"/>
        <w:jc w:val="both"/>
        <w:rPr>
          <w:rFonts w:ascii="Times New Roman" w:hAnsi="Times New Roman"/>
        </w:rPr>
      </w:pPr>
      <w:r w:rsidRPr="00C00234">
        <w:rPr>
          <w:rFonts w:ascii="Times New Roman" w:hAnsi="Times New Roman"/>
        </w:rPr>
        <w:t xml:space="preserve">Celkový limit príjmov </w:t>
      </w:r>
      <w:r>
        <w:rPr>
          <w:rFonts w:ascii="Times New Roman" w:hAnsi="Times New Roman"/>
        </w:rPr>
        <w:t>zdravotníckych zariadení v roku 2016</w:t>
      </w:r>
      <w:r w:rsidRPr="00C00234">
        <w:rPr>
          <w:rFonts w:ascii="Times New Roman" w:hAnsi="Times New Roman"/>
        </w:rPr>
        <w:t xml:space="preserve"> predstavuje výšku </w:t>
      </w:r>
      <w:r w:rsidR="002A0DAC">
        <w:rPr>
          <w:rFonts w:ascii="Times New Roman" w:hAnsi="Times New Roman"/>
        </w:rPr>
        <w:t xml:space="preserve">      </w:t>
      </w:r>
      <w:r>
        <w:rPr>
          <w:rFonts w:ascii="Times New Roman" w:hAnsi="Times New Roman"/>
        </w:rPr>
        <w:t>1,44</w:t>
      </w:r>
      <w:r w:rsidRPr="00C00234">
        <w:rPr>
          <w:rFonts w:ascii="Times New Roman" w:hAnsi="Times New Roman"/>
        </w:rPr>
        <w:t xml:space="preserve"> ml</w:t>
      </w:r>
      <w:r>
        <w:rPr>
          <w:rFonts w:ascii="Times New Roman" w:hAnsi="Times New Roman"/>
        </w:rPr>
        <w:t>d</w:t>
      </w:r>
      <w:r w:rsidRPr="00C00234">
        <w:rPr>
          <w:rFonts w:ascii="Times New Roman" w:hAnsi="Times New Roman"/>
        </w:rPr>
        <w:t xml:space="preserve">. eur. Tieto pozostávajú </w:t>
      </w:r>
      <w:r>
        <w:rPr>
          <w:rFonts w:ascii="Times New Roman" w:hAnsi="Times New Roman"/>
        </w:rPr>
        <w:t xml:space="preserve">najmä z poplatkov a platieb za poskytovanie zdravotnej starostlivosti </w:t>
      </w:r>
      <w:r>
        <w:rPr>
          <w:rFonts w:ascii="Times New Roman" w:hAnsi="Times New Roman"/>
          <w:color w:val="000000"/>
        </w:rPr>
        <w:t xml:space="preserve">a služieb súvisiacich s poskytovaním zdravotnej starostlivosti </w:t>
      </w:r>
      <w:r>
        <w:rPr>
          <w:rFonts w:ascii="Times New Roman" w:hAnsi="Times New Roman"/>
        </w:rPr>
        <w:t>a zo zostatku prostriedkov z predchádzajúcich rokov</w:t>
      </w:r>
      <w:r w:rsidRPr="00C00234">
        <w:rPr>
          <w:rFonts w:ascii="Times New Roman" w:hAnsi="Times New Roman"/>
        </w:rPr>
        <w:t xml:space="preserve">. </w:t>
      </w:r>
    </w:p>
    <w:p w:rsidR="006C0389" w:rsidRPr="002A0DAC" w:rsidP="006C0389">
      <w:pPr>
        <w:bidi w:val="0"/>
        <w:jc w:val="both"/>
        <w:rPr>
          <w:rFonts w:ascii="Times New Roman" w:hAnsi="Times New Roman"/>
          <w:sz w:val="16"/>
          <w:szCs w:val="16"/>
        </w:rPr>
      </w:pPr>
    </w:p>
    <w:p w:rsidR="006C0389" w:rsidP="006C0389">
      <w:pPr>
        <w:bidi w:val="0"/>
        <w:ind w:firstLine="708"/>
        <w:jc w:val="both"/>
        <w:rPr>
          <w:rFonts w:ascii="Times New Roman" w:hAnsi="Times New Roman"/>
        </w:rPr>
      </w:pPr>
      <w:r>
        <w:rPr>
          <w:rFonts w:ascii="Times New Roman" w:hAnsi="Times New Roman"/>
        </w:rPr>
        <w:t>V</w:t>
      </w:r>
      <w:r w:rsidRPr="00C00234">
        <w:rPr>
          <w:rFonts w:ascii="Times New Roman" w:hAnsi="Times New Roman"/>
        </w:rPr>
        <w:t xml:space="preserve">ýdavky </w:t>
      </w:r>
      <w:r>
        <w:rPr>
          <w:rFonts w:ascii="Times New Roman" w:hAnsi="Times New Roman"/>
        </w:rPr>
        <w:t xml:space="preserve">zdravotníckych zariadení </w:t>
      </w:r>
      <w:r w:rsidRPr="00C00234">
        <w:rPr>
          <w:rFonts w:ascii="Times New Roman" w:hAnsi="Times New Roman"/>
        </w:rPr>
        <w:t xml:space="preserve">na rok 2016 sa rozpočtujú v sume </w:t>
      </w:r>
      <w:r>
        <w:rPr>
          <w:rFonts w:ascii="Times New Roman" w:hAnsi="Times New Roman"/>
        </w:rPr>
        <w:t>1,37</w:t>
      </w:r>
      <w:r w:rsidRPr="00C00234">
        <w:rPr>
          <w:rFonts w:ascii="Times New Roman" w:hAnsi="Times New Roman"/>
        </w:rPr>
        <w:t xml:space="preserve"> ml</w:t>
      </w:r>
      <w:r>
        <w:rPr>
          <w:rFonts w:ascii="Times New Roman" w:hAnsi="Times New Roman"/>
        </w:rPr>
        <w:t>d</w:t>
      </w:r>
      <w:r w:rsidRPr="00C00234">
        <w:rPr>
          <w:rFonts w:ascii="Times New Roman" w:hAnsi="Times New Roman"/>
        </w:rPr>
        <w:t>. eur</w:t>
      </w:r>
      <w:r>
        <w:rPr>
          <w:rFonts w:ascii="Times New Roman" w:hAnsi="Times New Roman"/>
        </w:rPr>
        <w:t>, ktoré sú určené na zabezpečenie výkonov súvisiacich s poskytovaním zdravotníckej starostlivosti.</w:t>
      </w:r>
    </w:p>
    <w:p w:rsidR="006C0389" w:rsidRPr="002A0DAC" w:rsidP="006C0389">
      <w:pPr>
        <w:bidi w:val="0"/>
        <w:ind w:firstLine="708"/>
        <w:jc w:val="both"/>
        <w:rPr>
          <w:rFonts w:ascii="Times New Roman" w:hAnsi="Times New Roman"/>
          <w:sz w:val="16"/>
          <w:szCs w:val="16"/>
        </w:rPr>
      </w:pPr>
    </w:p>
    <w:p w:rsidR="006C0389" w:rsidP="006C0389">
      <w:pPr>
        <w:bidi w:val="0"/>
        <w:ind w:firstLine="708"/>
        <w:jc w:val="both"/>
        <w:rPr>
          <w:rFonts w:ascii="Times New Roman" w:hAnsi="Times New Roman"/>
        </w:rPr>
      </w:pPr>
      <w:r w:rsidRPr="00CA2DB7">
        <w:rPr>
          <w:rFonts w:ascii="Times New Roman" w:hAnsi="Times New Roman"/>
        </w:rPr>
        <w:t>Bežné výdavky na rok 201</w:t>
      </w:r>
      <w:r>
        <w:rPr>
          <w:rFonts w:ascii="Times New Roman" w:hAnsi="Times New Roman"/>
        </w:rPr>
        <w:t>6</w:t>
      </w:r>
      <w:r w:rsidRPr="00CA2DB7">
        <w:rPr>
          <w:rFonts w:ascii="Times New Roman" w:hAnsi="Times New Roman"/>
        </w:rPr>
        <w:t xml:space="preserve"> </w:t>
      </w:r>
      <w:r>
        <w:rPr>
          <w:rFonts w:ascii="Times New Roman" w:hAnsi="Times New Roman"/>
        </w:rPr>
        <w:t>sú rozpočtované v sume 1,33 mld. eur, k</w:t>
      </w:r>
      <w:r w:rsidRPr="000E4AF3">
        <w:rPr>
          <w:rFonts w:ascii="Times New Roman" w:hAnsi="Times New Roman"/>
        </w:rPr>
        <w:t xml:space="preserve">apitálové výdavky </w:t>
      </w:r>
      <w:r>
        <w:rPr>
          <w:rFonts w:ascii="Times New Roman" w:hAnsi="Times New Roman"/>
        </w:rPr>
        <w:t>v sume 34,9 mil. eur.</w:t>
      </w:r>
    </w:p>
    <w:p w:rsidR="006C0389" w:rsidRPr="00BA2519" w:rsidP="006C0389">
      <w:pPr>
        <w:bidi w:val="0"/>
        <w:ind w:firstLine="708"/>
        <w:jc w:val="both"/>
        <w:rPr>
          <w:rFonts w:ascii="Times New Roman" w:hAnsi="Times New Roman"/>
          <w:sz w:val="16"/>
          <w:szCs w:val="16"/>
        </w:rPr>
      </w:pPr>
    </w:p>
    <w:p w:rsidR="006C0389" w:rsidP="006C0389">
      <w:pPr>
        <w:bidi w:val="0"/>
        <w:jc w:val="both"/>
        <w:rPr>
          <w:rFonts w:ascii="Arial Narrow" w:hAnsi="Arial Narrow" w:cs="Arial"/>
          <w:sz w:val="22"/>
          <w:szCs w:val="22"/>
        </w:rPr>
      </w:pPr>
      <w:r w:rsidRPr="000E4AF3">
        <w:rPr>
          <w:rFonts w:ascii="Times New Roman" w:hAnsi="Times New Roman"/>
        </w:rPr>
        <w:tab/>
      </w:r>
      <w:r w:rsidRPr="00C9762D">
        <w:rPr>
          <w:rFonts w:ascii="Times New Roman" w:hAnsi="Times New Roman"/>
        </w:rPr>
        <w:t xml:space="preserve">Celkový hotovostný prebytok </w:t>
      </w:r>
      <w:r>
        <w:rPr>
          <w:rFonts w:ascii="Times New Roman" w:hAnsi="Times New Roman"/>
        </w:rPr>
        <w:t>zdravotníckych zariaden</w:t>
      </w:r>
      <w:r w:rsidR="006244B6">
        <w:rPr>
          <w:rFonts w:ascii="Times New Roman" w:hAnsi="Times New Roman"/>
        </w:rPr>
        <w:t>í</w:t>
      </w:r>
      <w:r w:rsidRPr="00C9762D">
        <w:rPr>
          <w:rFonts w:ascii="Times New Roman" w:hAnsi="Times New Roman"/>
        </w:rPr>
        <w:t xml:space="preserve"> sa v roku 201</w:t>
      </w:r>
      <w:r>
        <w:rPr>
          <w:rFonts w:ascii="Times New Roman" w:hAnsi="Times New Roman"/>
        </w:rPr>
        <w:t>6</w:t>
      </w:r>
      <w:r w:rsidRPr="00C9762D">
        <w:rPr>
          <w:rFonts w:ascii="Times New Roman" w:hAnsi="Times New Roman"/>
        </w:rPr>
        <w:t xml:space="preserve"> predpokladá vo výške </w:t>
      </w:r>
      <w:r>
        <w:rPr>
          <w:rFonts w:ascii="Times New Roman" w:hAnsi="Times New Roman"/>
        </w:rPr>
        <w:t>72,3</w:t>
      </w:r>
      <w:r w:rsidRPr="00C9762D">
        <w:rPr>
          <w:rFonts w:ascii="Times New Roman" w:hAnsi="Times New Roman"/>
        </w:rPr>
        <w:t xml:space="preserve"> mil. eur, v roku 201</w:t>
      </w:r>
      <w:r>
        <w:rPr>
          <w:rFonts w:ascii="Times New Roman" w:hAnsi="Times New Roman"/>
        </w:rPr>
        <w:t>7</w:t>
      </w:r>
      <w:r w:rsidRPr="00C9762D">
        <w:rPr>
          <w:rFonts w:ascii="Times New Roman" w:hAnsi="Times New Roman"/>
        </w:rPr>
        <w:t xml:space="preserve"> sa predpokladá celkový prebytok na  úrovni </w:t>
      </w:r>
      <w:r>
        <w:rPr>
          <w:rFonts w:ascii="Times New Roman" w:hAnsi="Times New Roman"/>
        </w:rPr>
        <w:t>65,2</w:t>
      </w:r>
      <w:r w:rsidRPr="00C9762D">
        <w:rPr>
          <w:rFonts w:ascii="Times New Roman" w:hAnsi="Times New Roman"/>
        </w:rPr>
        <w:t xml:space="preserve"> mil. eur a v roku 201</w:t>
      </w:r>
      <w:r>
        <w:rPr>
          <w:rFonts w:ascii="Times New Roman" w:hAnsi="Times New Roman"/>
        </w:rPr>
        <w:t>8</w:t>
      </w:r>
      <w:r w:rsidRPr="00C9762D">
        <w:rPr>
          <w:rFonts w:ascii="Times New Roman" w:hAnsi="Times New Roman"/>
        </w:rPr>
        <w:t xml:space="preserve"> vo výške </w:t>
      </w:r>
      <w:r>
        <w:rPr>
          <w:rFonts w:ascii="Times New Roman" w:hAnsi="Times New Roman"/>
        </w:rPr>
        <w:t>66,9</w:t>
      </w:r>
      <w:r w:rsidRPr="00C9762D">
        <w:rPr>
          <w:rFonts w:ascii="Times New Roman" w:hAnsi="Times New Roman"/>
        </w:rPr>
        <w:t xml:space="preserve"> mil. eur. V metodike ESA</w:t>
      </w:r>
      <w:r>
        <w:rPr>
          <w:rFonts w:ascii="Times New Roman" w:hAnsi="Times New Roman"/>
        </w:rPr>
        <w:t xml:space="preserve"> 2010</w:t>
      </w:r>
      <w:r w:rsidRPr="00C9762D">
        <w:rPr>
          <w:rFonts w:ascii="Times New Roman" w:hAnsi="Times New Roman"/>
        </w:rPr>
        <w:t xml:space="preserve"> je predpokladaný </w:t>
      </w:r>
      <w:r>
        <w:rPr>
          <w:rFonts w:ascii="Times New Roman" w:hAnsi="Times New Roman"/>
        </w:rPr>
        <w:t>schodok</w:t>
      </w:r>
      <w:r w:rsidRPr="00C9762D">
        <w:rPr>
          <w:rFonts w:ascii="Times New Roman" w:hAnsi="Times New Roman"/>
        </w:rPr>
        <w:t xml:space="preserve"> hospodárenia </w:t>
      </w:r>
      <w:r w:rsidR="002821A2">
        <w:rPr>
          <w:rFonts w:ascii="Times New Roman" w:hAnsi="Times New Roman"/>
        </w:rPr>
        <w:t xml:space="preserve">zdravotníckych zariadení </w:t>
      </w:r>
      <w:r w:rsidRPr="00C9762D">
        <w:rPr>
          <w:rFonts w:ascii="Times New Roman" w:hAnsi="Times New Roman"/>
        </w:rPr>
        <w:t>v roku 201</w:t>
      </w:r>
      <w:r>
        <w:rPr>
          <w:rFonts w:ascii="Times New Roman" w:hAnsi="Times New Roman"/>
        </w:rPr>
        <w:t>6</w:t>
      </w:r>
      <w:r w:rsidRPr="00C9762D">
        <w:rPr>
          <w:rFonts w:ascii="Times New Roman" w:hAnsi="Times New Roman"/>
        </w:rPr>
        <w:t xml:space="preserve"> vo výške</w:t>
      </w:r>
      <w:r>
        <w:rPr>
          <w:rFonts w:ascii="Times New Roman" w:hAnsi="Times New Roman"/>
        </w:rPr>
        <w:t xml:space="preserve"> 4,21 </w:t>
      </w:r>
      <w:r w:rsidRPr="00C9762D">
        <w:rPr>
          <w:rFonts w:ascii="Times New Roman" w:hAnsi="Times New Roman"/>
        </w:rPr>
        <w:t>mil. eur, v roku 201</w:t>
      </w:r>
      <w:r>
        <w:rPr>
          <w:rFonts w:ascii="Times New Roman" w:hAnsi="Times New Roman"/>
        </w:rPr>
        <w:t>7</w:t>
      </w:r>
      <w:r w:rsidRPr="00C9762D">
        <w:rPr>
          <w:rFonts w:ascii="Times New Roman" w:hAnsi="Times New Roman"/>
        </w:rPr>
        <w:t xml:space="preserve"> </w:t>
      </w:r>
      <w:r>
        <w:rPr>
          <w:rFonts w:ascii="Times New Roman" w:hAnsi="Times New Roman"/>
        </w:rPr>
        <w:t>schodok</w:t>
      </w:r>
      <w:r w:rsidRPr="00C9762D">
        <w:rPr>
          <w:rFonts w:ascii="Times New Roman" w:hAnsi="Times New Roman"/>
        </w:rPr>
        <w:t xml:space="preserve"> vo výške </w:t>
      </w:r>
      <w:r>
        <w:rPr>
          <w:rFonts w:ascii="Times New Roman" w:hAnsi="Times New Roman"/>
        </w:rPr>
        <w:t>2,42</w:t>
      </w:r>
      <w:r w:rsidRPr="00C9762D">
        <w:rPr>
          <w:rFonts w:ascii="Times New Roman" w:hAnsi="Times New Roman"/>
        </w:rPr>
        <w:t xml:space="preserve"> mil. eur a v roku 201</w:t>
      </w:r>
      <w:r>
        <w:rPr>
          <w:rFonts w:ascii="Times New Roman" w:hAnsi="Times New Roman"/>
        </w:rPr>
        <w:t>8</w:t>
      </w:r>
      <w:r w:rsidRPr="00C9762D">
        <w:rPr>
          <w:rFonts w:ascii="Times New Roman" w:hAnsi="Times New Roman"/>
        </w:rPr>
        <w:t xml:space="preserve"> prebytok vo výške </w:t>
      </w:r>
      <w:r>
        <w:rPr>
          <w:rFonts w:ascii="Times New Roman" w:hAnsi="Times New Roman"/>
        </w:rPr>
        <w:t>8,69</w:t>
      </w:r>
      <w:r w:rsidRPr="00C9762D">
        <w:rPr>
          <w:rFonts w:ascii="Times New Roman" w:hAnsi="Times New Roman"/>
        </w:rPr>
        <w:t xml:space="preserve"> mil. eur</w:t>
      </w:r>
      <w:r w:rsidRPr="00C9762D">
        <w:rPr>
          <w:rFonts w:ascii="Arial Narrow" w:hAnsi="Arial Narrow" w:cs="Arial"/>
          <w:sz w:val="22"/>
          <w:szCs w:val="22"/>
        </w:rPr>
        <w:t>.</w:t>
      </w:r>
    </w:p>
    <w:p w:rsidR="006C0389" w:rsidP="006C0389">
      <w:pPr>
        <w:bidi w:val="0"/>
        <w:jc w:val="both"/>
        <w:rPr>
          <w:rFonts w:ascii="Times New Roman" w:hAnsi="Times New Roman"/>
        </w:rPr>
      </w:pPr>
    </w:p>
    <w:p w:rsidR="004F4345" w:rsidRPr="00AC354E" w:rsidP="006C0389">
      <w:pPr>
        <w:bidi w:val="0"/>
        <w:jc w:val="both"/>
        <w:rPr>
          <w:rFonts w:ascii="Times New Roman" w:hAnsi="Times New Roman"/>
          <w:b/>
          <w:bCs/>
        </w:rPr>
      </w:pPr>
      <w:r w:rsidR="006C0389">
        <w:rPr>
          <w:rFonts w:ascii="Times New Roman" w:hAnsi="Times New Roman"/>
          <w:b/>
          <w:bCs/>
        </w:rPr>
        <w:t>2</w:t>
      </w:r>
      <w:r>
        <w:rPr>
          <w:rFonts w:ascii="Times New Roman" w:hAnsi="Times New Roman"/>
          <w:b/>
          <w:bCs/>
        </w:rPr>
        <w:t>3</w:t>
      </w:r>
      <w:r w:rsidR="006C0389">
        <w:rPr>
          <w:rFonts w:ascii="Times New Roman" w:hAnsi="Times New Roman"/>
          <w:b/>
          <w:bCs/>
        </w:rPr>
        <w:t xml:space="preserve">. </w:t>
      </w:r>
      <w:r w:rsidRPr="00AC354E" w:rsidR="006C0389">
        <w:rPr>
          <w:rFonts w:ascii="Times New Roman" w:hAnsi="Times New Roman"/>
          <w:b/>
          <w:bCs/>
        </w:rPr>
        <w:t>Recyklačný fond</w:t>
      </w:r>
    </w:p>
    <w:p w:rsidR="006C0389" w:rsidRPr="002A0DAC" w:rsidP="006C0389">
      <w:pPr>
        <w:bidi w:val="0"/>
        <w:jc w:val="both"/>
        <w:rPr>
          <w:rFonts w:ascii="Times New Roman" w:hAnsi="Times New Roman"/>
          <w:sz w:val="16"/>
          <w:szCs w:val="16"/>
        </w:rPr>
      </w:pPr>
    </w:p>
    <w:p w:rsidR="002A0DAC" w:rsidP="002A0DAC">
      <w:pPr>
        <w:pStyle w:val="BodyTextIndent"/>
        <w:bidi w:val="0"/>
        <w:ind w:left="0" w:firstLine="708"/>
        <w:jc w:val="both"/>
        <w:rPr>
          <w:rFonts w:ascii="Times New Roman" w:hAnsi="Times New Roman"/>
          <w:noProof/>
          <w:szCs w:val="24"/>
          <w:lang w:eastAsia="sk-SK"/>
        </w:rPr>
      </w:pPr>
      <w:r w:rsidRPr="006C0389" w:rsidR="006C0389">
        <w:rPr>
          <w:rFonts w:ascii="Times New Roman" w:hAnsi="Times New Roman"/>
          <w:noProof/>
          <w:szCs w:val="24"/>
          <w:lang w:eastAsia="sk-SK"/>
        </w:rPr>
        <w:t xml:space="preserve">Recyklačný fond je neštátny účelový fond zriadený 1. júla 2001 zákonom </w:t>
      </w:r>
      <w:r w:rsidR="004F4345">
        <w:rPr>
          <w:rFonts w:ascii="Times New Roman" w:hAnsi="Times New Roman"/>
          <w:noProof/>
          <w:szCs w:val="24"/>
          <w:lang w:eastAsia="sk-SK"/>
        </w:rPr>
        <w:t xml:space="preserve">                  </w:t>
      </w:r>
      <w:r w:rsidRPr="006C0389" w:rsidR="006C0389">
        <w:rPr>
          <w:rFonts w:ascii="Times New Roman" w:hAnsi="Times New Roman"/>
          <w:noProof/>
          <w:szCs w:val="24"/>
          <w:lang w:eastAsia="sk-SK"/>
        </w:rPr>
        <w:t>č. 223/2001 Z. z., ktorý zhromažďuje finančné prostriedky dovozcov a výrobcov komodít povinných platiť príspevky v zmysle tohto zákona. Jeho primárnou funkciou je</w:t>
      </w:r>
      <w:r w:rsidR="004F4345">
        <w:rPr>
          <w:rFonts w:ascii="Times New Roman" w:hAnsi="Times New Roman"/>
          <w:noProof/>
          <w:szCs w:val="24"/>
          <w:lang w:eastAsia="sk-SK"/>
        </w:rPr>
        <w:t xml:space="preserve">                       </w:t>
      </w:r>
      <w:r w:rsidRPr="006C0389" w:rsidR="006C0389">
        <w:rPr>
          <w:rFonts w:ascii="Times New Roman" w:hAnsi="Times New Roman"/>
          <w:noProof/>
          <w:szCs w:val="24"/>
          <w:lang w:eastAsia="sk-SK"/>
        </w:rPr>
        <w:t xml:space="preserve"> z vyzbieraných finančných prostriedkov podporovať formou dotáci</w:t>
      </w:r>
      <w:r w:rsidR="004F4345">
        <w:rPr>
          <w:rFonts w:ascii="Times New Roman" w:hAnsi="Times New Roman"/>
          <w:noProof/>
          <w:szCs w:val="24"/>
          <w:lang w:eastAsia="sk-SK"/>
        </w:rPr>
        <w:t>í a úverov projekty zakladajúce</w:t>
      </w:r>
      <w:r>
        <w:rPr>
          <w:rFonts w:ascii="Times New Roman" w:hAnsi="Times New Roman"/>
          <w:noProof/>
          <w:szCs w:val="24"/>
          <w:lang w:eastAsia="sk-SK"/>
        </w:rPr>
        <w:t xml:space="preserve"> </w:t>
      </w:r>
      <w:r w:rsidRPr="006C0389" w:rsidR="006C0389">
        <w:rPr>
          <w:rFonts w:ascii="Times New Roman" w:hAnsi="Times New Roman"/>
          <w:noProof/>
          <w:szCs w:val="24"/>
          <w:lang w:eastAsia="sk-SK"/>
        </w:rPr>
        <w:t xml:space="preserve">a rozvíjajúce triedený zber a zhodnotenie odpadov začlenených do kategórií </w:t>
      </w:r>
      <w:r w:rsidR="004F4345">
        <w:rPr>
          <w:rFonts w:ascii="Times New Roman" w:hAnsi="Times New Roman"/>
          <w:noProof/>
          <w:szCs w:val="24"/>
          <w:lang w:eastAsia="sk-SK"/>
        </w:rPr>
        <w:t xml:space="preserve">komodít </w:t>
      </w:r>
      <w:r w:rsidRPr="006C0389" w:rsidR="006C0389">
        <w:rPr>
          <w:rFonts w:ascii="Times New Roman" w:hAnsi="Times New Roman"/>
          <w:noProof/>
          <w:szCs w:val="24"/>
          <w:lang w:eastAsia="sk-SK"/>
        </w:rPr>
        <w:t>v zmysle tohto zákona a členenia fondu. Ďalšou funkciou je finančná podpora obciam a ich združeniam za separovanie odpadu a jeho odovzdávanie na ďalšie zhodnotenie.</w:t>
      </w:r>
    </w:p>
    <w:p w:rsidR="006C0389" w:rsidP="002A0DAC">
      <w:pPr>
        <w:pStyle w:val="BodyTextIndent"/>
        <w:bidi w:val="0"/>
        <w:ind w:left="0" w:firstLine="708"/>
        <w:jc w:val="both"/>
        <w:rPr>
          <w:rFonts w:ascii="Times New Roman" w:hAnsi="Times New Roman"/>
          <w:noProof/>
          <w:szCs w:val="24"/>
          <w:lang w:eastAsia="sk-SK"/>
        </w:rPr>
      </w:pPr>
      <w:r w:rsidRPr="006C0389">
        <w:rPr>
          <w:rFonts w:ascii="Times New Roman" w:hAnsi="Times New Roman"/>
          <w:noProof/>
          <w:szCs w:val="24"/>
          <w:lang w:eastAsia="sk-SK"/>
        </w:rPr>
        <w:t>Na základe prijatého zákona o odpadoch č. 223/2001 Z. z., Recyklačný fond sa zrušuje k 31. decembru 2016 a v zmysle tejto platnej legislatívy bol zostavený rozpočet na roky 2016 až 2018.</w:t>
      </w:r>
    </w:p>
    <w:p w:rsidR="002A0DAC" w:rsidRPr="002A0DAC" w:rsidP="002A0DAC">
      <w:pPr>
        <w:pStyle w:val="BodyTextIndent"/>
        <w:bidi w:val="0"/>
        <w:ind w:left="0" w:firstLine="708"/>
        <w:jc w:val="both"/>
        <w:rPr>
          <w:rFonts w:ascii="Times New Roman" w:hAnsi="Times New Roman"/>
          <w:noProof/>
          <w:sz w:val="16"/>
          <w:szCs w:val="16"/>
          <w:lang w:eastAsia="sk-SK"/>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tblPr>
      <w:tblGrid>
        <w:gridCol w:w="3370"/>
        <w:gridCol w:w="777"/>
        <w:gridCol w:w="741"/>
        <w:gridCol w:w="723"/>
        <w:gridCol w:w="753"/>
        <w:gridCol w:w="759"/>
        <w:gridCol w:w="741"/>
        <w:gridCol w:w="710"/>
      </w:tblGrid>
      <w:tr>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tblPrEx>
        <w:trPr>
          <w:trHeight w:val="280"/>
          <w:jc w:val="center"/>
        </w:trPr>
        <w:tc>
          <w:tcPr>
            <w:tcW w:w="0" w:type="auto"/>
            <w:tcBorders>
              <w:top w:val="single" w:sz="4" w:space="0" w:color="auto"/>
              <w:left w:val="single" w:sz="4" w:space="0" w:color="auto"/>
              <w:bottom w:val="single" w:sz="6" w:space="0" w:color="auto"/>
              <w:right w:val="single" w:sz="6" w:space="0" w:color="auto"/>
            </w:tcBorders>
            <w:shd w:val="clear" w:color="auto" w:fill="A6A6A6"/>
            <w:textDirection w:val="lrTb"/>
            <w:vAlign w:val="center"/>
            <w:hideMark/>
          </w:tcPr>
          <w:p w:rsidR="006C0389" w:rsidRPr="005830B5" w:rsidP="000008FE">
            <w:pPr>
              <w:bidi w:val="0"/>
              <w:rPr>
                <w:rFonts w:ascii="Times New Roman" w:hAnsi="Times New Roman"/>
                <w:b/>
                <w:bCs/>
                <w:iCs/>
                <w:sz w:val="16"/>
                <w:szCs w:val="16"/>
              </w:rPr>
            </w:pPr>
            <w:r w:rsidRPr="005830B5">
              <w:rPr>
                <w:rFonts w:ascii="Times New Roman" w:hAnsi="Times New Roman"/>
                <w:b/>
                <w:bCs/>
                <w:iCs/>
                <w:sz w:val="16"/>
                <w:szCs w:val="16"/>
              </w:rPr>
              <w:t>v tis. eur</w:t>
            </w:r>
          </w:p>
        </w:tc>
        <w:tc>
          <w:tcPr>
            <w:tcW w:w="777" w:type="dxa"/>
            <w:tcBorders>
              <w:top w:val="single" w:sz="4" w:space="0" w:color="auto"/>
              <w:left w:val="single" w:sz="6" w:space="0" w:color="auto"/>
              <w:bottom w:val="single" w:sz="6" w:space="0" w:color="auto"/>
              <w:right w:val="single" w:sz="6" w:space="0" w:color="auto"/>
            </w:tcBorders>
            <w:shd w:val="clear" w:color="auto" w:fill="A6A6A6"/>
            <w:textDirection w:val="lrTb"/>
            <w:vAlign w:val="center"/>
          </w:tcPr>
          <w:p w:rsidR="006C0389" w:rsidRPr="005830B5" w:rsidP="000008FE">
            <w:pPr>
              <w:bidi w:val="0"/>
              <w:jc w:val="center"/>
              <w:rPr>
                <w:rFonts w:ascii="Times New Roman" w:hAnsi="Times New Roman"/>
                <w:b/>
                <w:bCs/>
                <w:iCs/>
                <w:sz w:val="16"/>
                <w:szCs w:val="16"/>
              </w:rPr>
            </w:pPr>
            <w:r w:rsidRPr="005830B5">
              <w:rPr>
                <w:rFonts w:ascii="Times New Roman" w:hAnsi="Times New Roman"/>
                <w:b/>
                <w:bCs/>
                <w:iCs/>
                <w:sz w:val="16"/>
                <w:szCs w:val="16"/>
              </w:rPr>
              <w:t>2013 S</w:t>
            </w:r>
            <w:r w:rsidR="00AC21ED">
              <w:rPr>
                <w:rFonts w:ascii="Times New Roman" w:hAnsi="Times New Roman"/>
                <w:b/>
                <w:bCs/>
                <w:iCs/>
                <w:sz w:val="16"/>
                <w:szCs w:val="16"/>
              </w:rPr>
              <w:t>*</w:t>
            </w:r>
          </w:p>
        </w:tc>
        <w:tc>
          <w:tcPr>
            <w:tcW w:w="741" w:type="dxa"/>
            <w:tcBorders>
              <w:top w:val="single" w:sz="4" w:space="0" w:color="auto"/>
              <w:left w:val="single" w:sz="6" w:space="0" w:color="auto"/>
              <w:bottom w:val="single" w:sz="6" w:space="0" w:color="auto"/>
              <w:right w:val="single" w:sz="6" w:space="0" w:color="auto"/>
            </w:tcBorders>
            <w:shd w:val="clear" w:color="auto" w:fill="A6A6A6"/>
            <w:textDirection w:val="lrTb"/>
            <w:vAlign w:val="center"/>
          </w:tcPr>
          <w:p w:rsidR="006C0389" w:rsidRPr="005830B5" w:rsidP="000008FE">
            <w:pPr>
              <w:bidi w:val="0"/>
              <w:jc w:val="center"/>
              <w:rPr>
                <w:rFonts w:ascii="Times New Roman" w:hAnsi="Times New Roman"/>
                <w:b/>
                <w:bCs/>
                <w:iCs/>
                <w:sz w:val="16"/>
                <w:szCs w:val="16"/>
              </w:rPr>
            </w:pPr>
            <w:r w:rsidRPr="005830B5">
              <w:rPr>
                <w:rFonts w:ascii="Times New Roman" w:hAnsi="Times New Roman"/>
                <w:b/>
                <w:bCs/>
                <w:iCs/>
                <w:sz w:val="16"/>
                <w:szCs w:val="16"/>
              </w:rPr>
              <w:t>2014 S</w:t>
            </w:r>
            <w:r w:rsidR="00AC21ED">
              <w:rPr>
                <w:rFonts w:ascii="Times New Roman" w:hAnsi="Times New Roman"/>
                <w:b/>
                <w:bCs/>
                <w:iCs/>
                <w:sz w:val="16"/>
                <w:szCs w:val="16"/>
              </w:rPr>
              <w:t>*</w:t>
            </w:r>
          </w:p>
        </w:tc>
        <w:tc>
          <w:tcPr>
            <w:tcW w:w="723" w:type="dxa"/>
            <w:tcBorders>
              <w:top w:val="single" w:sz="4" w:space="0" w:color="auto"/>
              <w:left w:val="single" w:sz="6" w:space="0" w:color="auto"/>
              <w:bottom w:val="single" w:sz="6" w:space="0" w:color="auto"/>
              <w:right w:val="single" w:sz="6" w:space="0" w:color="auto"/>
            </w:tcBorders>
            <w:shd w:val="clear" w:color="auto" w:fill="A6A6A6"/>
            <w:textDirection w:val="lrTb"/>
            <w:vAlign w:val="center"/>
            <w:hideMark/>
          </w:tcPr>
          <w:p w:rsidR="006C0389" w:rsidRPr="005830B5" w:rsidP="000008FE">
            <w:pPr>
              <w:bidi w:val="0"/>
              <w:jc w:val="center"/>
              <w:rPr>
                <w:rFonts w:ascii="Times New Roman" w:hAnsi="Times New Roman"/>
                <w:b/>
                <w:bCs/>
                <w:sz w:val="16"/>
                <w:szCs w:val="16"/>
              </w:rPr>
            </w:pPr>
            <w:r w:rsidRPr="005830B5">
              <w:rPr>
                <w:rFonts w:ascii="Times New Roman" w:hAnsi="Times New Roman"/>
                <w:b/>
                <w:bCs/>
                <w:sz w:val="16"/>
                <w:szCs w:val="16"/>
              </w:rPr>
              <w:t>2015 R</w:t>
            </w:r>
          </w:p>
        </w:tc>
        <w:tc>
          <w:tcPr>
            <w:tcW w:w="753" w:type="dxa"/>
            <w:tcBorders>
              <w:top w:val="single" w:sz="4" w:space="0" w:color="auto"/>
              <w:left w:val="single" w:sz="6" w:space="0" w:color="auto"/>
              <w:bottom w:val="single" w:sz="6" w:space="0" w:color="auto"/>
              <w:right w:val="single" w:sz="6" w:space="0" w:color="auto"/>
            </w:tcBorders>
            <w:shd w:val="clear" w:color="auto" w:fill="A6A6A6"/>
            <w:textDirection w:val="lrTb"/>
            <w:vAlign w:val="center"/>
            <w:hideMark/>
          </w:tcPr>
          <w:p w:rsidR="006C0389" w:rsidRPr="005830B5" w:rsidP="000008FE">
            <w:pPr>
              <w:bidi w:val="0"/>
              <w:jc w:val="center"/>
              <w:rPr>
                <w:rFonts w:ascii="Times New Roman" w:hAnsi="Times New Roman"/>
                <w:b/>
                <w:bCs/>
                <w:sz w:val="16"/>
                <w:szCs w:val="16"/>
              </w:rPr>
            </w:pPr>
            <w:r w:rsidRPr="005830B5">
              <w:rPr>
                <w:rFonts w:ascii="Times New Roman" w:hAnsi="Times New Roman"/>
                <w:b/>
                <w:bCs/>
                <w:sz w:val="16"/>
                <w:szCs w:val="16"/>
              </w:rPr>
              <w:t>2015 OS</w:t>
            </w:r>
          </w:p>
        </w:tc>
        <w:tc>
          <w:tcPr>
            <w:tcW w:w="759" w:type="dxa"/>
            <w:tcBorders>
              <w:top w:val="single" w:sz="4" w:space="0" w:color="auto"/>
              <w:left w:val="single" w:sz="6" w:space="0" w:color="auto"/>
              <w:bottom w:val="single" w:sz="6" w:space="0" w:color="auto"/>
              <w:right w:val="single" w:sz="6" w:space="0" w:color="auto"/>
            </w:tcBorders>
            <w:shd w:val="clear" w:color="auto" w:fill="A6A6A6"/>
            <w:textDirection w:val="lrTb"/>
            <w:vAlign w:val="center"/>
            <w:hideMark/>
          </w:tcPr>
          <w:p w:rsidR="006C0389" w:rsidRPr="005830B5" w:rsidP="000008FE">
            <w:pPr>
              <w:bidi w:val="0"/>
              <w:jc w:val="center"/>
              <w:rPr>
                <w:rFonts w:ascii="Times New Roman" w:hAnsi="Times New Roman"/>
                <w:b/>
                <w:bCs/>
                <w:sz w:val="16"/>
                <w:szCs w:val="16"/>
              </w:rPr>
            </w:pPr>
            <w:r w:rsidRPr="005830B5">
              <w:rPr>
                <w:rFonts w:ascii="Times New Roman" w:hAnsi="Times New Roman"/>
                <w:b/>
                <w:bCs/>
                <w:sz w:val="16"/>
                <w:szCs w:val="16"/>
              </w:rPr>
              <w:t>2016 N</w:t>
            </w:r>
          </w:p>
        </w:tc>
        <w:tc>
          <w:tcPr>
            <w:tcW w:w="741" w:type="dxa"/>
            <w:tcBorders>
              <w:top w:val="single" w:sz="4" w:space="0" w:color="auto"/>
              <w:left w:val="single" w:sz="6" w:space="0" w:color="auto"/>
              <w:bottom w:val="single" w:sz="6" w:space="0" w:color="auto"/>
              <w:right w:val="single" w:sz="6" w:space="0" w:color="auto"/>
            </w:tcBorders>
            <w:shd w:val="clear" w:color="auto" w:fill="A6A6A6"/>
            <w:noWrap/>
            <w:textDirection w:val="lrTb"/>
            <w:vAlign w:val="center"/>
            <w:hideMark/>
          </w:tcPr>
          <w:p w:rsidR="006C0389" w:rsidRPr="005830B5" w:rsidP="000008FE">
            <w:pPr>
              <w:bidi w:val="0"/>
              <w:jc w:val="center"/>
              <w:rPr>
                <w:rFonts w:ascii="Times New Roman" w:hAnsi="Times New Roman"/>
                <w:b/>
                <w:bCs/>
                <w:sz w:val="16"/>
                <w:szCs w:val="16"/>
              </w:rPr>
            </w:pPr>
            <w:r w:rsidRPr="005830B5">
              <w:rPr>
                <w:rFonts w:ascii="Times New Roman" w:hAnsi="Times New Roman"/>
                <w:b/>
                <w:bCs/>
                <w:sz w:val="16"/>
                <w:szCs w:val="16"/>
              </w:rPr>
              <w:t>2017 N</w:t>
            </w:r>
          </w:p>
        </w:tc>
        <w:tc>
          <w:tcPr>
            <w:tcW w:w="710" w:type="dxa"/>
            <w:tcBorders>
              <w:top w:val="single" w:sz="4" w:space="0" w:color="auto"/>
              <w:left w:val="single" w:sz="6" w:space="0" w:color="auto"/>
              <w:bottom w:val="single" w:sz="6" w:space="0" w:color="auto"/>
              <w:right w:val="single" w:sz="4" w:space="0" w:color="auto"/>
            </w:tcBorders>
            <w:shd w:val="clear" w:color="auto" w:fill="A6A6A6"/>
            <w:noWrap/>
            <w:textDirection w:val="lrTb"/>
            <w:vAlign w:val="center"/>
            <w:hideMark/>
          </w:tcPr>
          <w:p w:rsidR="006C0389" w:rsidRPr="005830B5" w:rsidP="000008FE">
            <w:pPr>
              <w:bidi w:val="0"/>
              <w:jc w:val="center"/>
              <w:rPr>
                <w:rFonts w:ascii="Times New Roman" w:hAnsi="Times New Roman"/>
                <w:b/>
                <w:bCs/>
                <w:sz w:val="16"/>
                <w:szCs w:val="16"/>
              </w:rPr>
            </w:pPr>
            <w:r w:rsidRPr="005830B5">
              <w:rPr>
                <w:rFonts w:ascii="Times New Roman" w:hAnsi="Times New Roman"/>
                <w:b/>
                <w:bCs/>
                <w:sz w:val="16"/>
                <w:szCs w:val="16"/>
              </w:rPr>
              <w:t>2018 N</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shd w:val="clear" w:color="auto" w:fill="BFBFBF"/>
            <w:textDirection w:val="lrTb"/>
            <w:vAlign w:val="center"/>
            <w:hideMark/>
          </w:tcPr>
          <w:p w:rsidR="007757C9" w:rsidRPr="005830B5" w:rsidP="000008FE">
            <w:pPr>
              <w:bidi w:val="0"/>
              <w:rPr>
                <w:rFonts w:ascii="Times New Roman" w:hAnsi="Times New Roman"/>
                <w:b/>
                <w:bCs/>
                <w:iCs/>
                <w:sz w:val="16"/>
                <w:szCs w:val="16"/>
              </w:rPr>
            </w:pPr>
            <w:r w:rsidRPr="005830B5">
              <w:rPr>
                <w:rFonts w:ascii="Times New Roman" w:hAnsi="Times New Roman"/>
                <w:b/>
                <w:bCs/>
                <w:iCs/>
                <w:sz w:val="16"/>
                <w:szCs w:val="16"/>
              </w:rPr>
              <w:t>Príjmy RF  spolu</w:t>
            </w:r>
          </w:p>
        </w:tc>
        <w:tc>
          <w:tcPr>
            <w:tcW w:w="777" w:type="dxa"/>
            <w:tcBorders>
              <w:top w:val="single" w:sz="6" w:space="0" w:color="auto"/>
              <w:left w:val="single" w:sz="6" w:space="0" w:color="auto"/>
              <w:bottom w:val="single" w:sz="6" w:space="0" w:color="auto"/>
              <w:right w:val="single" w:sz="6" w:space="0" w:color="auto"/>
            </w:tcBorders>
            <w:shd w:val="clear" w:color="auto" w:fill="BFBFBF"/>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shd w:val="clear" w:color="auto" w:fill="BFBFBF"/>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shd w:val="clear" w:color="auto" w:fill="BFBFBF"/>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shd w:val="clear" w:color="auto" w:fill="BFBFBF"/>
            <w:textDirection w:val="lrTb"/>
            <w:vAlign w:val="bottom"/>
            <w:hideMark/>
          </w:tcPr>
          <w:p w:rsidR="007757C9" w:rsidRPr="00851AF2" w:rsidP="000008FE">
            <w:pPr>
              <w:bidi w:val="0"/>
              <w:jc w:val="right"/>
              <w:rPr>
                <w:rFonts w:ascii="Times New Roman" w:hAnsi="Times New Roman"/>
                <w:b/>
                <w:bCs/>
                <w:iCs/>
                <w:sz w:val="16"/>
                <w:szCs w:val="16"/>
              </w:rPr>
            </w:pPr>
            <w:r w:rsidRPr="00851AF2">
              <w:rPr>
                <w:rFonts w:ascii="Times New Roman" w:hAnsi="Times New Roman"/>
                <w:b/>
                <w:bCs/>
                <w:iCs/>
                <w:sz w:val="16"/>
                <w:szCs w:val="16"/>
              </w:rPr>
              <w:t>63 108</w:t>
            </w:r>
          </w:p>
        </w:tc>
        <w:tc>
          <w:tcPr>
            <w:tcW w:w="759" w:type="dxa"/>
            <w:tcBorders>
              <w:top w:val="single" w:sz="6" w:space="0" w:color="auto"/>
              <w:left w:val="single" w:sz="6" w:space="0" w:color="auto"/>
              <w:bottom w:val="single" w:sz="6" w:space="0" w:color="auto"/>
              <w:right w:val="single" w:sz="6" w:space="0" w:color="auto"/>
            </w:tcBorders>
            <w:shd w:val="clear" w:color="auto" w:fill="BFBFBF"/>
            <w:textDirection w:val="lrTb"/>
            <w:vAlign w:val="bottom"/>
            <w:hideMark/>
          </w:tcPr>
          <w:p w:rsidR="007757C9" w:rsidRPr="00851AF2" w:rsidP="000008FE">
            <w:pPr>
              <w:bidi w:val="0"/>
              <w:jc w:val="right"/>
              <w:rPr>
                <w:rFonts w:ascii="Times New Roman" w:hAnsi="Times New Roman"/>
                <w:b/>
                <w:bCs/>
                <w:iCs/>
                <w:sz w:val="16"/>
                <w:szCs w:val="16"/>
              </w:rPr>
            </w:pPr>
            <w:r w:rsidRPr="00851AF2">
              <w:rPr>
                <w:rFonts w:ascii="Times New Roman" w:hAnsi="Times New Roman"/>
                <w:b/>
                <w:bCs/>
                <w:iCs/>
                <w:sz w:val="16"/>
                <w:szCs w:val="16"/>
              </w:rPr>
              <w:t>39 126</w:t>
            </w:r>
          </w:p>
        </w:tc>
        <w:tc>
          <w:tcPr>
            <w:tcW w:w="741" w:type="dxa"/>
            <w:tcBorders>
              <w:top w:val="single" w:sz="6" w:space="0" w:color="auto"/>
              <w:left w:val="single" w:sz="6" w:space="0" w:color="auto"/>
              <w:bottom w:val="single" w:sz="6" w:space="0" w:color="auto"/>
              <w:right w:val="single" w:sz="6" w:space="0" w:color="auto"/>
            </w:tcBorders>
            <w:shd w:val="clear" w:color="auto" w:fill="BFBFBF"/>
            <w:textDirection w:val="lrTb"/>
            <w:vAlign w:val="bottom"/>
            <w:hideMark/>
          </w:tcPr>
          <w:p w:rsidR="007757C9" w:rsidRPr="005830B5" w:rsidP="000008FE">
            <w:pPr>
              <w:bidi w:val="0"/>
              <w:jc w:val="right"/>
              <w:rPr>
                <w:rFonts w:ascii="Times New Roman" w:hAnsi="Times New Roman"/>
                <w:b/>
                <w:bCs/>
                <w:sz w:val="16"/>
                <w:szCs w:val="16"/>
              </w:rPr>
            </w:pPr>
            <w:r>
              <w:rPr>
                <w:rFonts w:ascii="Times New Roman" w:hAnsi="Times New Roman"/>
                <w:b/>
                <w:bCs/>
                <w:sz w:val="16"/>
                <w:szCs w:val="16"/>
              </w:rPr>
              <w:t>0</w:t>
            </w:r>
          </w:p>
        </w:tc>
        <w:tc>
          <w:tcPr>
            <w:tcW w:w="710" w:type="dxa"/>
            <w:tcBorders>
              <w:top w:val="single" w:sz="6" w:space="0" w:color="auto"/>
              <w:left w:val="single" w:sz="6" w:space="0" w:color="auto"/>
              <w:bottom w:val="single" w:sz="6" w:space="0" w:color="auto"/>
              <w:right w:val="single" w:sz="4" w:space="0" w:color="auto"/>
            </w:tcBorders>
            <w:shd w:val="clear" w:color="auto" w:fill="BFBFBF"/>
            <w:textDirection w:val="lrTb"/>
            <w:vAlign w:val="bottom"/>
            <w:hideMark/>
          </w:tcPr>
          <w:p w:rsidR="007757C9" w:rsidRPr="005830B5" w:rsidP="000008FE">
            <w:pPr>
              <w:bidi w:val="0"/>
              <w:jc w:val="right"/>
              <w:rPr>
                <w:rFonts w:ascii="Times New Roman" w:hAnsi="Times New Roman"/>
                <w:b/>
                <w:bCs/>
                <w:sz w:val="16"/>
                <w:szCs w:val="16"/>
              </w:rPr>
            </w:pPr>
            <w:r>
              <w:rPr>
                <w:rFonts w:ascii="Times New Roman" w:hAnsi="Times New Roman"/>
                <w:b/>
                <w:bCs/>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textDirection w:val="lrTb"/>
            <w:vAlign w:val="center"/>
            <w:hideMark/>
          </w:tcPr>
          <w:p w:rsidR="007757C9" w:rsidRPr="005830B5" w:rsidP="000008FE">
            <w:pPr>
              <w:bidi w:val="0"/>
              <w:rPr>
                <w:rFonts w:ascii="Times New Roman" w:hAnsi="Times New Roman"/>
                <w:bCs/>
                <w:iCs/>
                <w:sz w:val="16"/>
                <w:szCs w:val="16"/>
              </w:rPr>
            </w:pPr>
            <w:r w:rsidRPr="005830B5">
              <w:rPr>
                <w:rFonts w:ascii="Times New Roman" w:hAnsi="Times New Roman"/>
                <w:color w:val="000000"/>
                <w:sz w:val="16"/>
                <w:szCs w:val="16"/>
              </w:rPr>
              <w:t xml:space="preserve">▪   </w:t>
            </w:r>
            <w:r w:rsidRPr="005830B5">
              <w:rPr>
                <w:rFonts w:ascii="Times New Roman" w:hAnsi="Times New Roman"/>
                <w:bCs/>
                <w:iCs/>
                <w:sz w:val="16"/>
                <w:szCs w:val="16"/>
              </w:rPr>
              <w:t>Nedaňové príjmy, v tom:</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bCs/>
                <w:iCs/>
                <w:sz w:val="16"/>
                <w:szCs w:val="16"/>
              </w:rPr>
            </w:pPr>
            <w:r w:rsidRPr="005830B5">
              <w:rPr>
                <w:rFonts w:ascii="Times New Roman" w:hAnsi="Times New Roman"/>
                <w:bCs/>
                <w:iCs/>
                <w:sz w:val="16"/>
                <w:szCs w:val="16"/>
              </w:rPr>
              <w:t>9 724</w:t>
            </w:r>
          </w:p>
        </w:tc>
        <w:tc>
          <w:tcPr>
            <w:tcW w:w="759"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bCs/>
                <w:iCs/>
                <w:sz w:val="16"/>
                <w:szCs w:val="16"/>
              </w:rPr>
            </w:pPr>
            <w:r w:rsidRPr="005830B5">
              <w:rPr>
                <w:rFonts w:ascii="Times New Roman" w:hAnsi="Times New Roman"/>
                <w:bCs/>
                <w:iCs/>
                <w:sz w:val="16"/>
                <w:szCs w:val="16"/>
              </w:rPr>
              <w:t>2 636</w:t>
            </w:r>
          </w:p>
        </w:tc>
        <w:tc>
          <w:tcPr>
            <w:tcW w:w="741"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bCs/>
                <w:iCs/>
                <w:sz w:val="16"/>
                <w:szCs w:val="16"/>
              </w:rPr>
            </w:pPr>
            <w:r w:rsidRPr="005830B5">
              <w:rPr>
                <w:rFonts w:ascii="Times New Roman" w:hAnsi="Times New Roman"/>
                <w:bCs/>
                <w:iCs/>
                <w:sz w:val="16"/>
                <w:szCs w:val="16"/>
              </w:rPr>
              <w:t>0</w:t>
            </w:r>
          </w:p>
        </w:tc>
        <w:tc>
          <w:tcPr>
            <w:tcW w:w="710" w:type="dxa"/>
            <w:tcBorders>
              <w:top w:val="single" w:sz="6" w:space="0" w:color="auto"/>
              <w:left w:val="single" w:sz="6" w:space="0" w:color="auto"/>
              <w:bottom w:val="single" w:sz="6" w:space="0" w:color="auto"/>
              <w:right w:val="single" w:sz="4" w:space="0" w:color="auto"/>
            </w:tcBorders>
            <w:textDirection w:val="lrTb"/>
            <w:vAlign w:val="bottom"/>
            <w:hideMark/>
          </w:tcPr>
          <w:p w:rsidR="007757C9" w:rsidRPr="005830B5" w:rsidP="000008FE">
            <w:pPr>
              <w:bidi w:val="0"/>
              <w:jc w:val="right"/>
              <w:rPr>
                <w:rFonts w:ascii="Times New Roman" w:hAnsi="Times New Roman"/>
                <w:bCs/>
                <w:iCs/>
                <w:sz w:val="16"/>
                <w:szCs w:val="16"/>
              </w:rPr>
            </w:pPr>
            <w:r w:rsidRPr="005830B5">
              <w:rPr>
                <w:rFonts w:ascii="Times New Roman" w:hAnsi="Times New Roman"/>
                <w:bCs/>
                <w:iCs/>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noWrap/>
            <w:textDirection w:val="lrTb"/>
            <w:vAlign w:val="center"/>
            <w:hideMark/>
          </w:tcPr>
          <w:p w:rsidR="007757C9" w:rsidRPr="005830B5" w:rsidP="000008FE">
            <w:pPr>
              <w:bidi w:val="0"/>
              <w:ind w:firstLine="160" w:firstLineChars="100"/>
              <w:rPr>
                <w:rFonts w:ascii="Times New Roman" w:hAnsi="Times New Roman"/>
                <w:sz w:val="16"/>
                <w:szCs w:val="16"/>
              </w:rPr>
            </w:pPr>
            <w:r w:rsidRPr="005830B5">
              <w:rPr>
                <w:rFonts w:ascii="Times New Roman" w:hAnsi="Times New Roman"/>
                <w:sz w:val="16"/>
                <w:szCs w:val="16"/>
              </w:rPr>
              <w:t>Úroky z domácich pôžičiek a vkladov</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550</w:t>
            </w:r>
          </w:p>
        </w:tc>
        <w:tc>
          <w:tcPr>
            <w:tcW w:w="759"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230</w:t>
            </w:r>
          </w:p>
        </w:tc>
        <w:tc>
          <w:tcPr>
            <w:tcW w:w="741"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c>
          <w:tcPr>
            <w:tcW w:w="710" w:type="dxa"/>
            <w:tcBorders>
              <w:top w:val="single" w:sz="6" w:space="0" w:color="auto"/>
              <w:left w:val="single" w:sz="6" w:space="0" w:color="auto"/>
              <w:bottom w:val="single" w:sz="6" w:space="0" w:color="auto"/>
              <w:right w:val="single" w:sz="4"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noWrap/>
            <w:textDirection w:val="lrTb"/>
            <w:vAlign w:val="center"/>
            <w:hideMark/>
          </w:tcPr>
          <w:p w:rsidR="007757C9" w:rsidRPr="005830B5" w:rsidP="000008FE">
            <w:pPr>
              <w:bidi w:val="0"/>
              <w:ind w:firstLine="160" w:firstLineChars="100"/>
              <w:rPr>
                <w:rFonts w:ascii="Times New Roman" w:hAnsi="Times New Roman"/>
                <w:sz w:val="16"/>
                <w:szCs w:val="16"/>
              </w:rPr>
            </w:pPr>
            <w:r w:rsidRPr="005830B5">
              <w:rPr>
                <w:rFonts w:ascii="Times New Roman" w:hAnsi="Times New Roman"/>
                <w:sz w:val="16"/>
                <w:szCs w:val="16"/>
              </w:rPr>
              <w:t>Iné nedaňové príjmy</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9 174</w:t>
            </w:r>
          </w:p>
        </w:tc>
        <w:tc>
          <w:tcPr>
            <w:tcW w:w="759"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2 406</w:t>
            </w:r>
          </w:p>
        </w:tc>
        <w:tc>
          <w:tcPr>
            <w:tcW w:w="741"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c>
          <w:tcPr>
            <w:tcW w:w="710" w:type="dxa"/>
            <w:tcBorders>
              <w:top w:val="single" w:sz="6" w:space="0" w:color="auto"/>
              <w:left w:val="single" w:sz="6" w:space="0" w:color="auto"/>
              <w:bottom w:val="single" w:sz="6" w:space="0" w:color="auto"/>
              <w:right w:val="single" w:sz="4"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noWrap/>
            <w:textDirection w:val="lrTb"/>
            <w:vAlign w:val="center"/>
            <w:hideMark/>
          </w:tcPr>
          <w:p w:rsidR="007757C9" w:rsidRPr="005830B5" w:rsidP="000008FE">
            <w:pPr>
              <w:bidi w:val="0"/>
              <w:rPr>
                <w:rFonts w:ascii="Times New Roman" w:hAnsi="Times New Roman"/>
                <w:bCs/>
                <w:iCs/>
                <w:sz w:val="16"/>
                <w:szCs w:val="16"/>
              </w:rPr>
            </w:pPr>
            <w:r w:rsidRPr="005830B5">
              <w:rPr>
                <w:rFonts w:ascii="Times New Roman" w:hAnsi="Times New Roman"/>
                <w:color w:val="000000"/>
                <w:sz w:val="16"/>
                <w:szCs w:val="16"/>
              </w:rPr>
              <w:t xml:space="preserve">▪  </w:t>
            </w:r>
            <w:r w:rsidRPr="005830B5">
              <w:rPr>
                <w:rFonts w:ascii="Times New Roman" w:hAnsi="Times New Roman"/>
                <w:bCs/>
                <w:iCs/>
                <w:sz w:val="16"/>
                <w:szCs w:val="16"/>
              </w:rPr>
              <w:t>Príjmy z transakcií s fin. akt. a pas., v tom: (FO)</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shd w:val="clear" w:color="000000" w:fill="FFFFFF"/>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shd w:val="clear" w:color="000000" w:fill="FFFFFF"/>
            <w:textDirection w:val="lrTb"/>
            <w:vAlign w:val="bottom"/>
            <w:hideMark/>
          </w:tcPr>
          <w:p w:rsidR="007757C9" w:rsidRPr="005830B5" w:rsidP="000008FE">
            <w:pPr>
              <w:bidi w:val="0"/>
              <w:jc w:val="right"/>
              <w:rPr>
                <w:rFonts w:ascii="Times New Roman" w:hAnsi="Times New Roman"/>
                <w:bCs/>
                <w:iCs/>
                <w:sz w:val="16"/>
                <w:szCs w:val="16"/>
              </w:rPr>
            </w:pPr>
            <w:r w:rsidRPr="005830B5">
              <w:rPr>
                <w:rFonts w:ascii="Times New Roman" w:hAnsi="Times New Roman"/>
                <w:bCs/>
                <w:iCs/>
                <w:sz w:val="16"/>
                <w:szCs w:val="16"/>
              </w:rPr>
              <w:t>53 384</w:t>
            </w:r>
          </w:p>
        </w:tc>
        <w:tc>
          <w:tcPr>
            <w:tcW w:w="759" w:type="dxa"/>
            <w:tcBorders>
              <w:top w:val="single" w:sz="6" w:space="0" w:color="auto"/>
              <w:left w:val="single" w:sz="6" w:space="0" w:color="auto"/>
              <w:bottom w:val="single" w:sz="6" w:space="0" w:color="auto"/>
              <w:right w:val="single" w:sz="6" w:space="0" w:color="auto"/>
            </w:tcBorders>
            <w:shd w:val="clear" w:color="000000" w:fill="FFFFFF"/>
            <w:textDirection w:val="lrTb"/>
            <w:vAlign w:val="bottom"/>
            <w:hideMark/>
          </w:tcPr>
          <w:p w:rsidR="007757C9" w:rsidRPr="005830B5" w:rsidP="000008FE">
            <w:pPr>
              <w:bidi w:val="0"/>
              <w:jc w:val="right"/>
              <w:rPr>
                <w:rFonts w:ascii="Times New Roman" w:hAnsi="Times New Roman"/>
                <w:bCs/>
                <w:iCs/>
                <w:sz w:val="16"/>
                <w:szCs w:val="16"/>
              </w:rPr>
            </w:pPr>
            <w:r w:rsidRPr="005830B5">
              <w:rPr>
                <w:rFonts w:ascii="Times New Roman" w:hAnsi="Times New Roman"/>
                <w:bCs/>
                <w:iCs/>
                <w:sz w:val="16"/>
                <w:szCs w:val="16"/>
              </w:rPr>
              <w:t>36 490</w:t>
            </w:r>
          </w:p>
        </w:tc>
        <w:tc>
          <w:tcPr>
            <w:tcW w:w="741" w:type="dxa"/>
            <w:tcBorders>
              <w:top w:val="single" w:sz="6" w:space="0" w:color="auto"/>
              <w:left w:val="single" w:sz="6" w:space="0" w:color="auto"/>
              <w:bottom w:val="single" w:sz="6" w:space="0" w:color="auto"/>
              <w:right w:val="single" w:sz="6" w:space="0" w:color="auto"/>
            </w:tcBorders>
            <w:shd w:val="clear" w:color="000000" w:fill="FFFFFF"/>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c>
          <w:tcPr>
            <w:tcW w:w="710" w:type="dxa"/>
            <w:tcBorders>
              <w:top w:val="single" w:sz="6" w:space="0" w:color="auto"/>
              <w:left w:val="single" w:sz="6" w:space="0" w:color="auto"/>
              <w:bottom w:val="single" w:sz="6" w:space="0" w:color="auto"/>
              <w:right w:val="single" w:sz="4" w:space="0" w:color="auto"/>
            </w:tcBorders>
            <w:shd w:val="clear" w:color="000000" w:fill="FFFFFF"/>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noWrap/>
            <w:textDirection w:val="lrTb"/>
            <w:vAlign w:val="center"/>
            <w:hideMark/>
          </w:tcPr>
          <w:p w:rsidR="007757C9" w:rsidRPr="005830B5" w:rsidP="000008FE">
            <w:pPr>
              <w:bidi w:val="0"/>
              <w:ind w:firstLine="160" w:firstLineChars="100"/>
              <w:rPr>
                <w:rFonts w:ascii="Times New Roman" w:hAnsi="Times New Roman"/>
                <w:sz w:val="16"/>
                <w:szCs w:val="16"/>
              </w:rPr>
            </w:pPr>
            <w:r w:rsidRPr="005830B5">
              <w:rPr>
                <w:rFonts w:ascii="Times New Roman" w:hAnsi="Times New Roman"/>
                <w:sz w:val="16"/>
                <w:szCs w:val="16"/>
              </w:rPr>
              <w:t xml:space="preserve">Zostatok prostr. z predch. roka </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53 384</w:t>
            </w:r>
          </w:p>
        </w:tc>
        <w:tc>
          <w:tcPr>
            <w:tcW w:w="759"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36 490</w:t>
            </w:r>
          </w:p>
        </w:tc>
        <w:tc>
          <w:tcPr>
            <w:tcW w:w="741"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c>
          <w:tcPr>
            <w:tcW w:w="710" w:type="dxa"/>
            <w:tcBorders>
              <w:top w:val="single" w:sz="6" w:space="0" w:color="auto"/>
              <w:left w:val="single" w:sz="6" w:space="0" w:color="auto"/>
              <w:bottom w:val="single" w:sz="6" w:space="0" w:color="auto"/>
              <w:right w:val="single" w:sz="4"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shd w:val="clear" w:color="auto" w:fill="BFBFBF"/>
            <w:noWrap/>
            <w:textDirection w:val="lrTb"/>
            <w:vAlign w:val="center"/>
            <w:hideMark/>
          </w:tcPr>
          <w:p w:rsidR="007757C9" w:rsidRPr="005830B5" w:rsidP="000008FE">
            <w:pPr>
              <w:bidi w:val="0"/>
              <w:rPr>
                <w:rFonts w:ascii="Times New Roman" w:hAnsi="Times New Roman"/>
                <w:b/>
                <w:bCs/>
                <w:iCs/>
                <w:sz w:val="16"/>
                <w:szCs w:val="16"/>
              </w:rPr>
            </w:pPr>
            <w:r w:rsidRPr="005830B5">
              <w:rPr>
                <w:rFonts w:ascii="Times New Roman" w:hAnsi="Times New Roman"/>
                <w:b/>
                <w:bCs/>
                <w:iCs/>
                <w:sz w:val="16"/>
                <w:szCs w:val="16"/>
              </w:rPr>
              <w:t>Výdavky RF spolu</w:t>
            </w:r>
          </w:p>
        </w:tc>
        <w:tc>
          <w:tcPr>
            <w:tcW w:w="777" w:type="dxa"/>
            <w:tcBorders>
              <w:top w:val="single" w:sz="6" w:space="0" w:color="auto"/>
              <w:left w:val="single" w:sz="6" w:space="0" w:color="auto"/>
              <w:bottom w:val="single" w:sz="6" w:space="0" w:color="auto"/>
              <w:right w:val="single" w:sz="6" w:space="0" w:color="auto"/>
            </w:tcBorders>
            <w:shd w:val="clear" w:color="auto" w:fill="BFBFBF"/>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shd w:val="clear" w:color="auto" w:fill="BFBFBF"/>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shd w:val="clear" w:color="auto" w:fill="BFBFBF"/>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shd w:val="clear" w:color="auto" w:fill="BFBFBF"/>
            <w:textDirection w:val="lrTb"/>
            <w:vAlign w:val="bottom"/>
            <w:hideMark/>
          </w:tcPr>
          <w:p w:rsidR="007757C9" w:rsidRPr="005830B5" w:rsidP="000008FE">
            <w:pPr>
              <w:bidi w:val="0"/>
              <w:jc w:val="right"/>
              <w:rPr>
                <w:rFonts w:ascii="Times New Roman" w:hAnsi="Times New Roman"/>
                <w:b/>
                <w:bCs/>
                <w:iCs/>
                <w:sz w:val="16"/>
                <w:szCs w:val="16"/>
              </w:rPr>
            </w:pPr>
            <w:r w:rsidRPr="005830B5">
              <w:rPr>
                <w:rFonts w:ascii="Times New Roman" w:hAnsi="Times New Roman"/>
                <w:b/>
                <w:bCs/>
                <w:iCs/>
                <w:sz w:val="16"/>
                <w:szCs w:val="16"/>
              </w:rPr>
              <w:t>26 618</w:t>
            </w:r>
          </w:p>
        </w:tc>
        <w:tc>
          <w:tcPr>
            <w:tcW w:w="759" w:type="dxa"/>
            <w:tcBorders>
              <w:top w:val="single" w:sz="6" w:space="0" w:color="auto"/>
              <w:left w:val="single" w:sz="6" w:space="0" w:color="auto"/>
              <w:bottom w:val="single" w:sz="6" w:space="0" w:color="auto"/>
              <w:right w:val="single" w:sz="6" w:space="0" w:color="auto"/>
            </w:tcBorders>
            <w:shd w:val="clear" w:color="auto" w:fill="BFBFBF"/>
            <w:textDirection w:val="lrTb"/>
            <w:vAlign w:val="bottom"/>
            <w:hideMark/>
          </w:tcPr>
          <w:p w:rsidR="007757C9" w:rsidRPr="005830B5" w:rsidP="000008FE">
            <w:pPr>
              <w:bidi w:val="0"/>
              <w:jc w:val="right"/>
              <w:rPr>
                <w:rFonts w:ascii="Times New Roman" w:hAnsi="Times New Roman"/>
                <w:b/>
                <w:bCs/>
                <w:iCs/>
                <w:sz w:val="16"/>
                <w:szCs w:val="16"/>
              </w:rPr>
            </w:pPr>
            <w:r w:rsidRPr="005830B5">
              <w:rPr>
                <w:rFonts w:ascii="Times New Roman" w:hAnsi="Times New Roman"/>
                <w:b/>
                <w:bCs/>
                <w:iCs/>
                <w:sz w:val="16"/>
                <w:szCs w:val="16"/>
              </w:rPr>
              <w:t>33 679</w:t>
            </w:r>
          </w:p>
        </w:tc>
        <w:tc>
          <w:tcPr>
            <w:tcW w:w="741" w:type="dxa"/>
            <w:tcBorders>
              <w:top w:val="single" w:sz="6" w:space="0" w:color="auto"/>
              <w:left w:val="single" w:sz="6" w:space="0" w:color="auto"/>
              <w:bottom w:val="single" w:sz="6" w:space="0" w:color="auto"/>
              <w:right w:val="single" w:sz="6" w:space="0" w:color="auto"/>
            </w:tcBorders>
            <w:shd w:val="clear" w:color="auto" w:fill="BFBFBF"/>
            <w:textDirection w:val="lrTb"/>
            <w:vAlign w:val="bottom"/>
            <w:hideMark/>
          </w:tcPr>
          <w:p w:rsidR="007757C9" w:rsidRPr="005830B5" w:rsidP="000008FE">
            <w:pPr>
              <w:bidi w:val="0"/>
              <w:jc w:val="right"/>
              <w:rPr>
                <w:rFonts w:ascii="Times New Roman" w:hAnsi="Times New Roman"/>
                <w:b/>
                <w:bCs/>
                <w:iCs/>
                <w:sz w:val="16"/>
                <w:szCs w:val="16"/>
              </w:rPr>
            </w:pPr>
            <w:r w:rsidRPr="005830B5">
              <w:rPr>
                <w:rFonts w:ascii="Times New Roman" w:hAnsi="Times New Roman"/>
                <w:b/>
                <w:bCs/>
                <w:iCs/>
                <w:sz w:val="16"/>
                <w:szCs w:val="16"/>
              </w:rPr>
              <w:t>0</w:t>
            </w:r>
          </w:p>
        </w:tc>
        <w:tc>
          <w:tcPr>
            <w:tcW w:w="710" w:type="dxa"/>
            <w:tcBorders>
              <w:top w:val="single" w:sz="6" w:space="0" w:color="auto"/>
              <w:left w:val="single" w:sz="6" w:space="0" w:color="auto"/>
              <w:bottom w:val="single" w:sz="6" w:space="0" w:color="auto"/>
              <w:right w:val="single" w:sz="4" w:space="0" w:color="auto"/>
            </w:tcBorders>
            <w:shd w:val="clear" w:color="auto" w:fill="BFBFBF"/>
            <w:textDirection w:val="lrTb"/>
            <w:vAlign w:val="bottom"/>
            <w:hideMark/>
          </w:tcPr>
          <w:p w:rsidR="007757C9" w:rsidRPr="005830B5" w:rsidP="000008FE">
            <w:pPr>
              <w:bidi w:val="0"/>
              <w:jc w:val="right"/>
              <w:rPr>
                <w:rFonts w:ascii="Times New Roman" w:hAnsi="Times New Roman"/>
                <w:b/>
                <w:bCs/>
                <w:iCs/>
                <w:sz w:val="16"/>
                <w:szCs w:val="16"/>
              </w:rPr>
            </w:pPr>
            <w:r w:rsidRPr="005830B5">
              <w:rPr>
                <w:rFonts w:ascii="Times New Roman" w:hAnsi="Times New Roman"/>
                <w:b/>
                <w:bCs/>
                <w:iCs/>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textDirection w:val="lrTb"/>
            <w:vAlign w:val="center"/>
            <w:hideMark/>
          </w:tcPr>
          <w:p w:rsidR="007757C9" w:rsidRPr="005830B5" w:rsidP="000008FE">
            <w:pPr>
              <w:bidi w:val="0"/>
              <w:rPr>
                <w:rFonts w:ascii="Times New Roman" w:hAnsi="Times New Roman"/>
                <w:bCs/>
                <w:iCs/>
                <w:sz w:val="16"/>
                <w:szCs w:val="16"/>
              </w:rPr>
            </w:pPr>
            <w:r w:rsidRPr="005830B5">
              <w:rPr>
                <w:rFonts w:ascii="Times New Roman" w:hAnsi="Times New Roman"/>
                <w:color w:val="000000"/>
                <w:sz w:val="16"/>
                <w:szCs w:val="16"/>
              </w:rPr>
              <w:t xml:space="preserve">▪  </w:t>
            </w:r>
            <w:r w:rsidRPr="005830B5">
              <w:rPr>
                <w:rFonts w:ascii="Times New Roman" w:hAnsi="Times New Roman"/>
                <w:bCs/>
                <w:iCs/>
                <w:sz w:val="16"/>
                <w:szCs w:val="16"/>
              </w:rPr>
              <w:t>Bežné výdavky, v tom:</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bCs/>
                <w:iCs/>
                <w:sz w:val="16"/>
                <w:szCs w:val="16"/>
              </w:rPr>
            </w:pPr>
            <w:r w:rsidRPr="005830B5">
              <w:rPr>
                <w:rFonts w:ascii="Times New Roman" w:hAnsi="Times New Roman"/>
                <w:bCs/>
                <w:iCs/>
                <w:sz w:val="16"/>
                <w:szCs w:val="16"/>
              </w:rPr>
              <w:t>14 001</w:t>
            </w:r>
          </w:p>
        </w:tc>
        <w:tc>
          <w:tcPr>
            <w:tcW w:w="759"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bCs/>
                <w:iCs/>
                <w:sz w:val="16"/>
                <w:szCs w:val="16"/>
              </w:rPr>
            </w:pPr>
            <w:r w:rsidRPr="005830B5">
              <w:rPr>
                <w:rFonts w:ascii="Times New Roman" w:hAnsi="Times New Roman"/>
                <w:bCs/>
                <w:iCs/>
                <w:sz w:val="16"/>
                <w:szCs w:val="16"/>
              </w:rPr>
              <w:t>10 162</w:t>
            </w:r>
          </w:p>
        </w:tc>
        <w:tc>
          <w:tcPr>
            <w:tcW w:w="741"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bCs/>
                <w:iCs/>
                <w:sz w:val="16"/>
                <w:szCs w:val="16"/>
              </w:rPr>
            </w:pPr>
            <w:r w:rsidRPr="005830B5">
              <w:rPr>
                <w:rFonts w:ascii="Times New Roman" w:hAnsi="Times New Roman"/>
                <w:bCs/>
                <w:iCs/>
                <w:sz w:val="16"/>
                <w:szCs w:val="16"/>
              </w:rPr>
              <w:t>0</w:t>
            </w:r>
          </w:p>
        </w:tc>
        <w:tc>
          <w:tcPr>
            <w:tcW w:w="710" w:type="dxa"/>
            <w:tcBorders>
              <w:top w:val="single" w:sz="6" w:space="0" w:color="auto"/>
              <w:left w:val="single" w:sz="6" w:space="0" w:color="auto"/>
              <w:bottom w:val="single" w:sz="6" w:space="0" w:color="auto"/>
              <w:right w:val="single" w:sz="4" w:space="0" w:color="auto"/>
            </w:tcBorders>
            <w:textDirection w:val="lrTb"/>
            <w:vAlign w:val="bottom"/>
            <w:hideMark/>
          </w:tcPr>
          <w:p w:rsidR="007757C9" w:rsidRPr="005830B5" w:rsidP="000008FE">
            <w:pPr>
              <w:bidi w:val="0"/>
              <w:jc w:val="right"/>
              <w:rPr>
                <w:rFonts w:ascii="Times New Roman" w:hAnsi="Times New Roman"/>
                <w:bCs/>
                <w:iCs/>
                <w:sz w:val="16"/>
                <w:szCs w:val="16"/>
              </w:rPr>
            </w:pPr>
            <w:r w:rsidRPr="005830B5">
              <w:rPr>
                <w:rFonts w:ascii="Times New Roman" w:hAnsi="Times New Roman"/>
                <w:bCs/>
                <w:iCs/>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noWrap/>
            <w:textDirection w:val="lrTb"/>
            <w:vAlign w:val="center"/>
            <w:hideMark/>
          </w:tcPr>
          <w:p w:rsidR="007757C9" w:rsidRPr="005830B5" w:rsidP="000008FE">
            <w:pPr>
              <w:bidi w:val="0"/>
              <w:ind w:firstLine="160" w:firstLineChars="100"/>
              <w:rPr>
                <w:rFonts w:ascii="Times New Roman" w:hAnsi="Times New Roman"/>
                <w:sz w:val="16"/>
                <w:szCs w:val="16"/>
              </w:rPr>
            </w:pPr>
            <w:r w:rsidRPr="005830B5">
              <w:rPr>
                <w:rFonts w:ascii="Times New Roman" w:hAnsi="Times New Roman"/>
                <w:sz w:val="16"/>
                <w:szCs w:val="16"/>
              </w:rPr>
              <w:t>Mzdy</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1 010</w:t>
            </w:r>
          </w:p>
        </w:tc>
        <w:tc>
          <w:tcPr>
            <w:tcW w:w="759"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779</w:t>
            </w:r>
          </w:p>
        </w:tc>
        <w:tc>
          <w:tcPr>
            <w:tcW w:w="741"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c>
          <w:tcPr>
            <w:tcW w:w="710" w:type="dxa"/>
            <w:tcBorders>
              <w:top w:val="single" w:sz="6" w:space="0" w:color="auto"/>
              <w:left w:val="single" w:sz="6" w:space="0" w:color="auto"/>
              <w:bottom w:val="single" w:sz="6" w:space="0" w:color="auto"/>
              <w:right w:val="single" w:sz="4"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noWrap/>
            <w:textDirection w:val="lrTb"/>
            <w:vAlign w:val="center"/>
            <w:hideMark/>
          </w:tcPr>
          <w:p w:rsidR="007757C9" w:rsidRPr="005830B5" w:rsidP="000008FE">
            <w:pPr>
              <w:bidi w:val="0"/>
              <w:ind w:firstLine="160" w:firstLineChars="100"/>
              <w:rPr>
                <w:rFonts w:ascii="Times New Roman" w:hAnsi="Times New Roman"/>
                <w:sz w:val="16"/>
                <w:szCs w:val="16"/>
              </w:rPr>
            </w:pPr>
            <w:r w:rsidRPr="005830B5">
              <w:rPr>
                <w:rFonts w:ascii="Times New Roman" w:hAnsi="Times New Roman"/>
                <w:sz w:val="16"/>
                <w:szCs w:val="16"/>
              </w:rPr>
              <w:t>Poistné</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291</w:t>
            </w:r>
          </w:p>
        </w:tc>
        <w:tc>
          <w:tcPr>
            <w:tcW w:w="759"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453</w:t>
            </w:r>
          </w:p>
        </w:tc>
        <w:tc>
          <w:tcPr>
            <w:tcW w:w="741"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c>
          <w:tcPr>
            <w:tcW w:w="710" w:type="dxa"/>
            <w:tcBorders>
              <w:top w:val="single" w:sz="6" w:space="0" w:color="auto"/>
              <w:left w:val="single" w:sz="6" w:space="0" w:color="auto"/>
              <w:bottom w:val="single" w:sz="6" w:space="0" w:color="auto"/>
              <w:right w:val="single" w:sz="4"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noWrap/>
            <w:textDirection w:val="lrTb"/>
            <w:vAlign w:val="center"/>
            <w:hideMark/>
          </w:tcPr>
          <w:p w:rsidR="007757C9" w:rsidRPr="005830B5" w:rsidP="000008FE">
            <w:pPr>
              <w:bidi w:val="0"/>
              <w:ind w:firstLine="160" w:firstLineChars="100"/>
              <w:rPr>
                <w:rFonts w:ascii="Times New Roman" w:hAnsi="Times New Roman"/>
                <w:sz w:val="16"/>
                <w:szCs w:val="16"/>
              </w:rPr>
            </w:pPr>
            <w:r w:rsidRPr="005830B5">
              <w:rPr>
                <w:rFonts w:ascii="Times New Roman" w:hAnsi="Times New Roman"/>
                <w:sz w:val="16"/>
                <w:szCs w:val="16"/>
              </w:rPr>
              <w:t>Tovary a služby</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297</w:t>
            </w:r>
          </w:p>
        </w:tc>
        <w:tc>
          <w:tcPr>
            <w:tcW w:w="759"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1 843</w:t>
            </w:r>
          </w:p>
        </w:tc>
        <w:tc>
          <w:tcPr>
            <w:tcW w:w="741"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c>
          <w:tcPr>
            <w:tcW w:w="710" w:type="dxa"/>
            <w:tcBorders>
              <w:top w:val="single" w:sz="6" w:space="0" w:color="auto"/>
              <w:left w:val="single" w:sz="6" w:space="0" w:color="auto"/>
              <w:bottom w:val="single" w:sz="6" w:space="0" w:color="auto"/>
              <w:right w:val="single" w:sz="4"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noWrap/>
            <w:textDirection w:val="lrTb"/>
            <w:vAlign w:val="center"/>
            <w:hideMark/>
          </w:tcPr>
          <w:p w:rsidR="007757C9" w:rsidRPr="005830B5" w:rsidP="000008FE">
            <w:pPr>
              <w:bidi w:val="0"/>
              <w:ind w:firstLine="160" w:firstLineChars="100"/>
              <w:rPr>
                <w:rFonts w:ascii="Times New Roman" w:hAnsi="Times New Roman"/>
                <w:sz w:val="16"/>
                <w:szCs w:val="16"/>
              </w:rPr>
            </w:pPr>
            <w:r w:rsidRPr="005830B5">
              <w:rPr>
                <w:rFonts w:ascii="Times New Roman" w:hAnsi="Times New Roman"/>
                <w:sz w:val="16"/>
                <w:szCs w:val="16"/>
              </w:rPr>
              <w:t>Bežné transfery, z toho:</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12 404</w:t>
            </w:r>
          </w:p>
        </w:tc>
        <w:tc>
          <w:tcPr>
            <w:tcW w:w="759"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7 088</w:t>
            </w:r>
          </w:p>
        </w:tc>
        <w:tc>
          <w:tcPr>
            <w:tcW w:w="741"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c>
          <w:tcPr>
            <w:tcW w:w="710" w:type="dxa"/>
            <w:tcBorders>
              <w:top w:val="single" w:sz="6" w:space="0" w:color="auto"/>
              <w:left w:val="single" w:sz="6" w:space="0" w:color="auto"/>
              <w:bottom w:val="single" w:sz="6" w:space="0" w:color="auto"/>
              <w:right w:val="single" w:sz="4"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noWrap/>
            <w:textDirection w:val="lrTb"/>
            <w:vAlign w:val="center"/>
            <w:hideMark/>
          </w:tcPr>
          <w:p w:rsidR="007757C9" w:rsidRPr="005830B5" w:rsidP="000008FE">
            <w:pPr>
              <w:bidi w:val="0"/>
              <w:rPr>
                <w:rFonts w:ascii="Times New Roman" w:hAnsi="Times New Roman"/>
                <w:sz w:val="16"/>
                <w:szCs w:val="16"/>
              </w:rPr>
            </w:pPr>
            <w:r w:rsidRPr="005830B5">
              <w:rPr>
                <w:rFonts w:ascii="Times New Roman" w:hAnsi="Times New Roman"/>
                <w:sz w:val="16"/>
                <w:szCs w:val="16"/>
              </w:rPr>
              <w:t xml:space="preserve">    Transfery v rámci verejnej správy (obce)</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1 000</w:t>
            </w:r>
          </w:p>
        </w:tc>
        <w:tc>
          <w:tcPr>
            <w:tcW w:w="759"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00FE592A">
              <w:rPr>
                <w:rFonts w:ascii="Times New Roman" w:hAnsi="Times New Roman"/>
                <w:sz w:val="16"/>
                <w:szCs w:val="16"/>
              </w:rPr>
              <w:t>0</w:t>
            </w:r>
          </w:p>
        </w:tc>
        <w:tc>
          <w:tcPr>
            <w:tcW w:w="741"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c>
          <w:tcPr>
            <w:tcW w:w="710" w:type="dxa"/>
            <w:tcBorders>
              <w:top w:val="single" w:sz="6" w:space="0" w:color="auto"/>
              <w:left w:val="single" w:sz="6" w:space="0" w:color="auto"/>
              <w:bottom w:val="single" w:sz="6" w:space="0" w:color="auto"/>
              <w:right w:val="single" w:sz="4"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noWrap/>
            <w:textDirection w:val="lrTb"/>
            <w:vAlign w:val="center"/>
            <w:hideMark/>
          </w:tcPr>
          <w:p w:rsidR="007757C9" w:rsidRPr="005830B5" w:rsidP="000008FE">
            <w:pPr>
              <w:bidi w:val="0"/>
              <w:ind w:firstLine="160" w:firstLineChars="100"/>
              <w:rPr>
                <w:rFonts w:ascii="Times New Roman" w:hAnsi="Times New Roman"/>
                <w:sz w:val="16"/>
                <w:szCs w:val="16"/>
              </w:rPr>
            </w:pPr>
            <w:r w:rsidRPr="005830B5">
              <w:rPr>
                <w:rFonts w:ascii="Times New Roman" w:hAnsi="Times New Roman"/>
                <w:sz w:val="16"/>
                <w:szCs w:val="16"/>
              </w:rPr>
              <w:t xml:space="preserve">    Bežné transfery </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1 400</w:t>
            </w:r>
          </w:p>
        </w:tc>
        <w:tc>
          <w:tcPr>
            <w:tcW w:w="759"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FE592A">
            <w:pPr>
              <w:bidi w:val="0"/>
              <w:jc w:val="right"/>
              <w:rPr>
                <w:rFonts w:ascii="Times New Roman" w:hAnsi="Times New Roman"/>
                <w:sz w:val="16"/>
                <w:szCs w:val="16"/>
              </w:rPr>
            </w:pPr>
            <w:r w:rsidR="00FE592A">
              <w:rPr>
                <w:rFonts w:ascii="Times New Roman" w:hAnsi="Times New Roman"/>
                <w:sz w:val="16"/>
                <w:szCs w:val="16"/>
              </w:rPr>
              <w:t>6</w:t>
            </w:r>
            <w:r w:rsidRPr="005830B5">
              <w:rPr>
                <w:rFonts w:ascii="Times New Roman" w:hAnsi="Times New Roman"/>
                <w:sz w:val="16"/>
                <w:szCs w:val="16"/>
              </w:rPr>
              <w:t xml:space="preserve"> 800</w:t>
            </w:r>
          </w:p>
        </w:tc>
        <w:tc>
          <w:tcPr>
            <w:tcW w:w="741"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c>
          <w:tcPr>
            <w:tcW w:w="710" w:type="dxa"/>
            <w:tcBorders>
              <w:top w:val="single" w:sz="6" w:space="0" w:color="auto"/>
              <w:left w:val="single" w:sz="6" w:space="0" w:color="auto"/>
              <w:bottom w:val="single" w:sz="6" w:space="0" w:color="auto"/>
              <w:right w:val="single" w:sz="4"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noWrap/>
            <w:textDirection w:val="lrTb"/>
            <w:vAlign w:val="center"/>
            <w:hideMark/>
          </w:tcPr>
          <w:p w:rsidR="007757C9" w:rsidRPr="005830B5" w:rsidP="000008FE">
            <w:pPr>
              <w:bidi w:val="0"/>
              <w:rPr>
                <w:rFonts w:ascii="Times New Roman" w:hAnsi="Times New Roman"/>
                <w:bCs/>
                <w:iCs/>
                <w:sz w:val="16"/>
                <w:szCs w:val="16"/>
              </w:rPr>
            </w:pPr>
            <w:r w:rsidRPr="005830B5">
              <w:rPr>
                <w:rFonts w:ascii="Times New Roman" w:hAnsi="Times New Roman"/>
                <w:color w:val="000000"/>
                <w:sz w:val="16"/>
                <w:szCs w:val="16"/>
              </w:rPr>
              <w:t xml:space="preserve">▪ </w:t>
            </w:r>
            <w:r w:rsidRPr="005830B5">
              <w:rPr>
                <w:rFonts w:ascii="Times New Roman" w:hAnsi="Times New Roman"/>
                <w:bCs/>
                <w:iCs/>
                <w:sz w:val="16"/>
                <w:szCs w:val="16"/>
              </w:rPr>
              <w:t>Kapitálové výdavky, v tom:</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bCs/>
                <w:iCs/>
                <w:sz w:val="16"/>
                <w:szCs w:val="16"/>
              </w:rPr>
            </w:pPr>
            <w:r w:rsidRPr="005830B5">
              <w:rPr>
                <w:rFonts w:ascii="Times New Roman" w:hAnsi="Times New Roman"/>
                <w:bCs/>
                <w:iCs/>
                <w:sz w:val="16"/>
                <w:szCs w:val="16"/>
              </w:rPr>
              <w:t>12 617</w:t>
            </w:r>
          </w:p>
        </w:tc>
        <w:tc>
          <w:tcPr>
            <w:tcW w:w="759"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bCs/>
                <w:iCs/>
                <w:sz w:val="16"/>
                <w:szCs w:val="16"/>
              </w:rPr>
            </w:pPr>
            <w:r w:rsidRPr="005830B5">
              <w:rPr>
                <w:rFonts w:ascii="Times New Roman" w:hAnsi="Times New Roman"/>
                <w:bCs/>
                <w:iCs/>
                <w:sz w:val="16"/>
                <w:szCs w:val="16"/>
              </w:rPr>
              <w:t>23 517</w:t>
            </w:r>
          </w:p>
        </w:tc>
        <w:tc>
          <w:tcPr>
            <w:tcW w:w="741"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bCs/>
                <w:iCs/>
                <w:sz w:val="16"/>
                <w:szCs w:val="16"/>
              </w:rPr>
            </w:pPr>
            <w:r w:rsidRPr="005830B5">
              <w:rPr>
                <w:rFonts w:ascii="Times New Roman" w:hAnsi="Times New Roman"/>
                <w:bCs/>
                <w:iCs/>
                <w:sz w:val="16"/>
                <w:szCs w:val="16"/>
              </w:rPr>
              <w:t>0</w:t>
            </w:r>
          </w:p>
        </w:tc>
        <w:tc>
          <w:tcPr>
            <w:tcW w:w="710" w:type="dxa"/>
            <w:tcBorders>
              <w:top w:val="single" w:sz="6" w:space="0" w:color="auto"/>
              <w:left w:val="single" w:sz="6" w:space="0" w:color="auto"/>
              <w:bottom w:val="single" w:sz="6" w:space="0" w:color="auto"/>
              <w:right w:val="single" w:sz="4" w:space="0" w:color="auto"/>
            </w:tcBorders>
            <w:textDirection w:val="lrTb"/>
            <w:vAlign w:val="bottom"/>
            <w:hideMark/>
          </w:tcPr>
          <w:p w:rsidR="007757C9" w:rsidRPr="005830B5" w:rsidP="000008FE">
            <w:pPr>
              <w:bidi w:val="0"/>
              <w:jc w:val="right"/>
              <w:rPr>
                <w:rFonts w:ascii="Times New Roman" w:hAnsi="Times New Roman"/>
                <w:bCs/>
                <w:iCs/>
                <w:sz w:val="16"/>
                <w:szCs w:val="16"/>
              </w:rPr>
            </w:pPr>
            <w:r w:rsidRPr="005830B5">
              <w:rPr>
                <w:rFonts w:ascii="Times New Roman" w:hAnsi="Times New Roman"/>
                <w:bCs/>
                <w:iCs/>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noWrap/>
            <w:textDirection w:val="lrTb"/>
            <w:vAlign w:val="center"/>
            <w:hideMark/>
          </w:tcPr>
          <w:p w:rsidR="007757C9" w:rsidRPr="005830B5" w:rsidP="000008FE">
            <w:pPr>
              <w:bidi w:val="0"/>
              <w:ind w:firstLine="160" w:firstLineChars="100"/>
              <w:rPr>
                <w:rFonts w:ascii="Times New Roman" w:hAnsi="Times New Roman"/>
                <w:sz w:val="16"/>
                <w:szCs w:val="16"/>
              </w:rPr>
            </w:pPr>
            <w:r w:rsidRPr="005830B5">
              <w:rPr>
                <w:rFonts w:ascii="Times New Roman" w:hAnsi="Times New Roman"/>
                <w:sz w:val="16"/>
                <w:szCs w:val="16"/>
              </w:rPr>
              <w:t>Obstarávanie kapitálových aktív, z toho:</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17</w:t>
            </w:r>
          </w:p>
        </w:tc>
        <w:tc>
          <w:tcPr>
            <w:tcW w:w="759"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17</w:t>
            </w:r>
          </w:p>
        </w:tc>
        <w:tc>
          <w:tcPr>
            <w:tcW w:w="741"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c>
          <w:tcPr>
            <w:tcW w:w="710" w:type="dxa"/>
            <w:tcBorders>
              <w:top w:val="single" w:sz="6" w:space="0" w:color="auto"/>
              <w:left w:val="single" w:sz="6" w:space="0" w:color="auto"/>
              <w:bottom w:val="single" w:sz="6" w:space="0" w:color="auto"/>
              <w:right w:val="single" w:sz="4"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noWrap/>
            <w:textDirection w:val="lrTb"/>
            <w:vAlign w:val="center"/>
            <w:hideMark/>
          </w:tcPr>
          <w:p w:rsidR="007757C9" w:rsidRPr="005830B5" w:rsidP="000008FE">
            <w:pPr>
              <w:bidi w:val="0"/>
              <w:ind w:firstLine="160" w:firstLineChars="100"/>
              <w:rPr>
                <w:rFonts w:ascii="Times New Roman" w:hAnsi="Times New Roman"/>
                <w:sz w:val="16"/>
                <w:szCs w:val="16"/>
              </w:rPr>
            </w:pPr>
            <w:r w:rsidRPr="005830B5">
              <w:rPr>
                <w:rFonts w:ascii="Times New Roman" w:hAnsi="Times New Roman"/>
                <w:sz w:val="16"/>
                <w:szCs w:val="16"/>
              </w:rPr>
              <w:t>Kapitálové transfery, z toho:</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12 600</w:t>
            </w:r>
          </w:p>
        </w:tc>
        <w:tc>
          <w:tcPr>
            <w:tcW w:w="759"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23 500</w:t>
            </w:r>
          </w:p>
        </w:tc>
        <w:tc>
          <w:tcPr>
            <w:tcW w:w="741"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c>
          <w:tcPr>
            <w:tcW w:w="710" w:type="dxa"/>
            <w:tcBorders>
              <w:top w:val="single" w:sz="6" w:space="0" w:color="auto"/>
              <w:left w:val="single" w:sz="6" w:space="0" w:color="auto"/>
              <w:bottom w:val="single" w:sz="6" w:space="0" w:color="auto"/>
              <w:right w:val="single" w:sz="4"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noWrap/>
            <w:textDirection w:val="lrTb"/>
            <w:vAlign w:val="center"/>
            <w:hideMark/>
          </w:tcPr>
          <w:p w:rsidR="007757C9" w:rsidRPr="005830B5" w:rsidP="000008FE">
            <w:pPr>
              <w:bidi w:val="0"/>
              <w:ind w:firstLine="320" w:firstLineChars="200"/>
              <w:rPr>
                <w:rFonts w:ascii="Times New Roman" w:hAnsi="Times New Roman"/>
                <w:sz w:val="16"/>
                <w:szCs w:val="16"/>
              </w:rPr>
            </w:pPr>
            <w:r w:rsidRPr="005830B5">
              <w:rPr>
                <w:rFonts w:ascii="Times New Roman" w:hAnsi="Times New Roman"/>
                <w:sz w:val="16"/>
                <w:szCs w:val="16"/>
              </w:rPr>
              <w:t>Transfery v rámci verejnej správy  (obce)</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600</w:t>
            </w:r>
          </w:p>
        </w:tc>
        <w:tc>
          <w:tcPr>
            <w:tcW w:w="759"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00FE592A">
              <w:rPr>
                <w:rFonts w:ascii="Times New Roman" w:hAnsi="Times New Roman"/>
                <w:sz w:val="16"/>
                <w:szCs w:val="16"/>
              </w:rPr>
              <w:t>0</w:t>
            </w:r>
          </w:p>
        </w:tc>
        <w:tc>
          <w:tcPr>
            <w:tcW w:w="741"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c>
          <w:tcPr>
            <w:tcW w:w="710" w:type="dxa"/>
            <w:tcBorders>
              <w:top w:val="single" w:sz="6" w:space="0" w:color="auto"/>
              <w:left w:val="single" w:sz="6" w:space="0" w:color="auto"/>
              <w:bottom w:val="single" w:sz="6" w:space="0" w:color="auto"/>
              <w:right w:val="single" w:sz="4"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noWrap/>
            <w:textDirection w:val="lrTb"/>
            <w:vAlign w:val="center"/>
            <w:hideMark/>
          </w:tcPr>
          <w:p w:rsidR="007757C9" w:rsidRPr="005830B5" w:rsidP="000008FE">
            <w:pPr>
              <w:bidi w:val="0"/>
              <w:ind w:firstLine="320" w:firstLineChars="200"/>
              <w:rPr>
                <w:rFonts w:ascii="Times New Roman" w:hAnsi="Times New Roman"/>
                <w:sz w:val="16"/>
                <w:szCs w:val="16"/>
              </w:rPr>
            </w:pPr>
            <w:r w:rsidRPr="005830B5">
              <w:rPr>
                <w:rFonts w:ascii="Times New Roman" w:hAnsi="Times New Roman"/>
                <w:sz w:val="16"/>
                <w:szCs w:val="16"/>
              </w:rPr>
              <w:t xml:space="preserve">Transfery  </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12 000</w:t>
            </w:r>
          </w:p>
        </w:tc>
        <w:tc>
          <w:tcPr>
            <w:tcW w:w="759"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FE592A">
            <w:pPr>
              <w:bidi w:val="0"/>
              <w:jc w:val="right"/>
              <w:rPr>
                <w:rFonts w:ascii="Times New Roman" w:hAnsi="Times New Roman"/>
                <w:sz w:val="16"/>
                <w:szCs w:val="16"/>
              </w:rPr>
            </w:pPr>
            <w:r w:rsidRPr="005830B5">
              <w:rPr>
                <w:rFonts w:ascii="Times New Roman" w:hAnsi="Times New Roman"/>
                <w:sz w:val="16"/>
                <w:szCs w:val="16"/>
              </w:rPr>
              <w:t>2</w:t>
            </w:r>
            <w:r w:rsidR="00FE592A">
              <w:rPr>
                <w:rFonts w:ascii="Times New Roman" w:hAnsi="Times New Roman"/>
                <w:sz w:val="16"/>
                <w:szCs w:val="16"/>
              </w:rPr>
              <w:t>3 5</w:t>
            </w:r>
            <w:r w:rsidRPr="005830B5">
              <w:rPr>
                <w:rFonts w:ascii="Times New Roman" w:hAnsi="Times New Roman"/>
                <w:sz w:val="16"/>
                <w:szCs w:val="16"/>
              </w:rPr>
              <w:t>00</w:t>
            </w:r>
          </w:p>
        </w:tc>
        <w:tc>
          <w:tcPr>
            <w:tcW w:w="741"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c>
          <w:tcPr>
            <w:tcW w:w="710" w:type="dxa"/>
            <w:tcBorders>
              <w:top w:val="single" w:sz="6" w:space="0" w:color="auto"/>
              <w:left w:val="single" w:sz="6" w:space="0" w:color="auto"/>
              <w:bottom w:val="single" w:sz="6" w:space="0" w:color="auto"/>
              <w:right w:val="single" w:sz="4" w:space="0" w:color="auto"/>
            </w:tcBorders>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shd w:val="clear" w:color="auto" w:fill="BFBFBF"/>
            <w:noWrap/>
            <w:textDirection w:val="lrTb"/>
            <w:vAlign w:val="center"/>
            <w:hideMark/>
          </w:tcPr>
          <w:p w:rsidR="007757C9" w:rsidRPr="005830B5" w:rsidP="000008FE">
            <w:pPr>
              <w:bidi w:val="0"/>
              <w:rPr>
                <w:rFonts w:ascii="Times New Roman" w:hAnsi="Times New Roman"/>
                <w:b/>
                <w:bCs/>
                <w:iCs/>
                <w:sz w:val="16"/>
                <w:szCs w:val="16"/>
              </w:rPr>
            </w:pPr>
            <w:r w:rsidRPr="005830B5">
              <w:rPr>
                <w:rFonts w:ascii="Times New Roman" w:hAnsi="Times New Roman"/>
                <w:b/>
                <w:bCs/>
                <w:iCs/>
                <w:sz w:val="16"/>
                <w:szCs w:val="16"/>
              </w:rPr>
              <w:t>Celkový prebytok / schodok (+/-) RF</w:t>
            </w:r>
          </w:p>
        </w:tc>
        <w:tc>
          <w:tcPr>
            <w:tcW w:w="777" w:type="dxa"/>
            <w:tcBorders>
              <w:top w:val="single" w:sz="6" w:space="0" w:color="auto"/>
              <w:left w:val="single" w:sz="6" w:space="0" w:color="auto"/>
              <w:bottom w:val="single" w:sz="6" w:space="0" w:color="auto"/>
              <w:right w:val="single" w:sz="6" w:space="0" w:color="auto"/>
            </w:tcBorders>
            <w:shd w:val="clear" w:color="auto" w:fill="BFBFBF"/>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shd w:val="clear" w:color="auto" w:fill="BFBFBF"/>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shd w:val="clear" w:color="auto" w:fill="BFBFBF"/>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shd w:val="clear" w:color="auto" w:fill="BFBFBF"/>
            <w:textDirection w:val="lrTb"/>
            <w:vAlign w:val="bottom"/>
            <w:hideMark/>
          </w:tcPr>
          <w:p w:rsidR="007757C9" w:rsidRPr="005830B5" w:rsidP="000008FE">
            <w:pPr>
              <w:bidi w:val="0"/>
              <w:jc w:val="right"/>
              <w:rPr>
                <w:rFonts w:ascii="Times New Roman" w:hAnsi="Times New Roman"/>
                <w:b/>
                <w:bCs/>
                <w:iCs/>
                <w:sz w:val="16"/>
                <w:szCs w:val="16"/>
              </w:rPr>
            </w:pPr>
            <w:r w:rsidRPr="005830B5">
              <w:rPr>
                <w:rFonts w:ascii="Times New Roman" w:hAnsi="Times New Roman"/>
                <w:b/>
                <w:bCs/>
                <w:iCs/>
                <w:sz w:val="16"/>
                <w:szCs w:val="16"/>
              </w:rPr>
              <w:t>36 490</w:t>
            </w:r>
          </w:p>
        </w:tc>
        <w:tc>
          <w:tcPr>
            <w:tcW w:w="759" w:type="dxa"/>
            <w:tcBorders>
              <w:top w:val="single" w:sz="6" w:space="0" w:color="auto"/>
              <w:left w:val="single" w:sz="6" w:space="0" w:color="auto"/>
              <w:bottom w:val="single" w:sz="6" w:space="0" w:color="auto"/>
              <w:right w:val="single" w:sz="6" w:space="0" w:color="auto"/>
            </w:tcBorders>
            <w:shd w:val="clear" w:color="auto" w:fill="BFBFBF"/>
            <w:textDirection w:val="lrTb"/>
            <w:vAlign w:val="bottom"/>
            <w:hideMark/>
          </w:tcPr>
          <w:p w:rsidR="007757C9" w:rsidRPr="005830B5" w:rsidP="000008FE">
            <w:pPr>
              <w:bidi w:val="0"/>
              <w:jc w:val="right"/>
              <w:rPr>
                <w:rFonts w:ascii="Times New Roman" w:hAnsi="Times New Roman"/>
                <w:b/>
                <w:bCs/>
                <w:iCs/>
                <w:sz w:val="16"/>
                <w:szCs w:val="16"/>
              </w:rPr>
            </w:pPr>
            <w:r w:rsidRPr="005830B5">
              <w:rPr>
                <w:rFonts w:ascii="Times New Roman" w:hAnsi="Times New Roman"/>
                <w:b/>
                <w:bCs/>
                <w:iCs/>
                <w:sz w:val="16"/>
                <w:szCs w:val="16"/>
              </w:rPr>
              <w:t>5 447</w:t>
            </w:r>
          </w:p>
        </w:tc>
        <w:tc>
          <w:tcPr>
            <w:tcW w:w="741" w:type="dxa"/>
            <w:tcBorders>
              <w:top w:val="single" w:sz="6" w:space="0" w:color="auto"/>
              <w:left w:val="single" w:sz="6" w:space="0" w:color="auto"/>
              <w:bottom w:val="single" w:sz="6" w:space="0" w:color="auto"/>
              <w:right w:val="single" w:sz="6" w:space="0" w:color="auto"/>
            </w:tcBorders>
            <w:shd w:val="clear" w:color="auto" w:fill="BFBFBF"/>
            <w:textDirection w:val="lrTb"/>
            <w:vAlign w:val="bottom"/>
            <w:hideMark/>
          </w:tcPr>
          <w:p w:rsidR="007757C9" w:rsidRPr="005830B5" w:rsidP="000008FE">
            <w:pPr>
              <w:bidi w:val="0"/>
              <w:jc w:val="right"/>
              <w:rPr>
                <w:rFonts w:ascii="Times New Roman" w:hAnsi="Times New Roman"/>
                <w:b/>
                <w:sz w:val="16"/>
                <w:szCs w:val="16"/>
              </w:rPr>
            </w:pPr>
            <w:r w:rsidRPr="005830B5">
              <w:rPr>
                <w:rFonts w:ascii="Times New Roman" w:hAnsi="Times New Roman"/>
                <w:b/>
                <w:sz w:val="16"/>
                <w:szCs w:val="16"/>
              </w:rPr>
              <w:t>0</w:t>
            </w:r>
          </w:p>
        </w:tc>
        <w:tc>
          <w:tcPr>
            <w:tcW w:w="710" w:type="dxa"/>
            <w:tcBorders>
              <w:top w:val="single" w:sz="6" w:space="0" w:color="auto"/>
              <w:left w:val="single" w:sz="6" w:space="0" w:color="auto"/>
              <w:bottom w:val="single" w:sz="6" w:space="0" w:color="auto"/>
              <w:right w:val="single" w:sz="4" w:space="0" w:color="auto"/>
            </w:tcBorders>
            <w:shd w:val="clear" w:color="auto" w:fill="BFBFBF"/>
            <w:textDirection w:val="lrTb"/>
            <w:vAlign w:val="bottom"/>
            <w:hideMark/>
          </w:tcPr>
          <w:p w:rsidR="007757C9" w:rsidRPr="005830B5" w:rsidP="000008FE">
            <w:pPr>
              <w:bidi w:val="0"/>
              <w:jc w:val="right"/>
              <w:rPr>
                <w:rFonts w:ascii="Times New Roman" w:hAnsi="Times New Roman"/>
                <w:b/>
                <w:sz w:val="16"/>
                <w:szCs w:val="16"/>
              </w:rPr>
            </w:pPr>
            <w:r w:rsidRPr="005830B5">
              <w:rPr>
                <w:rFonts w:ascii="Times New Roman" w:hAnsi="Times New Roman"/>
                <w:b/>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textDirection w:val="lrTb"/>
            <w:vAlign w:val="center"/>
            <w:hideMark/>
          </w:tcPr>
          <w:p w:rsidR="007757C9" w:rsidRPr="005830B5" w:rsidP="000008FE">
            <w:pPr>
              <w:bidi w:val="0"/>
              <w:rPr>
                <w:rFonts w:ascii="Times New Roman" w:hAnsi="Times New Roman"/>
                <w:b/>
                <w:bCs/>
                <w:iCs/>
                <w:color w:val="000000"/>
                <w:sz w:val="16"/>
                <w:szCs w:val="16"/>
              </w:rPr>
            </w:pPr>
            <w:r w:rsidRPr="005830B5">
              <w:rPr>
                <w:rFonts w:ascii="Times New Roman" w:hAnsi="Times New Roman"/>
                <w:b/>
                <w:bCs/>
                <w:iCs/>
                <w:color w:val="000000"/>
                <w:sz w:val="16"/>
                <w:szCs w:val="16"/>
              </w:rPr>
              <w:t>Vylúčenie finančných operácií</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b/>
                <w:bCs/>
                <w:sz w:val="16"/>
                <w:szCs w:val="16"/>
              </w:rPr>
            </w:pPr>
            <w:r w:rsidRPr="005830B5">
              <w:rPr>
                <w:rFonts w:ascii="Times New Roman" w:hAnsi="Times New Roman"/>
                <w:b/>
                <w:bCs/>
                <w:sz w:val="16"/>
                <w:szCs w:val="16"/>
              </w:rPr>
              <w:t>-53 384</w:t>
            </w:r>
          </w:p>
        </w:tc>
        <w:tc>
          <w:tcPr>
            <w:tcW w:w="759"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b/>
                <w:bCs/>
                <w:sz w:val="16"/>
                <w:szCs w:val="16"/>
              </w:rPr>
            </w:pPr>
            <w:r w:rsidRPr="005830B5">
              <w:rPr>
                <w:rFonts w:ascii="Times New Roman" w:hAnsi="Times New Roman"/>
                <w:b/>
                <w:bCs/>
                <w:sz w:val="16"/>
                <w:szCs w:val="16"/>
              </w:rPr>
              <w:t>-36 490</w:t>
            </w:r>
          </w:p>
        </w:tc>
        <w:tc>
          <w:tcPr>
            <w:tcW w:w="741" w:type="dxa"/>
            <w:tcBorders>
              <w:top w:val="single" w:sz="6" w:space="0" w:color="auto"/>
              <w:left w:val="single" w:sz="6" w:space="0" w:color="auto"/>
              <w:bottom w:val="single" w:sz="6" w:space="0" w:color="auto"/>
              <w:right w:val="single" w:sz="6" w:space="0" w:color="auto"/>
            </w:tcBorders>
            <w:textDirection w:val="lrTb"/>
            <w:vAlign w:val="bottom"/>
            <w:hideMark/>
          </w:tcPr>
          <w:p w:rsidR="007757C9" w:rsidRPr="005830B5" w:rsidP="000008FE">
            <w:pPr>
              <w:bidi w:val="0"/>
              <w:jc w:val="right"/>
              <w:rPr>
                <w:rFonts w:ascii="Times New Roman" w:hAnsi="Times New Roman"/>
                <w:b/>
                <w:sz w:val="16"/>
                <w:szCs w:val="16"/>
              </w:rPr>
            </w:pPr>
            <w:r w:rsidRPr="005830B5">
              <w:rPr>
                <w:rFonts w:ascii="Times New Roman" w:hAnsi="Times New Roman"/>
                <w:b/>
                <w:sz w:val="16"/>
                <w:szCs w:val="16"/>
              </w:rPr>
              <w:t>0</w:t>
            </w:r>
          </w:p>
        </w:tc>
        <w:tc>
          <w:tcPr>
            <w:tcW w:w="710" w:type="dxa"/>
            <w:tcBorders>
              <w:top w:val="single" w:sz="6" w:space="0" w:color="auto"/>
              <w:left w:val="single" w:sz="6" w:space="0" w:color="auto"/>
              <w:bottom w:val="single" w:sz="6" w:space="0" w:color="auto"/>
              <w:right w:val="single" w:sz="4" w:space="0" w:color="auto"/>
            </w:tcBorders>
            <w:textDirection w:val="lrTb"/>
            <w:vAlign w:val="bottom"/>
            <w:hideMark/>
          </w:tcPr>
          <w:p w:rsidR="007757C9" w:rsidRPr="005830B5" w:rsidP="000008FE">
            <w:pPr>
              <w:bidi w:val="0"/>
              <w:jc w:val="right"/>
              <w:rPr>
                <w:rFonts w:ascii="Times New Roman" w:hAnsi="Times New Roman"/>
                <w:b/>
                <w:sz w:val="16"/>
                <w:szCs w:val="16"/>
              </w:rPr>
            </w:pPr>
            <w:r w:rsidRPr="005830B5">
              <w:rPr>
                <w:rFonts w:ascii="Times New Roman" w:hAnsi="Times New Roman"/>
                <w:b/>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noWrap/>
            <w:textDirection w:val="lrTb"/>
            <w:vAlign w:val="center"/>
            <w:hideMark/>
          </w:tcPr>
          <w:p w:rsidR="007757C9" w:rsidRPr="005830B5" w:rsidP="000008FE">
            <w:pPr>
              <w:bidi w:val="0"/>
              <w:ind w:firstLine="160" w:firstLineChars="100"/>
              <w:rPr>
                <w:rFonts w:ascii="Times New Roman" w:hAnsi="Times New Roman"/>
                <w:color w:val="000000"/>
                <w:sz w:val="16"/>
                <w:szCs w:val="16"/>
              </w:rPr>
            </w:pPr>
            <w:r w:rsidRPr="005830B5">
              <w:rPr>
                <w:rFonts w:ascii="Times New Roman" w:hAnsi="Times New Roman"/>
                <w:color w:val="000000"/>
                <w:sz w:val="16"/>
                <w:szCs w:val="16"/>
              </w:rPr>
              <w:t>Vylúčenie príjmových FO</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noWrap/>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noWrap/>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-53 384</w:t>
            </w:r>
          </w:p>
        </w:tc>
        <w:tc>
          <w:tcPr>
            <w:tcW w:w="759" w:type="dxa"/>
            <w:tcBorders>
              <w:top w:val="single" w:sz="6" w:space="0" w:color="auto"/>
              <w:left w:val="single" w:sz="6" w:space="0" w:color="auto"/>
              <w:bottom w:val="single" w:sz="6" w:space="0" w:color="auto"/>
              <w:right w:val="single" w:sz="6" w:space="0" w:color="auto"/>
            </w:tcBorders>
            <w:noWrap/>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-36 490</w:t>
            </w:r>
          </w:p>
        </w:tc>
        <w:tc>
          <w:tcPr>
            <w:tcW w:w="741" w:type="dxa"/>
            <w:tcBorders>
              <w:top w:val="single" w:sz="6" w:space="0" w:color="auto"/>
              <w:left w:val="single" w:sz="6" w:space="0" w:color="auto"/>
              <w:bottom w:val="single" w:sz="6" w:space="0" w:color="auto"/>
              <w:right w:val="single" w:sz="6" w:space="0" w:color="auto"/>
            </w:tcBorders>
            <w:noWrap/>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c>
          <w:tcPr>
            <w:tcW w:w="710" w:type="dxa"/>
            <w:tcBorders>
              <w:top w:val="single" w:sz="6" w:space="0" w:color="auto"/>
              <w:left w:val="single" w:sz="6" w:space="0" w:color="auto"/>
              <w:bottom w:val="single" w:sz="6" w:space="0" w:color="auto"/>
              <w:right w:val="single" w:sz="4" w:space="0" w:color="auto"/>
            </w:tcBorders>
            <w:noWrap/>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6" w:space="0" w:color="auto"/>
              <w:right w:val="single" w:sz="6" w:space="0" w:color="auto"/>
            </w:tcBorders>
            <w:noWrap/>
            <w:textDirection w:val="lrTb"/>
            <w:vAlign w:val="center"/>
            <w:hideMark/>
          </w:tcPr>
          <w:p w:rsidR="007757C9" w:rsidRPr="005830B5" w:rsidP="000008FE">
            <w:pPr>
              <w:bidi w:val="0"/>
              <w:ind w:firstLine="160" w:firstLineChars="100"/>
              <w:rPr>
                <w:rFonts w:ascii="Times New Roman" w:hAnsi="Times New Roman"/>
                <w:color w:val="000000"/>
                <w:sz w:val="16"/>
                <w:szCs w:val="16"/>
              </w:rPr>
            </w:pPr>
            <w:r w:rsidRPr="005830B5">
              <w:rPr>
                <w:rFonts w:ascii="Times New Roman" w:hAnsi="Times New Roman"/>
                <w:color w:val="000000"/>
                <w:sz w:val="16"/>
                <w:szCs w:val="16"/>
              </w:rPr>
              <w:t>Vylúčenie výdavkových FO</w:t>
            </w:r>
          </w:p>
        </w:tc>
        <w:tc>
          <w:tcPr>
            <w:tcW w:w="777"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6" w:space="0" w:color="auto"/>
              <w:right w:val="single" w:sz="6" w:space="0" w:color="auto"/>
            </w:tcBorders>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6" w:space="0" w:color="auto"/>
              <w:right w:val="single" w:sz="6" w:space="0" w:color="auto"/>
            </w:tcBorders>
            <w:noWrap/>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6" w:space="0" w:color="auto"/>
              <w:right w:val="single" w:sz="6" w:space="0" w:color="auto"/>
            </w:tcBorders>
            <w:noWrap/>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c>
          <w:tcPr>
            <w:tcW w:w="759" w:type="dxa"/>
            <w:tcBorders>
              <w:top w:val="single" w:sz="6" w:space="0" w:color="auto"/>
              <w:left w:val="single" w:sz="6" w:space="0" w:color="auto"/>
              <w:bottom w:val="single" w:sz="6" w:space="0" w:color="auto"/>
              <w:right w:val="single" w:sz="6" w:space="0" w:color="auto"/>
            </w:tcBorders>
            <w:noWrap/>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c>
          <w:tcPr>
            <w:tcW w:w="741" w:type="dxa"/>
            <w:tcBorders>
              <w:top w:val="single" w:sz="6" w:space="0" w:color="auto"/>
              <w:left w:val="single" w:sz="6" w:space="0" w:color="auto"/>
              <w:bottom w:val="single" w:sz="6" w:space="0" w:color="auto"/>
              <w:right w:val="single" w:sz="6" w:space="0" w:color="auto"/>
            </w:tcBorders>
            <w:noWrap/>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c>
          <w:tcPr>
            <w:tcW w:w="710" w:type="dxa"/>
            <w:tcBorders>
              <w:top w:val="single" w:sz="6" w:space="0" w:color="auto"/>
              <w:left w:val="single" w:sz="6" w:space="0" w:color="auto"/>
              <w:bottom w:val="single" w:sz="6" w:space="0" w:color="auto"/>
              <w:right w:val="single" w:sz="4" w:space="0" w:color="auto"/>
            </w:tcBorders>
            <w:noWrap/>
            <w:textDirection w:val="lrTb"/>
            <w:vAlign w:val="bottom"/>
            <w:hideMark/>
          </w:tcPr>
          <w:p w:rsidR="007757C9" w:rsidRPr="005830B5" w:rsidP="000008FE">
            <w:pPr>
              <w:bidi w:val="0"/>
              <w:jc w:val="right"/>
              <w:rPr>
                <w:rFonts w:ascii="Times New Roman" w:hAnsi="Times New Roman"/>
                <w:sz w:val="16"/>
                <w:szCs w:val="16"/>
              </w:rPr>
            </w:pPr>
            <w:r w:rsidRPr="005830B5">
              <w:rPr>
                <w:rFonts w:ascii="Times New Roman" w:hAnsi="Times New Roman"/>
                <w:sz w:val="16"/>
                <w:szCs w:val="16"/>
              </w:rPr>
              <w:t>0</w:t>
            </w:r>
          </w:p>
        </w:tc>
      </w:tr>
      <w:tr>
        <w:tblPrEx>
          <w:tblW w:w="0" w:type="auto"/>
          <w:jc w:val="center"/>
          <w:tblCellMar>
            <w:left w:w="70" w:type="dxa"/>
            <w:right w:w="70" w:type="dxa"/>
          </w:tblCellMar>
          <w:tblLook w:val="04A0"/>
        </w:tblPrEx>
        <w:trPr>
          <w:trHeight w:val="255"/>
          <w:jc w:val="center"/>
        </w:trPr>
        <w:tc>
          <w:tcPr>
            <w:tcW w:w="0" w:type="auto"/>
            <w:tcBorders>
              <w:top w:val="single" w:sz="6" w:space="0" w:color="auto"/>
              <w:left w:val="single" w:sz="4" w:space="0" w:color="auto"/>
              <w:bottom w:val="single" w:sz="4" w:space="0" w:color="auto"/>
              <w:right w:val="single" w:sz="6" w:space="0" w:color="auto"/>
            </w:tcBorders>
            <w:shd w:val="clear" w:color="000000" w:fill="C0C0C0"/>
            <w:noWrap/>
            <w:textDirection w:val="lrTb"/>
            <w:vAlign w:val="center"/>
            <w:hideMark/>
          </w:tcPr>
          <w:p w:rsidR="007757C9" w:rsidRPr="005830B5" w:rsidP="00BF78C5">
            <w:pPr>
              <w:bidi w:val="0"/>
              <w:rPr>
                <w:rFonts w:ascii="Times New Roman" w:hAnsi="Times New Roman"/>
                <w:b/>
                <w:bCs/>
                <w:iCs/>
                <w:sz w:val="16"/>
                <w:szCs w:val="16"/>
              </w:rPr>
            </w:pPr>
            <w:r w:rsidRPr="005830B5">
              <w:rPr>
                <w:rFonts w:ascii="Times New Roman" w:hAnsi="Times New Roman"/>
                <w:b/>
                <w:bCs/>
                <w:iCs/>
                <w:sz w:val="16"/>
                <w:szCs w:val="16"/>
              </w:rPr>
              <w:t>Prebytok</w:t>
            </w:r>
            <w:r w:rsidRPr="00CB0E0C" w:rsidR="00BF78C5">
              <w:rPr>
                <w:rFonts w:ascii="Times New Roman" w:hAnsi="Times New Roman"/>
                <w:b/>
                <w:bCs/>
                <w:iCs/>
                <w:sz w:val="16"/>
                <w:szCs w:val="16"/>
              </w:rPr>
              <w:t>(+)</w:t>
            </w:r>
            <w:r w:rsidRPr="00CB0E0C">
              <w:rPr>
                <w:rFonts w:ascii="Times New Roman" w:hAnsi="Times New Roman"/>
                <w:b/>
                <w:bCs/>
                <w:iCs/>
                <w:sz w:val="16"/>
                <w:szCs w:val="16"/>
              </w:rPr>
              <w:t xml:space="preserve"> / schodok (-)</w:t>
            </w:r>
            <w:r w:rsidRPr="005830B5">
              <w:rPr>
                <w:rFonts w:ascii="Times New Roman" w:hAnsi="Times New Roman"/>
                <w:b/>
                <w:bCs/>
                <w:iCs/>
                <w:sz w:val="16"/>
                <w:szCs w:val="16"/>
              </w:rPr>
              <w:t xml:space="preserve"> RF (ESA 2010)</w:t>
            </w:r>
          </w:p>
        </w:tc>
        <w:tc>
          <w:tcPr>
            <w:tcW w:w="777" w:type="dxa"/>
            <w:tcBorders>
              <w:top w:val="single" w:sz="6" w:space="0" w:color="auto"/>
              <w:left w:val="single" w:sz="6" w:space="0" w:color="auto"/>
              <w:bottom w:val="single" w:sz="4" w:space="0" w:color="auto"/>
              <w:right w:val="single" w:sz="6" w:space="0" w:color="auto"/>
            </w:tcBorders>
            <w:shd w:val="clear" w:color="000000" w:fill="C0C0C0"/>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41" w:type="dxa"/>
            <w:tcBorders>
              <w:top w:val="single" w:sz="6" w:space="0" w:color="auto"/>
              <w:left w:val="single" w:sz="6" w:space="0" w:color="auto"/>
              <w:bottom w:val="single" w:sz="4" w:space="0" w:color="auto"/>
              <w:right w:val="single" w:sz="6" w:space="0" w:color="auto"/>
            </w:tcBorders>
            <w:shd w:val="clear" w:color="000000" w:fill="C0C0C0"/>
            <w:textDirection w:val="lrTb"/>
            <w:vAlign w:val="bottom"/>
          </w:tcPr>
          <w:p w:rsidR="007757C9" w:rsidRPr="005830B5" w:rsidP="000008FE">
            <w:pPr>
              <w:bidi w:val="0"/>
              <w:jc w:val="center"/>
              <w:rPr>
                <w:rFonts w:ascii="Times New Roman" w:hAnsi="Times New Roman"/>
                <w:b/>
                <w:bCs/>
                <w:sz w:val="16"/>
                <w:szCs w:val="16"/>
              </w:rPr>
            </w:pPr>
            <w:r>
              <w:rPr>
                <w:rFonts w:ascii="Times New Roman" w:hAnsi="Times New Roman"/>
                <w:b/>
                <w:bCs/>
                <w:sz w:val="16"/>
                <w:szCs w:val="16"/>
              </w:rPr>
              <w:t>-</w:t>
            </w:r>
          </w:p>
        </w:tc>
        <w:tc>
          <w:tcPr>
            <w:tcW w:w="723" w:type="dxa"/>
            <w:tcBorders>
              <w:top w:val="single" w:sz="6" w:space="0" w:color="auto"/>
              <w:left w:val="single" w:sz="6" w:space="0" w:color="auto"/>
              <w:bottom w:val="single" w:sz="4" w:space="0" w:color="auto"/>
              <w:right w:val="single" w:sz="6" w:space="0" w:color="auto"/>
            </w:tcBorders>
            <w:shd w:val="clear" w:color="000000" w:fill="C0C0C0"/>
            <w:noWrap/>
            <w:textDirection w:val="lrTb"/>
            <w:vAlign w:val="bottom"/>
          </w:tcPr>
          <w:p w:rsidR="007757C9" w:rsidRPr="005830B5" w:rsidP="00AA4107">
            <w:pPr>
              <w:bidi w:val="0"/>
              <w:jc w:val="center"/>
              <w:rPr>
                <w:rFonts w:ascii="Times New Roman" w:hAnsi="Times New Roman"/>
                <w:b/>
                <w:bCs/>
                <w:sz w:val="16"/>
                <w:szCs w:val="16"/>
              </w:rPr>
            </w:pPr>
            <w:r>
              <w:rPr>
                <w:rFonts w:ascii="Times New Roman" w:hAnsi="Times New Roman"/>
                <w:b/>
                <w:bCs/>
                <w:sz w:val="16"/>
                <w:szCs w:val="16"/>
              </w:rPr>
              <w:t>-</w:t>
            </w:r>
          </w:p>
        </w:tc>
        <w:tc>
          <w:tcPr>
            <w:tcW w:w="753" w:type="dxa"/>
            <w:tcBorders>
              <w:top w:val="single" w:sz="6" w:space="0" w:color="auto"/>
              <w:left w:val="single" w:sz="6" w:space="0" w:color="auto"/>
              <w:bottom w:val="single" w:sz="4" w:space="0" w:color="auto"/>
              <w:right w:val="single" w:sz="6" w:space="0" w:color="auto"/>
            </w:tcBorders>
            <w:shd w:val="clear" w:color="000000" w:fill="C0C0C0"/>
            <w:noWrap/>
            <w:textDirection w:val="lrTb"/>
            <w:vAlign w:val="bottom"/>
            <w:hideMark/>
          </w:tcPr>
          <w:p w:rsidR="007757C9" w:rsidRPr="005830B5" w:rsidP="000008FE">
            <w:pPr>
              <w:bidi w:val="0"/>
              <w:jc w:val="right"/>
              <w:rPr>
                <w:rFonts w:ascii="Times New Roman" w:hAnsi="Times New Roman"/>
                <w:b/>
                <w:bCs/>
                <w:iCs/>
                <w:sz w:val="16"/>
                <w:szCs w:val="16"/>
              </w:rPr>
            </w:pPr>
            <w:r w:rsidRPr="005830B5">
              <w:rPr>
                <w:rFonts w:ascii="Times New Roman" w:hAnsi="Times New Roman"/>
                <w:b/>
                <w:bCs/>
                <w:iCs/>
                <w:sz w:val="16"/>
                <w:szCs w:val="16"/>
              </w:rPr>
              <w:t>-16 894</w:t>
            </w:r>
          </w:p>
        </w:tc>
        <w:tc>
          <w:tcPr>
            <w:tcW w:w="759" w:type="dxa"/>
            <w:tcBorders>
              <w:top w:val="single" w:sz="6" w:space="0" w:color="auto"/>
              <w:left w:val="single" w:sz="6" w:space="0" w:color="auto"/>
              <w:bottom w:val="single" w:sz="4" w:space="0" w:color="auto"/>
              <w:right w:val="single" w:sz="6" w:space="0" w:color="auto"/>
            </w:tcBorders>
            <w:shd w:val="clear" w:color="000000" w:fill="C0C0C0"/>
            <w:noWrap/>
            <w:textDirection w:val="lrTb"/>
            <w:vAlign w:val="bottom"/>
            <w:hideMark/>
          </w:tcPr>
          <w:p w:rsidR="007757C9" w:rsidRPr="005830B5" w:rsidP="000008FE">
            <w:pPr>
              <w:bidi w:val="0"/>
              <w:jc w:val="right"/>
              <w:rPr>
                <w:rFonts w:ascii="Times New Roman" w:hAnsi="Times New Roman"/>
                <w:b/>
                <w:bCs/>
                <w:iCs/>
                <w:sz w:val="16"/>
                <w:szCs w:val="16"/>
              </w:rPr>
            </w:pPr>
            <w:r w:rsidRPr="005830B5">
              <w:rPr>
                <w:rFonts w:ascii="Times New Roman" w:hAnsi="Times New Roman"/>
                <w:b/>
                <w:bCs/>
                <w:iCs/>
                <w:sz w:val="16"/>
                <w:szCs w:val="16"/>
              </w:rPr>
              <w:t>-31 043</w:t>
            </w:r>
          </w:p>
        </w:tc>
        <w:tc>
          <w:tcPr>
            <w:tcW w:w="741" w:type="dxa"/>
            <w:tcBorders>
              <w:top w:val="single" w:sz="6" w:space="0" w:color="auto"/>
              <w:left w:val="single" w:sz="6" w:space="0" w:color="auto"/>
              <w:bottom w:val="single" w:sz="4" w:space="0" w:color="auto"/>
              <w:right w:val="single" w:sz="6" w:space="0" w:color="auto"/>
            </w:tcBorders>
            <w:shd w:val="clear" w:color="000000" w:fill="C0C0C0"/>
            <w:noWrap/>
            <w:textDirection w:val="lrTb"/>
            <w:vAlign w:val="bottom"/>
            <w:hideMark/>
          </w:tcPr>
          <w:p w:rsidR="007757C9" w:rsidRPr="005830B5" w:rsidP="000008FE">
            <w:pPr>
              <w:bidi w:val="0"/>
              <w:jc w:val="right"/>
              <w:rPr>
                <w:rFonts w:ascii="Times New Roman" w:hAnsi="Times New Roman"/>
                <w:b/>
                <w:bCs/>
                <w:iCs/>
                <w:sz w:val="16"/>
                <w:szCs w:val="16"/>
              </w:rPr>
            </w:pPr>
            <w:r w:rsidRPr="005830B5">
              <w:rPr>
                <w:rFonts w:ascii="Times New Roman" w:hAnsi="Times New Roman"/>
                <w:b/>
                <w:bCs/>
                <w:iCs/>
                <w:sz w:val="16"/>
                <w:szCs w:val="16"/>
              </w:rPr>
              <w:t>0</w:t>
            </w:r>
          </w:p>
        </w:tc>
        <w:tc>
          <w:tcPr>
            <w:tcW w:w="710" w:type="dxa"/>
            <w:tcBorders>
              <w:top w:val="single" w:sz="6" w:space="0" w:color="auto"/>
              <w:left w:val="single" w:sz="6" w:space="0" w:color="auto"/>
              <w:bottom w:val="single" w:sz="4" w:space="0" w:color="auto"/>
              <w:right w:val="single" w:sz="4" w:space="0" w:color="auto"/>
            </w:tcBorders>
            <w:shd w:val="clear" w:color="000000" w:fill="C0C0C0"/>
            <w:noWrap/>
            <w:textDirection w:val="lrTb"/>
            <w:vAlign w:val="bottom"/>
            <w:hideMark/>
          </w:tcPr>
          <w:p w:rsidR="007757C9" w:rsidRPr="005830B5" w:rsidP="000008FE">
            <w:pPr>
              <w:bidi w:val="0"/>
              <w:jc w:val="right"/>
              <w:rPr>
                <w:rFonts w:ascii="Times New Roman" w:hAnsi="Times New Roman"/>
                <w:b/>
                <w:bCs/>
                <w:iCs/>
                <w:sz w:val="16"/>
                <w:szCs w:val="16"/>
              </w:rPr>
            </w:pPr>
            <w:r w:rsidRPr="005830B5">
              <w:rPr>
                <w:rFonts w:ascii="Times New Roman" w:hAnsi="Times New Roman"/>
                <w:b/>
                <w:bCs/>
                <w:iCs/>
                <w:sz w:val="16"/>
                <w:szCs w:val="16"/>
              </w:rPr>
              <w:t>0</w:t>
            </w:r>
          </w:p>
        </w:tc>
      </w:tr>
    </w:tbl>
    <w:p w:rsidR="00C37A0B" w:rsidRPr="00C37A0B" w:rsidP="00C37A0B">
      <w:pPr>
        <w:bidi w:val="0"/>
        <w:rPr>
          <w:rFonts w:ascii="Times New Roman" w:hAnsi="Times New Roman"/>
          <w:vanish/>
        </w:rPr>
      </w:pPr>
    </w:p>
    <w:tbl>
      <w:tblPr>
        <w:tblStyle w:val="TableNormal"/>
        <w:tblpPr w:leftFromText="141" w:rightFromText="141" w:vertAnchor="text" w:horzAnchor="margin" w:tblpY="78"/>
        <w:tblW w:w="9584" w:type="dxa"/>
        <w:tblCellMar>
          <w:left w:w="70" w:type="dxa"/>
          <w:right w:w="70" w:type="dxa"/>
        </w:tblCellMar>
        <w:tblLook w:val="04A0"/>
      </w:tblPr>
      <w:tblGrid>
        <w:gridCol w:w="9584"/>
      </w:tblGrid>
      <w:tr>
        <w:tblPrEx>
          <w:tblW w:w="9584" w:type="dxa"/>
          <w:tblCellMar>
            <w:left w:w="70" w:type="dxa"/>
            <w:right w:w="70" w:type="dxa"/>
          </w:tblCellMar>
          <w:tblLook w:val="04A0"/>
        </w:tblPrEx>
        <w:trPr>
          <w:trHeight w:val="510"/>
        </w:trPr>
        <w:tc>
          <w:tcPr>
            <w:tcW w:w="9584" w:type="dxa"/>
            <w:tcBorders>
              <w:top w:val="none" w:sz="0" w:space="0" w:color="auto"/>
              <w:left w:val="none" w:sz="0" w:space="0" w:color="auto"/>
              <w:bottom w:val="none" w:sz="0" w:space="0" w:color="auto"/>
              <w:right w:val="none" w:sz="0" w:space="0" w:color="auto"/>
            </w:tcBorders>
            <w:textDirection w:val="lrTb"/>
            <w:vAlign w:val="top"/>
            <w:hideMark/>
          </w:tcPr>
          <w:p w:rsidR="006C0389" w:rsidRPr="00AA4327" w:rsidP="000008FE">
            <w:pPr>
              <w:bidi w:val="0"/>
              <w:ind w:left="284"/>
              <w:rPr>
                <w:rFonts w:ascii="Times New Roman" w:hAnsi="Times New Roman"/>
                <w:sz w:val="16"/>
                <w:szCs w:val="16"/>
              </w:rPr>
            </w:pPr>
            <w:r>
              <w:rPr>
                <w:rFonts w:ascii="Times New Roman" w:hAnsi="Times New Roman"/>
                <w:sz w:val="16"/>
                <w:szCs w:val="16"/>
              </w:rPr>
              <w:t xml:space="preserve">* Recyklačný fond sa zaradil </w:t>
            </w:r>
            <w:r w:rsidRPr="00AA4327">
              <w:rPr>
                <w:rFonts w:ascii="Times New Roman" w:hAnsi="Times New Roman"/>
                <w:sz w:val="16"/>
                <w:szCs w:val="16"/>
              </w:rPr>
              <w:t>ako s</w:t>
            </w:r>
            <w:r>
              <w:rPr>
                <w:rFonts w:ascii="Times New Roman" w:hAnsi="Times New Roman"/>
                <w:sz w:val="16"/>
                <w:szCs w:val="16"/>
              </w:rPr>
              <w:t xml:space="preserve">ubjekt verejnej správy jarnou </w:t>
            </w:r>
            <w:r w:rsidRPr="00AA4327">
              <w:rPr>
                <w:rFonts w:ascii="Times New Roman" w:hAnsi="Times New Roman"/>
                <w:sz w:val="16"/>
                <w:szCs w:val="16"/>
              </w:rPr>
              <w:t>notifikáciou v roku 201</w:t>
            </w:r>
            <w:r>
              <w:rPr>
                <w:rFonts w:ascii="Times New Roman" w:hAnsi="Times New Roman"/>
                <w:sz w:val="16"/>
                <w:szCs w:val="16"/>
              </w:rPr>
              <w:t>5, preto</w:t>
            </w:r>
            <w:r w:rsidRPr="00AA4327">
              <w:rPr>
                <w:rFonts w:ascii="Times New Roman" w:hAnsi="Times New Roman"/>
                <w:sz w:val="16"/>
                <w:szCs w:val="16"/>
              </w:rPr>
              <w:t xml:space="preserve"> ako subjekt verejnej správy nevykazuje skutočnosť za roky 2013 a</w:t>
            </w:r>
            <w:r w:rsidR="008642CF">
              <w:rPr>
                <w:rFonts w:ascii="Times New Roman" w:hAnsi="Times New Roman"/>
                <w:sz w:val="16"/>
                <w:szCs w:val="16"/>
              </w:rPr>
              <w:t> </w:t>
            </w:r>
            <w:r w:rsidRPr="00AA4327">
              <w:rPr>
                <w:rFonts w:ascii="Times New Roman" w:hAnsi="Times New Roman"/>
                <w:sz w:val="16"/>
                <w:szCs w:val="16"/>
              </w:rPr>
              <w:t>201</w:t>
            </w:r>
            <w:r w:rsidRPr="006E4083">
              <w:rPr>
                <w:rFonts w:ascii="Times New Roman" w:hAnsi="Times New Roman"/>
                <w:sz w:val="16"/>
                <w:szCs w:val="16"/>
              </w:rPr>
              <w:t>4</w:t>
            </w:r>
            <w:r w:rsidRPr="006E4083" w:rsidR="008642CF">
              <w:rPr>
                <w:rFonts w:ascii="Times New Roman" w:hAnsi="Times New Roman"/>
                <w:sz w:val="16"/>
                <w:szCs w:val="16"/>
              </w:rPr>
              <w:t>.</w:t>
            </w:r>
          </w:p>
        </w:tc>
      </w:tr>
    </w:tbl>
    <w:p w:rsidR="006C0389" w:rsidRPr="002A0DAC" w:rsidP="006C0389">
      <w:pPr>
        <w:pStyle w:val="BodyTextIndent"/>
        <w:bidi w:val="0"/>
        <w:ind w:left="0"/>
        <w:jc w:val="both"/>
        <w:rPr>
          <w:rFonts w:ascii="Times New Roman" w:hAnsi="Times New Roman"/>
          <w:b/>
          <w:color w:val="000000"/>
          <w:sz w:val="16"/>
          <w:szCs w:val="16"/>
        </w:rPr>
      </w:pPr>
    </w:p>
    <w:p w:rsidR="004F4345" w:rsidP="004F4345">
      <w:pPr>
        <w:pStyle w:val="BodyTextIndent"/>
        <w:bidi w:val="0"/>
        <w:ind w:left="0" w:firstLine="708"/>
        <w:jc w:val="both"/>
        <w:rPr>
          <w:rFonts w:ascii="Times New Roman" w:hAnsi="Times New Roman"/>
        </w:rPr>
      </w:pPr>
      <w:r w:rsidRPr="006C0389" w:rsidR="006C0389">
        <w:rPr>
          <w:rFonts w:ascii="Times New Roman" w:hAnsi="Times New Roman"/>
        </w:rPr>
        <w:t>Príjmy Recyklačného fondu (ďalej len „RF“) na rok 2016 sa rozpočtujú v sume         39 mil. eur, pričom tento objem klesá oproti rozpočtu</w:t>
      </w:r>
      <w:r w:rsidR="00FE592A">
        <w:rPr>
          <w:rFonts w:ascii="Times New Roman" w:hAnsi="Times New Roman"/>
        </w:rPr>
        <w:t xml:space="preserve"> </w:t>
      </w:r>
      <w:r w:rsidR="006244B6">
        <w:rPr>
          <w:rFonts w:ascii="Times New Roman" w:hAnsi="Times New Roman"/>
        </w:rPr>
        <w:t>na</w:t>
      </w:r>
      <w:r w:rsidR="00FE592A">
        <w:rPr>
          <w:rFonts w:ascii="Times New Roman" w:hAnsi="Times New Roman"/>
        </w:rPr>
        <w:t xml:space="preserve"> </w:t>
      </w:r>
      <w:r w:rsidRPr="006C0389" w:rsidR="006C0389">
        <w:rPr>
          <w:rFonts w:ascii="Times New Roman" w:hAnsi="Times New Roman"/>
        </w:rPr>
        <w:t>rok 2015 o 38 %. Uvedenú medziročnú zmenu ovplyvnil pokles príjmov od dovozcov a výrobcov jednotlivých komodít, v dôsledku očakávaného zániku RF k 31. decembru 2016. Najvyšší podiel z rozpočtovaných príjmov predstavujú v sume 36,5 mil. eur zostatky prostriedkov z predchádzajúceho roka a zvyšok príjmov v objeme 2,6 mil. eur je tvorený nedaňovými príjmami.</w:t>
      </w:r>
    </w:p>
    <w:p w:rsidR="006C0389" w:rsidRPr="006C0389" w:rsidP="004F4345">
      <w:pPr>
        <w:pStyle w:val="BodyTextIndent"/>
        <w:bidi w:val="0"/>
        <w:ind w:left="0" w:firstLine="708"/>
        <w:jc w:val="both"/>
        <w:rPr>
          <w:rFonts w:ascii="Times New Roman" w:hAnsi="Times New Roman"/>
        </w:rPr>
      </w:pPr>
      <w:r w:rsidR="004F4345">
        <w:rPr>
          <w:rFonts w:ascii="Times New Roman" w:hAnsi="Times New Roman"/>
          <w:sz w:val="16"/>
          <w:szCs w:val="16"/>
        </w:rPr>
        <w:t xml:space="preserve"> </w:t>
      </w:r>
      <w:r w:rsidRPr="006C0389">
        <w:rPr>
          <w:rFonts w:ascii="Times New Roman" w:hAnsi="Times New Roman"/>
        </w:rPr>
        <w:t xml:space="preserve">Výdavky RF na rok 2016 sa rozpočtujú v sume 33,7 mil. eur, </w:t>
      </w:r>
      <w:r w:rsidR="00F53AF1">
        <w:rPr>
          <w:rFonts w:ascii="Times New Roman" w:hAnsi="Times New Roman"/>
        </w:rPr>
        <w:t xml:space="preserve">s medziročným nárastom 130 % v </w:t>
      </w:r>
      <w:r w:rsidR="006244B6">
        <w:rPr>
          <w:rFonts w:ascii="Times New Roman" w:hAnsi="Times New Roman"/>
        </w:rPr>
        <w:t xml:space="preserve">porovnaní s rozpočtom </w:t>
      </w:r>
      <w:r w:rsidR="00F53AF1">
        <w:rPr>
          <w:rFonts w:ascii="Times New Roman" w:hAnsi="Times New Roman"/>
        </w:rPr>
        <w:t xml:space="preserve">RF </w:t>
      </w:r>
      <w:r w:rsidR="006244B6">
        <w:rPr>
          <w:rFonts w:ascii="Times New Roman" w:hAnsi="Times New Roman"/>
        </w:rPr>
        <w:t>rok</w:t>
      </w:r>
      <w:r w:rsidR="00F53AF1">
        <w:rPr>
          <w:rFonts w:ascii="Times New Roman" w:hAnsi="Times New Roman"/>
        </w:rPr>
        <w:t>u</w:t>
      </w:r>
      <w:r w:rsidR="006244B6">
        <w:rPr>
          <w:rFonts w:ascii="Times New Roman" w:hAnsi="Times New Roman"/>
        </w:rPr>
        <w:t xml:space="preserve"> 2015</w:t>
      </w:r>
      <w:r w:rsidR="00F53AF1">
        <w:rPr>
          <w:rFonts w:ascii="Times New Roman" w:hAnsi="Times New Roman"/>
        </w:rPr>
        <w:t>.</w:t>
      </w:r>
      <w:r w:rsidRPr="006C0389">
        <w:rPr>
          <w:rFonts w:ascii="Times New Roman" w:hAnsi="Times New Roman"/>
        </w:rPr>
        <w:t xml:space="preserve"> Dôvodom nárastu výdavkov je očakávaný zánik subjektu ku koncu roku 2016 a s tým súvisiace očakávané dočerpanie výdavkov. Bežné výdavky sú rozpočtované v sume 10,2 mil. eur a kapitálové vo výške </w:t>
      </w:r>
      <w:r w:rsidR="00F53AF1">
        <w:rPr>
          <w:rFonts w:ascii="Times New Roman" w:hAnsi="Times New Roman"/>
        </w:rPr>
        <w:br/>
      </w:r>
      <w:r w:rsidRPr="006C0389">
        <w:rPr>
          <w:rFonts w:ascii="Times New Roman" w:hAnsi="Times New Roman"/>
        </w:rPr>
        <w:t>23,5 mil. eur. Výdavky fondu sú určené na zabezpečenie zberu a zhodnotenia odpadov a spracovania starých vozidiel. Ďalej výdavky smer</w:t>
      </w:r>
      <w:r w:rsidR="00FE592A">
        <w:rPr>
          <w:rFonts w:ascii="Times New Roman" w:hAnsi="Times New Roman"/>
        </w:rPr>
        <w:t xml:space="preserve">ovali </w:t>
      </w:r>
      <w:r w:rsidRPr="006C0389">
        <w:rPr>
          <w:rFonts w:ascii="Times New Roman" w:hAnsi="Times New Roman"/>
        </w:rPr>
        <w:t>na finančnú podporu obciam a ich združeniam za separovanie odpadu a jeho odovzdávanie na ďalšie zhodnotenie.</w:t>
        <w:tab/>
      </w:r>
    </w:p>
    <w:p w:rsidR="006C0389" w:rsidRPr="006C0389" w:rsidP="006C0389">
      <w:pPr>
        <w:pStyle w:val="BodyTextIndent"/>
        <w:bidi w:val="0"/>
        <w:ind w:left="0" w:firstLine="708"/>
        <w:jc w:val="both"/>
        <w:rPr>
          <w:rFonts w:ascii="Times New Roman" w:hAnsi="Times New Roman"/>
        </w:rPr>
      </w:pPr>
      <w:r w:rsidRPr="006C0389">
        <w:rPr>
          <w:rFonts w:ascii="Times New Roman" w:hAnsi="Times New Roman"/>
        </w:rPr>
        <w:t>Celkový hotovostný prebytok prostriedkov RF na rok 2016 predstavuje 5,45 mil. eur a v metodike ESA 2010 sa v roku 2016 predpokladá schodok vo výške 31 mil. eur. Návrh rozpočtu príjmov a výdavkov R</w:t>
      </w:r>
      <w:r w:rsidR="00701F89">
        <w:rPr>
          <w:rFonts w:ascii="Times New Roman" w:hAnsi="Times New Roman"/>
        </w:rPr>
        <w:t>F</w:t>
      </w:r>
      <w:r w:rsidRPr="006C0389">
        <w:rPr>
          <w:rFonts w:ascii="Times New Roman" w:hAnsi="Times New Roman"/>
        </w:rPr>
        <w:t xml:space="preserve"> je spracovaný na základe súčasne platnej legislatívy.</w:t>
      </w:r>
    </w:p>
    <w:sectPr w:rsidSect="009172A9">
      <w:footerReference w:type="even" r:id="rId8"/>
      <w:footerReference w:type="default" r:id="rId9"/>
      <w:pgSz w:w="11906" w:h="16838" w:code="9"/>
      <w:pgMar w:top="1418" w:right="1418" w:bottom="1418" w:left="1418" w:header="709" w:footer="709"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00"/>
    <w:family w:val="roman"/>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00"/>
    <w:family w:val="swiss"/>
    <w:pitch w:val="variable"/>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107" w:rsidP="005E7BB6">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AA410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107">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236EEF">
      <w:rPr>
        <w:rFonts w:ascii="Times New Roman" w:hAnsi="Times New Roman"/>
      </w:rPr>
      <w:t>2</w:t>
    </w:r>
    <w:r>
      <w:rPr>
        <w:rFonts w:ascii="Times New Roman" w:hAnsi="Times New Roman"/>
      </w:rPr>
      <w:fldChar w:fldCharType="end"/>
    </w:r>
  </w:p>
  <w:p w:rsidR="00AA410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123C"/>
    <w:multiLevelType w:val="hybridMultilevel"/>
    <w:tmpl w:val="6002B0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3E297B"/>
    <w:multiLevelType w:val="hybridMultilevel"/>
    <w:tmpl w:val="04905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C202F66"/>
    <w:multiLevelType w:val="hybridMultilevel"/>
    <w:tmpl w:val="0DF82F4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0"/>
      <w:numFmt w:val="bullet"/>
      <w:lvlText w:val="-"/>
      <w:lvlJc w:val="left"/>
      <w:pPr>
        <w:tabs>
          <w:tab w:val="num" w:pos="1800"/>
        </w:tabs>
        <w:ind w:left="1800" w:hanging="360"/>
      </w:pPr>
      <w:rPr>
        <w:rFonts w:ascii="Times New Roman" w:eastAsia="Times New Roman" w:hAnsi="Times New Roman"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21993547"/>
    <w:multiLevelType w:val="hybridMultilevel"/>
    <w:tmpl w:val="ECEC9AF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7A6565C"/>
    <w:multiLevelType w:val="hybridMultilevel"/>
    <w:tmpl w:val="CEECB70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2F6A2EF4"/>
    <w:multiLevelType w:val="hybridMultilevel"/>
    <w:tmpl w:val="D32004A6"/>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30B12BA7"/>
    <w:multiLevelType w:val="hybridMultilevel"/>
    <w:tmpl w:val="97A65B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527517E"/>
    <w:multiLevelType w:val="hybridMultilevel"/>
    <w:tmpl w:val="680285C2"/>
    <w:lvl w:ilvl="0">
      <w:start w:val="670"/>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6230F40"/>
    <w:multiLevelType w:val="hybridMultilevel"/>
    <w:tmpl w:val="C60EC494"/>
    <w:lvl w:ilvl="0">
      <w:start w:val="8"/>
      <w:numFmt w:val="bullet"/>
      <w:lvlText w:val="-"/>
      <w:lvlJc w:val="left"/>
      <w:pPr>
        <w:ind w:left="840" w:hanging="360"/>
      </w:pPr>
      <w:rPr>
        <w:rFonts w:ascii="Arial Narrow" w:eastAsia="Times New Roman" w:hAnsi="Arial Narrow" w:hint="default"/>
      </w:rPr>
    </w:lvl>
    <w:lvl w:ilvl="1">
      <w:start w:val="1"/>
      <w:numFmt w:val="bullet"/>
      <w:lvlText w:val="o"/>
      <w:lvlJc w:val="left"/>
      <w:pPr>
        <w:ind w:left="1560" w:hanging="360"/>
      </w:pPr>
      <w:rPr>
        <w:rFonts w:ascii="Courier New" w:hAnsi="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hint="default"/>
      </w:rPr>
    </w:lvl>
    <w:lvl w:ilvl="8">
      <w:start w:val="1"/>
      <w:numFmt w:val="bullet"/>
      <w:lvlText w:val=""/>
      <w:lvlJc w:val="left"/>
      <w:pPr>
        <w:ind w:left="6600" w:hanging="360"/>
      </w:pPr>
      <w:rPr>
        <w:rFonts w:ascii="Wingdings" w:hAnsi="Wingdings" w:hint="default"/>
      </w:rPr>
    </w:lvl>
  </w:abstractNum>
  <w:abstractNum w:abstractNumId="9">
    <w:nsid w:val="372E0EE7"/>
    <w:multiLevelType w:val="multilevel"/>
    <w:tmpl w:val="041B001F"/>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792"/>
        </w:tabs>
        <w:ind w:left="792" w:hanging="432"/>
      </w:pPr>
      <w:rPr>
        <w:rFonts w:cs="Times New Roman" w:hint="default"/>
        <w:rtl w:val="0"/>
        <w:cs w:val="0"/>
      </w:rPr>
    </w:lvl>
    <w:lvl w:ilvl="2">
      <w:start w:val="1"/>
      <w:numFmt w:val="decimal"/>
      <w:lvlText w:val="%1.%2.%3."/>
      <w:lvlJc w:val="left"/>
      <w:pPr>
        <w:tabs>
          <w:tab w:val="num" w:pos="1224"/>
        </w:tabs>
        <w:ind w:left="1224" w:hanging="504"/>
      </w:pPr>
      <w:rPr>
        <w:rFonts w:cs="Times New Roman" w:hint="default"/>
        <w:rtl w:val="0"/>
        <w:cs w:val="0"/>
      </w:rPr>
    </w:lvl>
    <w:lvl w:ilvl="3">
      <w:start w:val="1"/>
      <w:numFmt w:val="decimal"/>
      <w:lvlText w:val="%1.%2.%3.%4."/>
      <w:lvlJc w:val="left"/>
      <w:pPr>
        <w:tabs>
          <w:tab w:val="num" w:pos="1728"/>
        </w:tabs>
        <w:ind w:left="1728" w:hanging="648"/>
      </w:pPr>
      <w:rPr>
        <w:rFonts w:cs="Times New Roman" w:hint="default"/>
        <w:rtl w:val="0"/>
        <w:cs w:val="0"/>
      </w:rPr>
    </w:lvl>
    <w:lvl w:ilvl="4">
      <w:start w:val="1"/>
      <w:numFmt w:val="decimal"/>
      <w:lvlText w:val="%1.%2.%3.%4.%5."/>
      <w:lvlJc w:val="left"/>
      <w:pPr>
        <w:tabs>
          <w:tab w:val="num" w:pos="2232"/>
        </w:tabs>
        <w:ind w:left="2232" w:hanging="792"/>
      </w:pPr>
      <w:rPr>
        <w:rFonts w:cs="Times New Roman" w:hint="default"/>
        <w:rtl w:val="0"/>
        <w:cs w:val="0"/>
      </w:rPr>
    </w:lvl>
    <w:lvl w:ilvl="5">
      <w:start w:val="1"/>
      <w:numFmt w:val="decimal"/>
      <w:lvlText w:val="%1.%2.%3.%4.%5.%6."/>
      <w:lvlJc w:val="left"/>
      <w:pPr>
        <w:tabs>
          <w:tab w:val="num" w:pos="2736"/>
        </w:tabs>
        <w:ind w:left="2736" w:hanging="936"/>
      </w:pPr>
      <w:rPr>
        <w:rFonts w:cs="Times New Roman" w:hint="default"/>
        <w:rtl w:val="0"/>
        <w:cs w:val="0"/>
      </w:rPr>
    </w:lvl>
    <w:lvl w:ilvl="6">
      <w:start w:val="1"/>
      <w:numFmt w:val="decimal"/>
      <w:lvlText w:val="%1.%2.%3.%4.%5.%6.%7."/>
      <w:lvlJc w:val="left"/>
      <w:pPr>
        <w:tabs>
          <w:tab w:val="num" w:pos="3240"/>
        </w:tabs>
        <w:ind w:left="3240" w:hanging="1080"/>
      </w:pPr>
      <w:rPr>
        <w:rFonts w:cs="Times New Roman" w:hint="default"/>
        <w:rtl w:val="0"/>
        <w:cs w:val="0"/>
      </w:rPr>
    </w:lvl>
    <w:lvl w:ilvl="7">
      <w:start w:val="1"/>
      <w:numFmt w:val="decimal"/>
      <w:lvlText w:val="%1.%2.%3.%4.%5.%6.%7.%8."/>
      <w:lvlJc w:val="left"/>
      <w:pPr>
        <w:tabs>
          <w:tab w:val="num" w:pos="3744"/>
        </w:tabs>
        <w:ind w:left="3744" w:hanging="1224"/>
      </w:pPr>
      <w:rPr>
        <w:rFonts w:cs="Times New Roman" w:hint="default"/>
        <w:rtl w:val="0"/>
        <w:cs w:val="0"/>
      </w:rPr>
    </w:lvl>
    <w:lvl w:ilvl="8">
      <w:start w:val="1"/>
      <w:numFmt w:val="decimal"/>
      <w:lvlText w:val="%1.%2.%3.%4.%5.%6.%7.%8.%9."/>
      <w:lvlJc w:val="left"/>
      <w:pPr>
        <w:tabs>
          <w:tab w:val="num" w:pos="4320"/>
        </w:tabs>
        <w:ind w:left="4320" w:hanging="1440"/>
      </w:pPr>
      <w:rPr>
        <w:rFonts w:cs="Times New Roman" w:hint="default"/>
        <w:rtl w:val="0"/>
        <w:cs w:val="0"/>
      </w:rPr>
    </w:lvl>
  </w:abstractNum>
  <w:abstractNum w:abstractNumId="10">
    <w:nsid w:val="3BBD1270"/>
    <w:multiLevelType w:val="hybridMultilevel"/>
    <w:tmpl w:val="5DA4CCA6"/>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05A070E"/>
    <w:multiLevelType w:val="hybridMultilevel"/>
    <w:tmpl w:val="48E27F5E"/>
    <w:lvl w:ilvl="0">
      <w:start w:val="6"/>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F581C1B"/>
    <w:multiLevelType w:val="hybridMultilevel"/>
    <w:tmpl w:val="879AA0A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52E901BA"/>
    <w:multiLevelType w:val="multilevel"/>
    <w:tmpl w:val="CED44206"/>
    <w:lvl w:ilvl="0">
      <w:start w:val="1"/>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792"/>
        </w:tabs>
        <w:ind w:left="792" w:hanging="432"/>
      </w:pPr>
      <w:rPr>
        <w:rFonts w:cs="Times New Roman" w:hint="default"/>
        <w:rtl w:val="0"/>
        <w:cs w:val="0"/>
      </w:rPr>
    </w:lvl>
    <w:lvl w:ilvl="2">
      <w:start w:val="1"/>
      <w:numFmt w:val="decimal"/>
      <w:pStyle w:val="Zkladntext"/>
      <w:lvlText w:val="%1.%2.%3."/>
      <w:lvlJc w:val="left"/>
      <w:pPr>
        <w:tabs>
          <w:tab w:val="num" w:pos="357"/>
        </w:tabs>
        <w:ind w:left="357" w:hanging="357"/>
      </w:pPr>
      <w:rPr>
        <w:rFonts w:cs="Times New Roman" w:hint="default"/>
        <w:rtl w:val="0"/>
        <w:cs w:val="0"/>
      </w:rPr>
    </w:lvl>
    <w:lvl w:ilvl="3">
      <w:start w:val="1"/>
      <w:numFmt w:val="decimal"/>
      <w:lvlText w:val="%1.%2.%3.%4."/>
      <w:lvlJc w:val="left"/>
      <w:pPr>
        <w:tabs>
          <w:tab w:val="num" w:pos="1800"/>
        </w:tabs>
        <w:ind w:left="1728" w:hanging="648"/>
      </w:pPr>
      <w:rPr>
        <w:rFonts w:cs="Times New Roman" w:hint="default"/>
        <w:rtl w:val="0"/>
        <w:cs w:val="0"/>
      </w:rPr>
    </w:lvl>
    <w:lvl w:ilvl="4">
      <w:start w:val="1"/>
      <w:numFmt w:val="decimal"/>
      <w:lvlText w:val="%1.%2.%3.%4.%5."/>
      <w:lvlJc w:val="left"/>
      <w:pPr>
        <w:tabs>
          <w:tab w:val="num" w:pos="2520"/>
        </w:tabs>
        <w:ind w:left="2232" w:hanging="792"/>
      </w:pPr>
      <w:rPr>
        <w:rFonts w:cs="Times New Roman" w:hint="default"/>
        <w:rtl w:val="0"/>
        <w:cs w:val="0"/>
      </w:rPr>
    </w:lvl>
    <w:lvl w:ilvl="5">
      <w:start w:val="1"/>
      <w:numFmt w:val="decimal"/>
      <w:lvlText w:val="%1.%2.%3.%4.%5.%6."/>
      <w:lvlJc w:val="left"/>
      <w:pPr>
        <w:tabs>
          <w:tab w:val="num" w:pos="2880"/>
        </w:tabs>
        <w:ind w:left="2736" w:hanging="936"/>
      </w:pPr>
      <w:rPr>
        <w:rFonts w:cs="Times New Roman" w:hint="default"/>
        <w:rtl w:val="0"/>
        <w:cs w:val="0"/>
      </w:rPr>
    </w:lvl>
    <w:lvl w:ilvl="6">
      <w:start w:val="1"/>
      <w:numFmt w:val="decimal"/>
      <w:lvlText w:val="%1.%2.%3.%4.%5.%6.%7."/>
      <w:lvlJc w:val="left"/>
      <w:pPr>
        <w:tabs>
          <w:tab w:val="num" w:pos="3600"/>
        </w:tabs>
        <w:ind w:left="3240" w:hanging="1080"/>
      </w:pPr>
      <w:rPr>
        <w:rFonts w:cs="Times New Roman" w:hint="default"/>
        <w:rtl w:val="0"/>
        <w:cs w:val="0"/>
      </w:rPr>
    </w:lvl>
    <w:lvl w:ilvl="7">
      <w:start w:val="1"/>
      <w:numFmt w:val="decimal"/>
      <w:lvlText w:val="%1.%2.%3.%4.%5.%6.%7.%8."/>
      <w:lvlJc w:val="left"/>
      <w:pPr>
        <w:tabs>
          <w:tab w:val="num" w:pos="3960"/>
        </w:tabs>
        <w:ind w:left="3744" w:hanging="1224"/>
      </w:pPr>
      <w:rPr>
        <w:rFonts w:cs="Times New Roman" w:hint="default"/>
        <w:rtl w:val="0"/>
        <w:cs w:val="0"/>
      </w:rPr>
    </w:lvl>
    <w:lvl w:ilvl="8">
      <w:start w:val="1"/>
      <w:numFmt w:val="decimal"/>
      <w:lvlText w:val="%1.%2.%3.%4.%5.%6.%7.%8.%9."/>
      <w:lvlJc w:val="left"/>
      <w:pPr>
        <w:tabs>
          <w:tab w:val="num" w:pos="4680"/>
        </w:tabs>
        <w:ind w:left="4320" w:hanging="1440"/>
      </w:pPr>
      <w:rPr>
        <w:rFonts w:cs="Times New Roman" w:hint="default"/>
        <w:rtl w:val="0"/>
        <w:cs w:val="0"/>
      </w:rPr>
    </w:lvl>
  </w:abstractNum>
  <w:abstractNum w:abstractNumId="14">
    <w:nsid w:val="579075F5"/>
    <w:multiLevelType w:val="hybridMultilevel"/>
    <w:tmpl w:val="CB342EBE"/>
    <w:lvl w:ilvl="0">
      <w:start w:val="1"/>
      <w:numFmt w:val="bullet"/>
      <w:lvlText w:val="-"/>
      <w:lvlJc w:val="left"/>
      <w:pPr>
        <w:tabs>
          <w:tab w:val="num" w:pos="900"/>
        </w:tabs>
        <w:ind w:left="900" w:hanging="360"/>
      </w:pPr>
      <w:rPr>
        <w:rFonts w:ascii="Arial Narrow" w:eastAsia="Times New Roman" w:hAnsi="Arial Narrow"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5">
    <w:nsid w:val="587C64B9"/>
    <w:multiLevelType w:val="hybridMultilevel"/>
    <w:tmpl w:val="E4A8A142"/>
    <w:lvl w:ilvl="0">
      <w:start w:val="3"/>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25700F5"/>
    <w:multiLevelType w:val="hybridMultilevel"/>
    <w:tmpl w:val="B1E4EFD8"/>
    <w:lvl w:ilvl="0">
      <w:start w:val="1"/>
      <w:numFmt w:val="bullet"/>
      <w:lvlText w:val=""/>
      <w:lvlJc w:val="left"/>
      <w:pPr>
        <w:ind w:left="880" w:hanging="360"/>
      </w:pPr>
      <w:rPr>
        <w:rFonts w:ascii="Wingdings" w:hAnsi="Wingdings" w:hint="default"/>
      </w:rPr>
    </w:lvl>
    <w:lvl w:ilvl="1">
      <w:start w:val="1"/>
      <w:numFmt w:val="bullet"/>
      <w:lvlText w:val="o"/>
      <w:lvlJc w:val="left"/>
      <w:pPr>
        <w:ind w:left="1600" w:hanging="360"/>
      </w:pPr>
      <w:rPr>
        <w:rFonts w:ascii="Courier New" w:hAnsi="Courier New" w:hint="default"/>
      </w:rPr>
    </w:lvl>
    <w:lvl w:ilvl="2">
      <w:start w:val="1"/>
      <w:numFmt w:val="bullet"/>
      <w:lvlText w:val=""/>
      <w:lvlJc w:val="left"/>
      <w:pPr>
        <w:ind w:left="2320" w:hanging="360"/>
      </w:pPr>
      <w:rPr>
        <w:rFonts w:ascii="Wingdings" w:hAnsi="Wingdings" w:hint="default"/>
      </w:rPr>
    </w:lvl>
    <w:lvl w:ilvl="3">
      <w:start w:val="1"/>
      <w:numFmt w:val="bullet"/>
      <w:lvlText w:val=""/>
      <w:lvlJc w:val="left"/>
      <w:pPr>
        <w:ind w:left="3040" w:hanging="360"/>
      </w:pPr>
      <w:rPr>
        <w:rFonts w:ascii="Symbol" w:hAnsi="Symbol" w:hint="default"/>
      </w:rPr>
    </w:lvl>
    <w:lvl w:ilvl="4">
      <w:start w:val="1"/>
      <w:numFmt w:val="bullet"/>
      <w:lvlText w:val="o"/>
      <w:lvlJc w:val="left"/>
      <w:pPr>
        <w:ind w:left="3760" w:hanging="360"/>
      </w:pPr>
      <w:rPr>
        <w:rFonts w:ascii="Courier New" w:hAnsi="Courier New" w:hint="default"/>
      </w:rPr>
    </w:lvl>
    <w:lvl w:ilvl="5">
      <w:start w:val="1"/>
      <w:numFmt w:val="bullet"/>
      <w:lvlText w:val=""/>
      <w:lvlJc w:val="left"/>
      <w:pPr>
        <w:ind w:left="4480" w:hanging="360"/>
      </w:pPr>
      <w:rPr>
        <w:rFonts w:ascii="Wingdings" w:hAnsi="Wingdings" w:hint="default"/>
      </w:rPr>
    </w:lvl>
    <w:lvl w:ilvl="6">
      <w:start w:val="1"/>
      <w:numFmt w:val="bullet"/>
      <w:lvlText w:val=""/>
      <w:lvlJc w:val="left"/>
      <w:pPr>
        <w:ind w:left="5200" w:hanging="360"/>
      </w:pPr>
      <w:rPr>
        <w:rFonts w:ascii="Symbol" w:hAnsi="Symbol" w:hint="default"/>
      </w:rPr>
    </w:lvl>
    <w:lvl w:ilvl="7">
      <w:start w:val="1"/>
      <w:numFmt w:val="bullet"/>
      <w:lvlText w:val="o"/>
      <w:lvlJc w:val="left"/>
      <w:pPr>
        <w:ind w:left="5920" w:hanging="360"/>
      </w:pPr>
      <w:rPr>
        <w:rFonts w:ascii="Courier New" w:hAnsi="Courier New" w:hint="default"/>
      </w:rPr>
    </w:lvl>
    <w:lvl w:ilvl="8">
      <w:start w:val="1"/>
      <w:numFmt w:val="bullet"/>
      <w:lvlText w:val=""/>
      <w:lvlJc w:val="left"/>
      <w:pPr>
        <w:ind w:left="6640" w:hanging="360"/>
      </w:pPr>
      <w:rPr>
        <w:rFonts w:ascii="Wingdings" w:hAnsi="Wingdings" w:hint="default"/>
      </w:rPr>
    </w:lvl>
  </w:abstractNum>
  <w:abstractNum w:abstractNumId="17">
    <w:nsid w:val="668122F9"/>
    <w:multiLevelType w:val="hybridMultilevel"/>
    <w:tmpl w:val="CDDCE78C"/>
    <w:lvl w:ilvl="0">
      <w:start w:val="3"/>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7FF6A13"/>
    <w:multiLevelType w:val="hybridMultilevel"/>
    <w:tmpl w:val="B58A21FE"/>
    <w:lvl w:ilvl="0">
      <w:start w:val="0"/>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9">
    <w:nsid w:val="69D133A4"/>
    <w:multiLevelType w:val="multilevel"/>
    <w:tmpl w:val="041B001F"/>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224"/>
        </w:tabs>
        <w:ind w:left="1224" w:hanging="504"/>
      </w:pPr>
      <w:rPr>
        <w:rFonts w:cs="Times New Roman"/>
        <w:rtl w:val="0"/>
        <w:cs w:val="0"/>
      </w:rPr>
    </w:lvl>
    <w:lvl w:ilvl="3">
      <w:start w:val="1"/>
      <w:numFmt w:val="decimal"/>
      <w:lvlText w:val="%1.%2.%3.%4."/>
      <w:lvlJc w:val="left"/>
      <w:pPr>
        <w:tabs>
          <w:tab w:val="num" w:pos="1728"/>
        </w:tabs>
        <w:ind w:left="1728" w:hanging="648"/>
      </w:pPr>
      <w:rPr>
        <w:rFonts w:cs="Times New Roman"/>
        <w:rtl w:val="0"/>
        <w:cs w:val="0"/>
      </w:rPr>
    </w:lvl>
    <w:lvl w:ilvl="4">
      <w:start w:val="1"/>
      <w:numFmt w:val="decimal"/>
      <w:lvlText w:val="%1.%2.%3.%4.%5."/>
      <w:lvlJc w:val="left"/>
      <w:pPr>
        <w:tabs>
          <w:tab w:val="num" w:pos="2232"/>
        </w:tabs>
        <w:ind w:left="2232" w:hanging="792"/>
      </w:pPr>
      <w:rPr>
        <w:rFonts w:cs="Times New Roman"/>
        <w:rtl w:val="0"/>
        <w:cs w:val="0"/>
      </w:rPr>
    </w:lvl>
    <w:lvl w:ilvl="5">
      <w:start w:val="1"/>
      <w:numFmt w:val="decimal"/>
      <w:lvlText w:val="%1.%2.%3.%4.%5.%6."/>
      <w:lvlJc w:val="left"/>
      <w:pPr>
        <w:tabs>
          <w:tab w:val="num" w:pos="2736"/>
        </w:tabs>
        <w:ind w:left="2736" w:hanging="936"/>
      </w:pPr>
      <w:rPr>
        <w:rFonts w:cs="Times New Roman"/>
        <w:rtl w:val="0"/>
        <w:cs w:val="0"/>
      </w:rPr>
    </w:lvl>
    <w:lvl w:ilvl="6">
      <w:start w:val="1"/>
      <w:numFmt w:val="decimal"/>
      <w:lvlText w:val="%1.%2.%3.%4.%5.%6.%7."/>
      <w:lvlJc w:val="left"/>
      <w:pPr>
        <w:tabs>
          <w:tab w:val="num" w:pos="3240"/>
        </w:tabs>
        <w:ind w:left="3240" w:hanging="1080"/>
      </w:pPr>
      <w:rPr>
        <w:rFonts w:cs="Times New Roman"/>
        <w:rtl w:val="0"/>
        <w:cs w:val="0"/>
      </w:rPr>
    </w:lvl>
    <w:lvl w:ilvl="7">
      <w:start w:val="1"/>
      <w:numFmt w:val="decimal"/>
      <w:lvlText w:val="%1.%2.%3.%4.%5.%6.%7.%8."/>
      <w:lvlJc w:val="left"/>
      <w:pPr>
        <w:tabs>
          <w:tab w:val="num" w:pos="3744"/>
        </w:tabs>
        <w:ind w:left="3744" w:hanging="1224"/>
      </w:pPr>
      <w:rPr>
        <w:rFonts w:cs="Times New Roman"/>
        <w:rtl w:val="0"/>
        <w:cs w:val="0"/>
      </w:rPr>
    </w:lvl>
    <w:lvl w:ilvl="8">
      <w:start w:val="1"/>
      <w:numFmt w:val="decimal"/>
      <w:lvlText w:val="%1.%2.%3.%4.%5.%6.%7.%8.%9."/>
      <w:lvlJc w:val="left"/>
      <w:pPr>
        <w:tabs>
          <w:tab w:val="num" w:pos="4320"/>
        </w:tabs>
        <w:ind w:left="4320" w:hanging="1440"/>
      </w:pPr>
      <w:rPr>
        <w:rFonts w:cs="Times New Roman"/>
        <w:rtl w:val="0"/>
        <w:cs w:val="0"/>
      </w:rPr>
    </w:lvl>
  </w:abstractNum>
  <w:abstractNum w:abstractNumId="20">
    <w:nsid w:val="6D6E74A5"/>
    <w:multiLevelType w:val="hybridMultilevel"/>
    <w:tmpl w:val="6E9A9BE6"/>
    <w:lvl w:ilvl="0">
      <w:start w:val="108"/>
      <w:numFmt w:val="bullet"/>
      <w:lvlText w:val="-"/>
      <w:lvlJc w:val="left"/>
      <w:pPr>
        <w:tabs>
          <w:tab w:val="num" w:pos="720"/>
        </w:tabs>
        <w:ind w:left="720" w:hanging="360"/>
      </w:pPr>
      <w:rPr>
        <w:rFonts w:ascii="Arial Narrow" w:eastAsia="Times New Roman" w:hAnsi="Arial Narro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6672061"/>
    <w:multiLevelType w:val="hybridMultilevel"/>
    <w:tmpl w:val="A5484C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9C83819"/>
    <w:multiLevelType w:val="hybridMultilevel"/>
    <w:tmpl w:val="2974A1A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7F037323"/>
    <w:multiLevelType w:val="hybridMultilevel"/>
    <w:tmpl w:val="F87C61F0"/>
    <w:lvl w:ilvl="0">
      <w:start w:val="1"/>
      <w:numFmt w:val="bullet"/>
      <w:lvlText w:val="-"/>
      <w:lvlJc w:val="left"/>
      <w:pPr>
        <w:tabs>
          <w:tab w:val="num" w:pos="900"/>
        </w:tabs>
        <w:ind w:left="900" w:hanging="360"/>
      </w:pPr>
      <w:rPr>
        <w:rFonts w:ascii="Arial Narrow" w:eastAsia="Times New Roman" w:hAnsi="Arial Narrow"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4">
    <w:nsid w:val="7F652CAB"/>
    <w:multiLevelType w:val="hybridMultilevel"/>
    <w:tmpl w:val="C9426D80"/>
    <w:lvl w:ilvl="0">
      <w:start w:val="1"/>
      <w:numFmt w:val="bullet"/>
      <w:lvlText w:val=""/>
      <w:lvlJc w:val="left"/>
      <w:pPr>
        <w:ind w:left="885" w:hanging="360"/>
      </w:pPr>
      <w:rPr>
        <w:rFonts w:ascii="Wingdings" w:hAnsi="Wingdings" w:hint="default"/>
      </w:rPr>
    </w:lvl>
    <w:lvl w:ilvl="1">
      <w:start w:val="1"/>
      <w:numFmt w:val="bullet"/>
      <w:lvlText w:val="o"/>
      <w:lvlJc w:val="left"/>
      <w:pPr>
        <w:ind w:left="1605" w:hanging="360"/>
      </w:pPr>
      <w:rPr>
        <w:rFonts w:ascii="Courier New" w:hAnsi="Courier New" w:hint="default"/>
      </w:rPr>
    </w:lvl>
    <w:lvl w:ilvl="2">
      <w:start w:val="1"/>
      <w:numFmt w:val="bullet"/>
      <w:lvlText w:val=""/>
      <w:lvlJc w:val="left"/>
      <w:pPr>
        <w:ind w:left="2325" w:hanging="360"/>
      </w:pPr>
      <w:rPr>
        <w:rFonts w:ascii="Wingdings" w:hAnsi="Wingdings" w:hint="default"/>
      </w:rPr>
    </w:lvl>
    <w:lvl w:ilvl="3">
      <w:start w:val="1"/>
      <w:numFmt w:val="bullet"/>
      <w:lvlText w:val=""/>
      <w:lvlJc w:val="left"/>
      <w:pPr>
        <w:ind w:left="3045" w:hanging="360"/>
      </w:pPr>
      <w:rPr>
        <w:rFonts w:ascii="Symbol" w:hAnsi="Symbol" w:hint="default"/>
      </w:rPr>
    </w:lvl>
    <w:lvl w:ilvl="4">
      <w:start w:val="1"/>
      <w:numFmt w:val="bullet"/>
      <w:lvlText w:val="o"/>
      <w:lvlJc w:val="left"/>
      <w:pPr>
        <w:ind w:left="3765" w:hanging="360"/>
      </w:pPr>
      <w:rPr>
        <w:rFonts w:ascii="Courier New" w:hAnsi="Courier New" w:hint="default"/>
      </w:rPr>
    </w:lvl>
    <w:lvl w:ilvl="5">
      <w:start w:val="1"/>
      <w:numFmt w:val="bullet"/>
      <w:lvlText w:val=""/>
      <w:lvlJc w:val="left"/>
      <w:pPr>
        <w:ind w:left="4485" w:hanging="360"/>
      </w:pPr>
      <w:rPr>
        <w:rFonts w:ascii="Wingdings" w:hAnsi="Wingdings" w:hint="default"/>
      </w:rPr>
    </w:lvl>
    <w:lvl w:ilvl="6">
      <w:start w:val="1"/>
      <w:numFmt w:val="bullet"/>
      <w:lvlText w:val=""/>
      <w:lvlJc w:val="left"/>
      <w:pPr>
        <w:ind w:left="5205" w:hanging="360"/>
      </w:pPr>
      <w:rPr>
        <w:rFonts w:ascii="Symbol" w:hAnsi="Symbol" w:hint="default"/>
      </w:rPr>
    </w:lvl>
    <w:lvl w:ilvl="7">
      <w:start w:val="1"/>
      <w:numFmt w:val="bullet"/>
      <w:lvlText w:val="o"/>
      <w:lvlJc w:val="left"/>
      <w:pPr>
        <w:ind w:left="5925" w:hanging="360"/>
      </w:pPr>
      <w:rPr>
        <w:rFonts w:ascii="Courier New" w:hAnsi="Courier New" w:hint="default"/>
      </w:rPr>
    </w:lvl>
    <w:lvl w:ilvl="8">
      <w:start w:val="1"/>
      <w:numFmt w:val="bullet"/>
      <w:lvlText w:val=""/>
      <w:lvlJc w:val="left"/>
      <w:pPr>
        <w:ind w:left="6645" w:hanging="360"/>
      </w:pPr>
      <w:rPr>
        <w:rFonts w:ascii="Wingdings" w:hAnsi="Wingdings" w:hint="default"/>
      </w:rPr>
    </w:lvl>
  </w:abstractNum>
  <w:num w:numId="1">
    <w:abstractNumId w:val="13"/>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11"/>
  </w:num>
  <w:num w:numId="7">
    <w:abstractNumId w:val="10"/>
  </w:num>
  <w:num w:numId="8">
    <w:abstractNumId w:val="22"/>
  </w:num>
  <w:num w:numId="9">
    <w:abstractNumId w:val="7"/>
  </w:num>
  <w:num w:numId="10">
    <w:abstractNumId w:val="15"/>
  </w:num>
  <w:num w:numId="11">
    <w:abstractNumId w:val="17"/>
  </w:num>
  <w:num w:numId="12">
    <w:abstractNumId w:val="9"/>
  </w:num>
  <w:num w:numId="13">
    <w:abstractNumId w:val="19"/>
  </w:num>
  <w:num w:numId="14">
    <w:abstractNumId w:val="2"/>
  </w:num>
  <w:num w:numId="15">
    <w:abstractNumId w:val="4"/>
  </w:num>
  <w:num w:numId="16">
    <w:abstractNumId w:val="12"/>
  </w:num>
  <w:num w:numId="17">
    <w:abstractNumId w:val="5"/>
  </w:num>
  <w:num w:numId="18">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lvlOverride w:ilvl="2"/>
    <w:lvlOverride w:ilvl="3"/>
    <w:lvlOverride w:ilvl="4"/>
    <w:lvlOverride w:ilvl="5"/>
    <w:lvlOverride w:ilvl="6"/>
    <w:lvlOverride w:ilvl="7"/>
    <w:lvlOverride w:ilvl="8"/>
  </w:num>
  <w:num w:numId="27">
    <w:abstractNumId w:val="14"/>
    <w:lvlOverride w:ilvl="0"/>
    <w:lvlOverride w:ilvl="1"/>
    <w:lvlOverride w:ilvl="2"/>
    <w:lvlOverride w:ilvl="3"/>
    <w:lvlOverride w:ilvl="4"/>
    <w:lvlOverride w:ilvl="5"/>
    <w:lvlOverride w:ilvl="6"/>
    <w:lvlOverride w:ilvl="7"/>
    <w:lvlOverride w:ilvl="8"/>
  </w:num>
  <w:num w:numId="28">
    <w:abstractNumId w:val="6"/>
  </w:num>
  <w:num w:numId="29">
    <w:abstractNumId w:val="0"/>
  </w:num>
  <w:num w:numId="30">
    <w:abstractNumId w:val="16"/>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isplayHorizontalDrawingGridEvery w:val="2"/>
  <w:displayVerticalDrawingGridEvery w:val="2"/>
  <w:noPunctuationKerning/>
  <w:characterSpacingControl w:val="doNotCompress"/>
  <w:compat>
    <w:useWord2002TableStyleRules/>
    <w:growAutofit/>
    <w:doNotUseIndentAsNumberingTabStop/>
    <w:allowSpaceOfSameStyleInTable/>
    <w:splitPgBreakAndParaMark/>
    <w:useAnsiKerningPairs/>
  </w:compat>
  <w:rsids>
    <w:rsidRoot w:val="004C6EC1"/>
    <w:rsid w:val="0000048F"/>
    <w:rsid w:val="000008FE"/>
    <w:rsid w:val="00000B27"/>
    <w:rsid w:val="0000245C"/>
    <w:rsid w:val="00002ED8"/>
    <w:rsid w:val="00003F01"/>
    <w:rsid w:val="00004D35"/>
    <w:rsid w:val="00010C35"/>
    <w:rsid w:val="0001208D"/>
    <w:rsid w:val="0001256D"/>
    <w:rsid w:val="00012C07"/>
    <w:rsid w:val="00013630"/>
    <w:rsid w:val="000152B1"/>
    <w:rsid w:val="0001636E"/>
    <w:rsid w:val="0001677A"/>
    <w:rsid w:val="00020032"/>
    <w:rsid w:val="00021178"/>
    <w:rsid w:val="0002280B"/>
    <w:rsid w:val="00022A0B"/>
    <w:rsid w:val="000235B4"/>
    <w:rsid w:val="00023A8E"/>
    <w:rsid w:val="0002468D"/>
    <w:rsid w:val="00024877"/>
    <w:rsid w:val="00024FD2"/>
    <w:rsid w:val="000252A3"/>
    <w:rsid w:val="000253A5"/>
    <w:rsid w:val="0002551D"/>
    <w:rsid w:val="00026CFA"/>
    <w:rsid w:val="00027288"/>
    <w:rsid w:val="00027F37"/>
    <w:rsid w:val="00031100"/>
    <w:rsid w:val="00032810"/>
    <w:rsid w:val="00034D90"/>
    <w:rsid w:val="00035604"/>
    <w:rsid w:val="000363CA"/>
    <w:rsid w:val="00040A71"/>
    <w:rsid w:val="00041CD3"/>
    <w:rsid w:val="000428E5"/>
    <w:rsid w:val="0004370C"/>
    <w:rsid w:val="000440AD"/>
    <w:rsid w:val="00044148"/>
    <w:rsid w:val="0004475B"/>
    <w:rsid w:val="00044E7A"/>
    <w:rsid w:val="00046854"/>
    <w:rsid w:val="00047BD3"/>
    <w:rsid w:val="0005110B"/>
    <w:rsid w:val="00051E81"/>
    <w:rsid w:val="00051E87"/>
    <w:rsid w:val="0005295F"/>
    <w:rsid w:val="00054AF4"/>
    <w:rsid w:val="00054C95"/>
    <w:rsid w:val="000552C7"/>
    <w:rsid w:val="000563C4"/>
    <w:rsid w:val="00056487"/>
    <w:rsid w:val="00060E69"/>
    <w:rsid w:val="00061EA3"/>
    <w:rsid w:val="00062334"/>
    <w:rsid w:val="00062572"/>
    <w:rsid w:val="00063A07"/>
    <w:rsid w:val="00065022"/>
    <w:rsid w:val="000659E5"/>
    <w:rsid w:val="00065A67"/>
    <w:rsid w:val="000666B8"/>
    <w:rsid w:val="00066B34"/>
    <w:rsid w:val="0006746E"/>
    <w:rsid w:val="00067A42"/>
    <w:rsid w:val="0007066C"/>
    <w:rsid w:val="000715B4"/>
    <w:rsid w:val="00071675"/>
    <w:rsid w:val="000719D6"/>
    <w:rsid w:val="00071BB8"/>
    <w:rsid w:val="0007260E"/>
    <w:rsid w:val="00072C8E"/>
    <w:rsid w:val="000733C9"/>
    <w:rsid w:val="00073AB0"/>
    <w:rsid w:val="0007410B"/>
    <w:rsid w:val="00076315"/>
    <w:rsid w:val="00076593"/>
    <w:rsid w:val="00080820"/>
    <w:rsid w:val="00080BD4"/>
    <w:rsid w:val="000825FE"/>
    <w:rsid w:val="00083438"/>
    <w:rsid w:val="00083EF5"/>
    <w:rsid w:val="000854B9"/>
    <w:rsid w:val="00085BDA"/>
    <w:rsid w:val="00087508"/>
    <w:rsid w:val="00087EC9"/>
    <w:rsid w:val="00092AA3"/>
    <w:rsid w:val="0009506E"/>
    <w:rsid w:val="00096A3B"/>
    <w:rsid w:val="000A335C"/>
    <w:rsid w:val="000A3895"/>
    <w:rsid w:val="000A4946"/>
    <w:rsid w:val="000A5AC2"/>
    <w:rsid w:val="000A5C78"/>
    <w:rsid w:val="000A78BD"/>
    <w:rsid w:val="000A7DA6"/>
    <w:rsid w:val="000B0478"/>
    <w:rsid w:val="000B189A"/>
    <w:rsid w:val="000B5C00"/>
    <w:rsid w:val="000B631C"/>
    <w:rsid w:val="000B6795"/>
    <w:rsid w:val="000B6945"/>
    <w:rsid w:val="000C0791"/>
    <w:rsid w:val="000C130C"/>
    <w:rsid w:val="000C4875"/>
    <w:rsid w:val="000C55EA"/>
    <w:rsid w:val="000C7A09"/>
    <w:rsid w:val="000C7B1F"/>
    <w:rsid w:val="000D099C"/>
    <w:rsid w:val="000D2072"/>
    <w:rsid w:val="000D2D81"/>
    <w:rsid w:val="000D3AD4"/>
    <w:rsid w:val="000D5116"/>
    <w:rsid w:val="000D6D70"/>
    <w:rsid w:val="000E06B6"/>
    <w:rsid w:val="000E2061"/>
    <w:rsid w:val="000E26DD"/>
    <w:rsid w:val="000E4098"/>
    <w:rsid w:val="000E40B0"/>
    <w:rsid w:val="000E4AF3"/>
    <w:rsid w:val="000E5CEC"/>
    <w:rsid w:val="000E66E2"/>
    <w:rsid w:val="000E703E"/>
    <w:rsid w:val="000E72EE"/>
    <w:rsid w:val="000E7B85"/>
    <w:rsid w:val="000E7C78"/>
    <w:rsid w:val="000F09A3"/>
    <w:rsid w:val="000F0F79"/>
    <w:rsid w:val="000F11A8"/>
    <w:rsid w:val="000F2015"/>
    <w:rsid w:val="000F2D28"/>
    <w:rsid w:val="000F36D0"/>
    <w:rsid w:val="000F48A1"/>
    <w:rsid w:val="000F5786"/>
    <w:rsid w:val="000F5F46"/>
    <w:rsid w:val="000F6316"/>
    <w:rsid w:val="000F6321"/>
    <w:rsid w:val="000F7EAF"/>
    <w:rsid w:val="001001D2"/>
    <w:rsid w:val="00100943"/>
    <w:rsid w:val="00101654"/>
    <w:rsid w:val="0010208B"/>
    <w:rsid w:val="00102BAA"/>
    <w:rsid w:val="00102D9C"/>
    <w:rsid w:val="00104B16"/>
    <w:rsid w:val="00104FAA"/>
    <w:rsid w:val="0010589C"/>
    <w:rsid w:val="00105EB7"/>
    <w:rsid w:val="001067A2"/>
    <w:rsid w:val="00106CAC"/>
    <w:rsid w:val="001076A6"/>
    <w:rsid w:val="001104CA"/>
    <w:rsid w:val="00110761"/>
    <w:rsid w:val="0011323F"/>
    <w:rsid w:val="00113915"/>
    <w:rsid w:val="00114D60"/>
    <w:rsid w:val="0011528E"/>
    <w:rsid w:val="0011545D"/>
    <w:rsid w:val="001156CE"/>
    <w:rsid w:val="00115DF6"/>
    <w:rsid w:val="00115E82"/>
    <w:rsid w:val="00116B5E"/>
    <w:rsid w:val="00116B5F"/>
    <w:rsid w:val="00116F59"/>
    <w:rsid w:val="00117593"/>
    <w:rsid w:val="00117667"/>
    <w:rsid w:val="0012025A"/>
    <w:rsid w:val="001211BB"/>
    <w:rsid w:val="00121D77"/>
    <w:rsid w:val="001227D1"/>
    <w:rsid w:val="0012357C"/>
    <w:rsid w:val="00123AE5"/>
    <w:rsid w:val="001247C5"/>
    <w:rsid w:val="00126095"/>
    <w:rsid w:val="001308BC"/>
    <w:rsid w:val="00130B88"/>
    <w:rsid w:val="0013284D"/>
    <w:rsid w:val="00133831"/>
    <w:rsid w:val="00133CDA"/>
    <w:rsid w:val="00133E54"/>
    <w:rsid w:val="00134ACF"/>
    <w:rsid w:val="001351C0"/>
    <w:rsid w:val="00135F7D"/>
    <w:rsid w:val="00136B34"/>
    <w:rsid w:val="0014023D"/>
    <w:rsid w:val="00141A3F"/>
    <w:rsid w:val="00141D22"/>
    <w:rsid w:val="00142227"/>
    <w:rsid w:val="001423FE"/>
    <w:rsid w:val="0014279C"/>
    <w:rsid w:val="00142FBB"/>
    <w:rsid w:val="001444EF"/>
    <w:rsid w:val="00144FDC"/>
    <w:rsid w:val="00146194"/>
    <w:rsid w:val="00146DEC"/>
    <w:rsid w:val="00147035"/>
    <w:rsid w:val="00147B65"/>
    <w:rsid w:val="00147DAA"/>
    <w:rsid w:val="001501E9"/>
    <w:rsid w:val="0015032D"/>
    <w:rsid w:val="00151CB9"/>
    <w:rsid w:val="00155D28"/>
    <w:rsid w:val="00156153"/>
    <w:rsid w:val="0015630C"/>
    <w:rsid w:val="001565A8"/>
    <w:rsid w:val="00156840"/>
    <w:rsid w:val="00156A15"/>
    <w:rsid w:val="001601D7"/>
    <w:rsid w:val="001605A2"/>
    <w:rsid w:val="00160B7E"/>
    <w:rsid w:val="00161759"/>
    <w:rsid w:val="001617EC"/>
    <w:rsid w:val="001630C3"/>
    <w:rsid w:val="001645B0"/>
    <w:rsid w:val="001647FD"/>
    <w:rsid w:val="00165E57"/>
    <w:rsid w:val="0016608E"/>
    <w:rsid w:val="0016754F"/>
    <w:rsid w:val="00167891"/>
    <w:rsid w:val="001725C4"/>
    <w:rsid w:val="001731F0"/>
    <w:rsid w:val="001734F4"/>
    <w:rsid w:val="00173B46"/>
    <w:rsid w:val="00174378"/>
    <w:rsid w:val="00174634"/>
    <w:rsid w:val="00174BD3"/>
    <w:rsid w:val="00176BCF"/>
    <w:rsid w:val="00176F81"/>
    <w:rsid w:val="001776EF"/>
    <w:rsid w:val="0018097C"/>
    <w:rsid w:val="00180B13"/>
    <w:rsid w:val="00181EEF"/>
    <w:rsid w:val="0018315F"/>
    <w:rsid w:val="00183891"/>
    <w:rsid w:val="0018540E"/>
    <w:rsid w:val="00187782"/>
    <w:rsid w:val="00191BC1"/>
    <w:rsid w:val="00192435"/>
    <w:rsid w:val="0019264B"/>
    <w:rsid w:val="00192A41"/>
    <w:rsid w:val="00193AEB"/>
    <w:rsid w:val="00195666"/>
    <w:rsid w:val="001958C5"/>
    <w:rsid w:val="00196FC1"/>
    <w:rsid w:val="001975EE"/>
    <w:rsid w:val="00197D9D"/>
    <w:rsid w:val="00197DB5"/>
    <w:rsid w:val="00197FF0"/>
    <w:rsid w:val="001A0A67"/>
    <w:rsid w:val="001A0C20"/>
    <w:rsid w:val="001A0FB6"/>
    <w:rsid w:val="001A137E"/>
    <w:rsid w:val="001A22CE"/>
    <w:rsid w:val="001A3B94"/>
    <w:rsid w:val="001A3D80"/>
    <w:rsid w:val="001A4757"/>
    <w:rsid w:val="001A47E0"/>
    <w:rsid w:val="001A6B8E"/>
    <w:rsid w:val="001A72AE"/>
    <w:rsid w:val="001A748E"/>
    <w:rsid w:val="001A78B0"/>
    <w:rsid w:val="001A7EBA"/>
    <w:rsid w:val="001B01D6"/>
    <w:rsid w:val="001B0887"/>
    <w:rsid w:val="001B2EA2"/>
    <w:rsid w:val="001B35FA"/>
    <w:rsid w:val="001B3DA2"/>
    <w:rsid w:val="001B432A"/>
    <w:rsid w:val="001B45C7"/>
    <w:rsid w:val="001B76E5"/>
    <w:rsid w:val="001C008B"/>
    <w:rsid w:val="001C07BB"/>
    <w:rsid w:val="001C0CAD"/>
    <w:rsid w:val="001C17A5"/>
    <w:rsid w:val="001C260A"/>
    <w:rsid w:val="001C31DB"/>
    <w:rsid w:val="001C3EF7"/>
    <w:rsid w:val="001C47BF"/>
    <w:rsid w:val="001C484B"/>
    <w:rsid w:val="001C4B2D"/>
    <w:rsid w:val="001C4BB1"/>
    <w:rsid w:val="001C5102"/>
    <w:rsid w:val="001C51F4"/>
    <w:rsid w:val="001C5DE6"/>
    <w:rsid w:val="001D0622"/>
    <w:rsid w:val="001D0808"/>
    <w:rsid w:val="001D0991"/>
    <w:rsid w:val="001D1B04"/>
    <w:rsid w:val="001D225E"/>
    <w:rsid w:val="001D242A"/>
    <w:rsid w:val="001D2837"/>
    <w:rsid w:val="001D2906"/>
    <w:rsid w:val="001D2B05"/>
    <w:rsid w:val="001D2BC9"/>
    <w:rsid w:val="001D2CA0"/>
    <w:rsid w:val="001D3989"/>
    <w:rsid w:val="001D4639"/>
    <w:rsid w:val="001D51F4"/>
    <w:rsid w:val="001D54B9"/>
    <w:rsid w:val="001D59F8"/>
    <w:rsid w:val="001D6DC0"/>
    <w:rsid w:val="001D7634"/>
    <w:rsid w:val="001D76FA"/>
    <w:rsid w:val="001D7B1D"/>
    <w:rsid w:val="001E0FC8"/>
    <w:rsid w:val="001E136E"/>
    <w:rsid w:val="001E1A62"/>
    <w:rsid w:val="001E1E6B"/>
    <w:rsid w:val="001E3227"/>
    <w:rsid w:val="001E46BB"/>
    <w:rsid w:val="001E48EB"/>
    <w:rsid w:val="001E51DC"/>
    <w:rsid w:val="001E587D"/>
    <w:rsid w:val="001E5A90"/>
    <w:rsid w:val="001E5CAF"/>
    <w:rsid w:val="001E6680"/>
    <w:rsid w:val="001E6C78"/>
    <w:rsid w:val="001E6D4C"/>
    <w:rsid w:val="001F0543"/>
    <w:rsid w:val="001F20AB"/>
    <w:rsid w:val="001F2E25"/>
    <w:rsid w:val="001F38C4"/>
    <w:rsid w:val="001F3DAB"/>
    <w:rsid w:val="001F40D3"/>
    <w:rsid w:val="001F43B1"/>
    <w:rsid w:val="001F57C6"/>
    <w:rsid w:val="001F695E"/>
    <w:rsid w:val="001F6D8F"/>
    <w:rsid w:val="001F7E81"/>
    <w:rsid w:val="001F7F8A"/>
    <w:rsid w:val="002000AD"/>
    <w:rsid w:val="00202093"/>
    <w:rsid w:val="00203431"/>
    <w:rsid w:val="00203D3A"/>
    <w:rsid w:val="00204208"/>
    <w:rsid w:val="00204846"/>
    <w:rsid w:val="00204A22"/>
    <w:rsid w:val="00205574"/>
    <w:rsid w:val="002063A2"/>
    <w:rsid w:val="00207102"/>
    <w:rsid w:val="00211534"/>
    <w:rsid w:val="00212C11"/>
    <w:rsid w:val="00213759"/>
    <w:rsid w:val="00213FEB"/>
    <w:rsid w:val="0021536F"/>
    <w:rsid w:val="00215655"/>
    <w:rsid w:val="00215B51"/>
    <w:rsid w:val="00215C1B"/>
    <w:rsid w:val="00220956"/>
    <w:rsid w:val="0022112A"/>
    <w:rsid w:val="00222A9A"/>
    <w:rsid w:val="00222C97"/>
    <w:rsid w:val="002241F2"/>
    <w:rsid w:val="0022466F"/>
    <w:rsid w:val="002250AE"/>
    <w:rsid w:val="00225574"/>
    <w:rsid w:val="002261A0"/>
    <w:rsid w:val="002267B3"/>
    <w:rsid w:val="002277D3"/>
    <w:rsid w:val="0022794C"/>
    <w:rsid w:val="00230079"/>
    <w:rsid w:val="0023036C"/>
    <w:rsid w:val="00231B9E"/>
    <w:rsid w:val="00231E80"/>
    <w:rsid w:val="00232240"/>
    <w:rsid w:val="00232A72"/>
    <w:rsid w:val="00232C86"/>
    <w:rsid w:val="00233050"/>
    <w:rsid w:val="00234416"/>
    <w:rsid w:val="00234EB3"/>
    <w:rsid w:val="00235BE0"/>
    <w:rsid w:val="002367BC"/>
    <w:rsid w:val="00236805"/>
    <w:rsid w:val="00236B3B"/>
    <w:rsid w:val="00236EEF"/>
    <w:rsid w:val="00236F6B"/>
    <w:rsid w:val="00240A5A"/>
    <w:rsid w:val="002424D8"/>
    <w:rsid w:val="002429D0"/>
    <w:rsid w:val="0024348D"/>
    <w:rsid w:val="00244BD3"/>
    <w:rsid w:val="00246F6D"/>
    <w:rsid w:val="00247433"/>
    <w:rsid w:val="00250723"/>
    <w:rsid w:val="00251335"/>
    <w:rsid w:val="002514E5"/>
    <w:rsid w:val="00252287"/>
    <w:rsid w:val="0025525A"/>
    <w:rsid w:val="00256165"/>
    <w:rsid w:val="00256953"/>
    <w:rsid w:val="00257A42"/>
    <w:rsid w:val="00260336"/>
    <w:rsid w:val="00260883"/>
    <w:rsid w:val="00260BA7"/>
    <w:rsid w:val="00261771"/>
    <w:rsid w:val="002619EB"/>
    <w:rsid w:val="00261AD6"/>
    <w:rsid w:val="00261F5F"/>
    <w:rsid w:val="00262143"/>
    <w:rsid w:val="00263036"/>
    <w:rsid w:val="00263DC5"/>
    <w:rsid w:val="00264DF5"/>
    <w:rsid w:val="00265B14"/>
    <w:rsid w:val="00265F81"/>
    <w:rsid w:val="00266F48"/>
    <w:rsid w:val="00267A63"/>
    <w:rsid w:val="00270BB5"/>
    <w:rsid w:val="0027101F"/>
    <w:rsid w:val="0027236C"/>
    <w:rsid w:val="0027268B"/>
    <w:rsid w:val="00273961"/>
    <w:rsid w:val="0027564D"/>
    <w:rsid w:val="00275A24"/>
    <w:rsid w:val="002767D4"/>
    <w:rsid w:val="00277F5D"/>
    <w:rsid w:val="002807CD"/>
    <w:rsid w:val="00280ACE"/>
    <w:rsid w:val="00281153"/>
    <w:rsid w:val="00281E04"/>
    <w:rsid w:val="002821A2"/>
    <w:rsid w:val="002822ED"/>
    <w:rsid w:val="002824FD"/>
    <w:rsid w:val="00283E4E"/>
    <w:rsid w:val="002841A3"/>
    <w:rsid w:val="00285330"/>
    <w:rsid w:val="00285A5D"/>
    <w:rsid w:val="00285C72"/>
    <w:rsid w:val="00286AC8"/>
    <w:rsid w:val="00287A52"/>
    <w:rsid w:val="0029097F"/>
    <w:rsid w:val="00291542"/>
    <w:rsid w:val="0029184F"/>
    <w:rsid w:val="00291C9D"/>
    <w:rsid w:val="002931D8"/>
    <w:rsid w:val="002936EC"/>
    <w:rsid w:val="00293CB8"/>
    <w:rsid w:val="00293E92"/>
    <w:rsid w:val="002953D4"/>
    <w:rsid w:val="00296050"/>
    <w:rsid w:val="002965E0"/>
    <w:rsid w:val="002A0DAC"/>
    <w:rsid w:val="002A2F13"/>
    <w:rsid w:val="002A411F"/>
    <w:rsid w:val="002A5F7A"/>
    <w:rsid w:val="002A66DD"/>
    <w:rsid w:val="002A67BA"/>
    <w:rsid w:val="002A79D1"/>
    <w:rsid w:val="002B02A9"/>
    <w:rsid w:val="002B0AEF"/>
    <w:rsid w:val="002B0FD9"/>
    <w:rsid w:val="002B15F6"/>
    <w:rsid w:val="002B1C58"/>
    <w:rsid w:val="002B2338"/>
    <w:rsid w:val="002B2749"/>
    <w:rsid w:val="002B3429"/>
    <w:rsid w:val="002B3C15"/>
    <w:rsid w:val="002B4A2F"/>
    <w:rsid w:val="002B4D04"/>
    <w:rsid w:val="002B52CC"/>
    <w:rsid w:val="002B67C4"/>
    <w:rsid w:val="002B6E6C"/>
    <w:rsid w:val="002C0AF7"/>
    <w:rsid w:val="002C0E33"/>
    <w:rsid w:val="002C0E57"/>
    <w:rsid w:val="002C0EB1"/>
    <w:rsid w:val="002C14FE"/>
    <w:rsid w:val="002C2636"/>
    <w:rsid w:val="002C2AB5"/>
    <w:rsid w:val="002C3F1A"/>
    <w:rsid w:val="002C5861"/>
    <w:rsid w:val="002C67EC"/>
    <w:rsid w:val="002C6F59"/>
    <w:rsid w:val="002C733D"/>
    <w:rsid w:val="002C7C19"/>
    <w:rsid w:val="002D1176"/>
    <w:rsid w:val="002D163B"/>
    <w:rsid w:val="002D2B10"/>
    <w:rsid w:val="002D300B"/>
    <w:rsid w:val="002D4C95"/>
    <w:rsid w:val="002D51DB"/>
    <w:rsid w:val="002D5BBC"/>
    <w:rsid w:val="002D68B4"/>
    <w:rsid w:val="002D7BE7"/>
    <w:rsid w:val="002D7EEC"/>
    <w:rsid w:val="002E03F6"/>
    <w:rsid w:val="002E0500"/>
    <w:rsid w:val="002E0A18"/>
    <w:rsid w:val="002E0CD1"/>
    <w:rsid w:val="002E151C"/>
    <w:rsid w:val="002E1A96"/>
    <w:rsid w:val="002E2FA3"/>
    <w:rsid w:val="002E3EBD"/>
    <w:rsid w:val="002E4746"/>
    <w:rsid w:val="002E4E0E"/>
    <w:rsid w:val="002E5523"/>
    <w:rsid w:val="002E6DBB"/>
    <w:rsid w:val="002F09C7"/>
    <w:rsid w:val="002F0F8C"/>
    <w:rsid w:val="002F13BC"/>
    <w:rsid w:val="002F238B"/>
    <w:rsid w:val="002F25DE"/>
    <w:rsid w:val="002F33FA"/>
    <w:rsid w:val="002F355B"/>
    <w:rsid w:val="002F35B9"/>
    <w:rsid w:val="002F5D2C"/>
    <w:rsid w:val="002F6A0E"/>
    <w:rsid w:val="002F6F77"/>
    <w:rsid w:val="002F7A7B"/>
    <w:rsid w:val="002F7E85"/>
    <w:rsid w:val="003024DD"/>
    <w:rsid w:val="003030A1"/>
    <w:rsid w:val="00304059"/>
    <w:rsid w:val="003045A6"/>
    <w:rsid w:val="003045DD"/>
    <w:rsid w:val="0030476B"/>
    <w:rsid w:val="003061C3"/>
    <w:rsid w:val="003064C7"/>
    <w:rsid w:val="00306B69"/>
    <w:rsid w:val="00310C96"/>
    <w:rsid w:val="00311E53"/>
    <w:rsid w:val="00312B3C"/>
    <w:rsid w:val="00313F55"/>
    <w:rsid w:val="00314965"/>
    <w:rsid w:val="00315D1E"/>
    <w:rsid w:val="00316180"/>
    <w:rsid w:val="00316375"/>
    <w:rsid w:val="00321ED1"/>
    <w:rsid w:val="00322895"/>
    <w:rsid w:val="0032357B"/>
    <w:rsid w:val="003245AD"/>
    <w:rsid w:val="00324910"/>
    <w:rsid w:val="00325F83"/>
    <w:rsid w:val="00326346"/>
    <w:rsid w:val="003301F2"/>
    <w:rsid w:val="003303A3"/>
    <w:rsid w:val="00330609"/>
    <w:rsid w:val="003306B5"/>
    <w:rsid w:val="00330A1C"/>
    <w:rsid w:val="0033106C"/>
    <w:rsid w:val="0033168E"/>
    <w:rsid w:val="0033170A"/>
    <w:rsid w:val="00331841"/>
    <w:rsid w:val="00332093"/>
    <w:rsid w:val="0033261F"/>
    <w:rsid w:val="0033268D"/>
    <w:rsid w:val="003327C5"/>
    <w:rsid w:val="00333590"/>
    <w:rsid w:val="003355E8"/>
    <w:rsid w:val="003358AB"/>
    <w:rsid w:val="0033639F"/>
    <w:rsid w:val="00337B09"/>
    <w:rsid w:val="00337C4F"/>
    <w:rsid w:val="00340E10"/>
    <w:rsid w:val="00341551"/>
    <w:rsid w:val="0034220B"/>
    <w:rsid w:val="00342BB2"/>
    <w:rsid w:val="00342E46"/>
    <w:rsid w:val="0034394C"/>
    <w:rsid w:val="00343C8E"/>
    <w:rsid w:val="0034425B"/>
    <w:rsid w:val="00344975"/>
    <w:rsid w:val="00344FE5"/>
    <w:rsid w:val="00346D51"/>
    <w:rsid w:val="003471EC"/>
    <w:rsid w:val="00351B91"/>
    <w:rsid w:val="00353515"/>
    <w:rsid w:val="00354821"/>
    <w:rsid w:val="00354D4C"/>
    <w:rsid w:val="003553EB"/>
    <w:rsid w:val="0035634B"/>
    <w:rsid w:val="003564D0"/>
    <w:rsid w:val="00357B76"/>
    <w:rsid w:val="00357F71"/>
    <w:rsid w:val="003617A3"/>
    <w:rsid w:val="0036200A"/>
    <w:rsid w:val="003633FC"/>
    <w:rsid w:val="003656D5"/>
    <w:rsid w:val="00366624"/>
    <w:rsid w:val="00366863"/>
    <w:rsid w:val="00366AA4"/>
    <w:rsid w:val="00366B12"/>
    <w:rsid w:val="00367723"/>
    <w:rsid w:val="00367824"/>
    <w:rsid w:val="003679CA"/>
    <w:rsid w:val="00367C19"/>
    <w:rsid w:val="00367C35"/>
    <w:rsid w:val="00367C3E"/>
    <w:rsid w:val="00367FCB"/>
    <w:rsid w:val="00370846"/>
    <w:rsid w:val="003714D0"/>
    <w:rsid w:val="0037190E"/>
    <w:rsid w:val="003719D9"/>
    <w:rsid w:val="00372110"/>
    <w:rsid w:val="00372431"/>
    <w:rsid w:val="0037537C"/>
    <w:rsid w:val="003753AB"/>
    <w:rsid w:val="00375B14"/>
    <w:rsid w:val="0037688F"/>
    <w:rsid w:val="003769E0"/>
    <w:rsid w:val="003771A7"/>
    <w:rsid w:val="00377BB9"/>
    <w:rsid w:val="0038067C"/>
    <w:rsid w:val="003814E4"/>
    <w:rsid w:val="00381EF8"/>
    <w:rsid w:val="003832AC"/>
    <w:rsid w:val="00383F23"/>
    <w:rsid w:val="00386AA0"/>
    <w:rsid w:val="00386E15"/>
    <w:rsid w:val="0038765D"/>
    <w:rsid w:val="00387885"/>
    <w:rsid w:val="00387BE8"/>
    <w:rsid w:val="003905BA"/>
    <w:rsid w:val="00391507"/>
    <w:rsid w:val="00391EB6"/>
    <w:rsid w:val="00391F22"/>
    <w:rsid w:val="00392110"/>
    <w:rsid w:val="00392476"/>
    <w:rsid w:val="00393F4B"/>
    <w:rsid w:val="00394DAF"/>
    <w:rsid w:val="00394FA2"/>
    <w:rsid w:val="0039580C"/>
    <w:rsid w:val="00395986"/>
    <w:rsid w:val="00395C4B"/>
    <w:rsid w:val="00396C78"/>
    <w:rsid w:val="00397F34"/>
    <w:rsid w:val="003A04D8"/>
    <w:rsid w:val="003A0522"/>
    <w:rsid w:val="003A28F2"/>
    <w:rsid w:val="003A2EBB"/>
    <w:rsid w:val="003A31B8"/>
    <w:rsid w:val="003A490F"/>
    <w:rsid w:val="003A4912"/>
    <w:rsid w:val="003A4A59"/>
    <w:rsid w:val="003A5C85"/>
    <w:rsid w:val="003A5E29"/>
    <w:rsid w:val="003A6895"/>
    <w:rsid w:val="003A68ED"/>
    <w:rsid w:val="003A70BC"/>
    <w:rsid w:val="003A7EBA"/>
    <w:rsid w:val="003B0DB0"/>
    <w:rsid w:val="003B0F73"/>
    <w:rsid w:val="003B13FD"/>
    <w:rsid w:val="003B25D5"/>
    <w:rsid w:val="003B358E"/>
    <w:rsid w:val="003B3CB6"/>
    <w:rsid w:val="003B3EB3"/>
    <w:rsid w:val="003B42B7"/>
    <w:rsid w:val="003B43BC"/>
    <w:rsid w:val="003B6370"/>
    <w:rsid w:val="003B6D24"/>
    <w:rsid w:val="003B7DE0"/>
    <w:rsid w:val="003C0012"/>
    <w:rsid w:val="003C0FEE"/>
    <w:rsid w:val="003C1A43"/>
    <w:rsid w:val="003C1C6D"/>
    <w:rsid w:val="003C2444"/>
    <w:rsid w:val="003C58F7"/>
    <w:rsid w:val="003C61C1"/>
    <w:rsid w:val="003C6E31"/>
    <w:rsid w:val="003C75A7"/>
    <w:rsid w:val="003C75FF"/>
    <w:rsid w:val="003D0058"/>
    <w:rsid w:val="003D07B7"/>
    <w:rsid w:val="003D1059"/>
    <w:rsid w:val="003D17A3"/>
    <w:rsid w:val="003D2444"/>
    <w:rsid w:val="003D35B7"/>
    <w:rsid w:val="003D5D39"/>
    <w:rsid w:val="003D64D9"/>
    <w:rsid w:val="003E0539"/>
    <w:rsid w:val="003E07A4"/>
    <w:rsid w:val="003E0C98"/>
    <w:rsid w:val="003E3081"/>
    <w:rsid w:val="003E32DB"/>
    <w:rsid w:val="003E3DD1"/>
    <w:rsid w:val="003E4E4B"/>
    <w:rsid w:val="003E4FD0"/>
    <w:rsid w:val="003E5105"/>
    <w:rsid w:val="003E52A1"/>
    <w:rsid w:val="003E541C"/>
    <w:rsid w:val="003E5A5C"/>
    <w:rsid w:val="003E6649"/>
    <w:rsid w:val="003E7F48"/>
    <w:rsid w:val="003E7F4D"/>
    <w:rsid w:val="003F0794"/>
    <w:rsid w:val="003F193C"/>
    <w:rsid w:val="003F1D76"/>
    <w:rsid w:val="003F1F77"/>
    <w:rsid w:val="003F247D"/>
    <w:rsid w:val="003F30E1"/>
    <w:rsid w:val="003F36B4"/>
    <w:rsid w:val="003F49AE"/>
    <w:rsid w:val="003F6ACA"/>
    <w:rsid w:val="003F717E"/>
    <w:rsid w:val="00400001"/>
    <w:rsid w:val="004009EE"/>
    <w:rsid w:val="004015F8"/>
    <w:rsid w:val="00401D4B"/>
    <w:rsid w:val="004022F4"/>
    <w:rsid w:val="0040281F"/>
    <w:rsid w:val="00402858"/>
    <w:rsid w:val="00402918"/>
    <w:rsid w:val="00402F26"/>
    <w:rsid w:val="0040304A"/>
    <w:rsid w:val="00403AD0"/>
    <w:rsid w:val="00403D35"/>
    <w:rsid w:val="004078E6"/>
    <w:rsid w:val="00410025"/>
    <w:rsid w:val="00410943"/>
    <w:rsid w:val="004117CA"/>
    <w:rsid w:val="00411C4D"/>
    <w:rsid w:val="00411EA5"/>
    <w:rsid w:val="004125CA"/>
    <w:rsid w:val="004152E5"/>
    <w:rsid w:val="004160BF"/>
    <w:rsid w:val="004163E7"/>
    <w:rsid w:val="00420072"/>
    <w:rsid w:val="0042137D"/>
    <w:rsid w:val="00421E9F"/>
    <w:rsid w:val="00422156"/>
    <w:rsid w:val="004227FD"/>
    <w:rsid w:val="004228FF"/>
    <w:rsid w:val="0042409A"/>
    <w:rsid w:val="0042448D"/>
    <w:rsid w:val="00424FD9"/>
    <w:rsid w:val="00425267"/>
    <w:rsid w:val="004255B4"/>
    <w:rsid w:val="00425854"/>
    <w:rsid w:val="00430C7F"/>
    <w:rsid w:val="00432287"/>
    <w:rsid w:val="004324D2"/>
    <w:rsid w:val="004325BF"/>
    <w:rsid w:val="004336F7"/>
    <w:rsid w:val="00434844"/>
    <w:rsid w:val="004367B6"/>
    <w:rsid w:val="004370AC"/>
    <w:rsid w:val="0043729D"/>
    <w:rsid w:val="004405A9"/>
    <w:rsid w:val="004413C7"/>
    <w:rsid w:val="004413E3"/>
    <w:rsid w:val="00441AE5"/>
    <w:rsid w:val="00441B3E"/>
    <w:rsid w:val="00441E81"/>
    <w:rsid w:val="00443A5C"/>
    <w:rsid w:val="00443B33"/>
    <w:rsid w:val="0044513F"/>
    <w:rsid w:val="00445925"/>
    <w:rsid w:val="00446048"/>
    <w:rsid w:val="004505A4"/>
    <w:rsid w:val="00451465"/>
    <w:rsid w:val="004532D2"/>
    <w:rsid w:val="004533A4"/>
    <w:rsid w:val="004534AE"/>
    <w:rsid w:val="0045385F"/>
    <w:rsid w:val="00454292"/>
    <w:rsid w:val="00454AEE"/>
    <w:rsid w:val="00455D5C"/>
    <w:rsid w:val="004577A0"/>
    <w:rsid w:val="00457FEC"/>
    <w:rsid w:val="004612DB"/>
    <w:rsid w:val="00462481"/>
    <w:rsid w:val="0046284B"/>
    <w:rsid w:val="00462BA2"/>
    <w:rsid w:val="00463457"/>
    <w:rsid w:val="00463F7C"/>
    <w:rsid w:val="0046448C"/>
    <w:rsid w:val="00464959"/>
    <w:rsid w:val="004649D6"/>
    <w:rsid w:val="00465029"/>
    <w:rsid w:val="0046602A"/>
    <w:rsid w:val="004669F6"/>
    <w:rsid w:val="00466FCB"/>
    <w:rsid w:val="00467124"/>
    <w:rsid w:val="00467EB3"/>
    <w:rsid w:val="00470BA8"/>
    <w:rsid w:val="0047148C"/>
    <w:rsid w:val="00471567"/>
    <w:rsid w:val="0047160B"/>
    <w:rsid w:val="004720C3"/>
    <w:rsid w:val="004730A0"/>
    <w:rsid w:val="004734B7"/>
    <w:rsid w:val="00475138"/>
    <w:rsid w:val="00475145"/>
    <w:rsid w:val="00475400"/>
    <w:rsid w:val="00475FF9"/>
    <w:rsid w:val="00476AFF"/>
    <w:rsid w:val="004802DC"/>
    <w:rsid w:val="00480DBD"/>
    <w:rsid w:val="00481FB5"/>
    <w:rsid w:val="004827B8"/>
    <w:rsid w:val="00482970"/>
    <w:rsid w:val="00482E86"/>
    <w:rsid w:val="004831BA"/>
    <w:rsid w:val="00483945"/>
    <w:rsid w:val="0048423B"/>
    <w:rsid w:val="00484D0A"/>
    <w:rsid w:val="00484DAB"/>
    <w:rsid w:val="00484E06"/>
    <w:rsid w:val="004850E3"/>
    <w:rsid w:val="00485403"/>
    <w:rsid w:val="004855F1"/>
    <w:rsid w:val="004909D1"/>
    <w:rsid w:val="004919F6"/>
    <w:rsid w:val="00491DDC"/>
    <w:rsid w:val="00492A3A"/>
    <w:rsid w:val="00492D90"/>
    <w:rsid w:val="0049303D"/>
    <w:rsid w:val="004959A5"/>
    <w:rsid w:val="00495DCE"/>
    <w:rsid w:val="00496EDA"/>
    <w:rsid w:val="004A0079"/>
    <w:rsid w:val="004A0580"/>
    <w:rsid w:val="004A1443"/>
    <w:rsid w:val="004A785C"/>
    <w:rsid w:val="004A78DA"/>
    <w:rsid w:val="004B1EC0"/>
    <w:rsid w:val="004B267C"/>
    <w:rsid w:val="004B3637"/>
    <w:rsid w:val="004B4A8F"/>
    <w:rsid w:val="004B5A1D"/>
    <w:rsid w:val="004B6B79"/>
    <w:rsid w:val="004B7C51"/>
    <w:rsid w:val="004B7FBC"/>
    <w:rsid w:val="004C0114"/>
    <w:rsid w:val="004C1DD1"/>
    <w:rsid w:val="004C1EC1"/>
    <w:rsid w:val="004C1F5A"/>
    <w:rsid w:val="004C2085"/>
    <w:rsid w:val="004C29AF"/>
    <w:rsid w:val="004C3EEA"/>
    <w:rsid w:val="004C4A82"/>
    <w:rsid w:val="004C4B7D"/>
    <w:rsid w:val="004C4E89"/>
    <w:rsid w:val="004C58B4"/>
    <w:rsid w:val="004C6EC1"/>
    <w:rsid w:val="004C7B2C"/>
    <w:rsid w:val="004D0FB6"/>
    <w:rsid w:val="004D1055"/>
    <w:rsid w:val="004D12AA"/>
    <w:rsid w:val="004D2862"/>
    <w:rsid w:val="004E07EC"/>
    <w:rsid w:val="004E1866"/>
    <w:rsid w:val="004E26EA"/>
    <w:rsid w:val="004E2E65"/>
    <w:rsid w:val="004E3355"/>
    <w:rsid w:val="004E3ACA"/>
    <w:rsid w:val="004E3D52"/>
    <w:rsid w:val="004E49E1"/>
    <w:rsid w:val="004E5331"/>
    <w:rsid w:val="004E652A"/>
    <w:rsid w:val="004E685D"/>
    <w:rsid w:val="004E6C88"/>
    <w:rsid w:val="004E7670"/>
    <w:rsid w:val="004E7867"/>
    <w:rsid w:val="004E7A67"/>
    <w:rsid w:val="004F1057"/>
    <w:rsid w:val="004F1156"/>
    <w:rsid w:val="004F17A1"/>
    <w:rsid w:val="004F1D78"/>
    <w:rsid w:val="004F26A8"/>
    <w:rsid w:val="004F26D8"/>
    <w:rsid w:val="004F2806"/>
    <w:rsid w:val="004F3209"/>
    <w:rsid w:val="004F4345"/>
    <w:rsid w:val="004F4A6F"/>
    <w:rsid w:val="004F4E25"/>
    <w:rsid w:val="004F6D87"/>
    <w:rsid w:val="004F7762"/>
    <w:rsid w:val="005004EB"/>
    <w:rsid w:val="005006BF"/>
    <w:rsid w:val="00500F6F"/>
    <w:rsid w:val="00501ECD"/>
    <w:rsid w:val="0050204A"/>
    <w:rsid w:val="005038BA"/>
    <w:rsid w:val="00503EDD"/>
    <w:rsid w:val="0050488D"/>
    <w:rsid w:val="005056E3"/>
    <w:rsid w:val="00505C2A"/>
    <w:rsid w:val="00507210"/>
    <w:rsid w:val="00507BE6"/>
    <w:rsid w:val="0051055F"/>
    <w:rsid w:val="005119EE"/>
    <w:rsid w:val="00512E9E"/>
    <w:rsid w:val="00513417"/>
    <w:rsid w:val="005143F3"/>
    <w:rsid w:val="00515DA1"/>
    <w:rsid w:val="00516EE3"/>
    <w:rsid w:val="005173B3"/>
    <w:rsid w:val="0051773E"/>
    <w:rsid w:val="00520178"/>
    <w:rsid w:val="005207F7"/>
    <w:rsid w:val="005229AB"/>
    <w:rsid w:val="00522F8E"/>
    <w:rsid w:val="005240DB"/>
    <w:rsid w:val="005261AE"/>
    <w:rsid w:val="005270E1"/>
    <w:rsid w:val="00527FBC"/>
    <w:rsid w:val="00530A20"/>
    <w:rsid w:val="005314ED"/>
    <w:rsid w:val="0053284A"/>
    <w:rsid w:val="0053337C"/>
    <w:rsid w:val="005345B5"/>
    <w:rsid w:val="00536682"/>
    <w:rsid w:val="005378A6"/>
    <w:rsid w:val="00537FB3"/>
    <w:rsid w:val="005407EB"/>
    <w:rsid w:val="005412E0"/>
    <w:rsid w:val="00542521"/>
    <w:rsid w:val="00542903"/>
    <w:rsid w:val="00543D61"/>
    <w:rsid w:val="00544FE2"/>
    <w:rsid w:val="0054524E"/>
    <w:rsid w:val="00545283"/>
    <w:rsid w:val="005455DA"/>
    <w:rsid w:val="0054681A"/>
    <w:rsid w:val="00546F27"/>
    <w:rsid w:val="005478E8"/>
    <w:rsid w:val="0055060A"/>
    <w:rsid w:val="00551199"/>
    <w:rsid w:val="005537DC"/>
    <w:rsid w:val="00555AE9"/>
    <w:rsid w:val="005561E1"/>
    <w:rsid w:val="005571B7"/>
    <w:rsid w:val="00557511"/>
    <w:rsid w:val="0056179B"/>
    <w:rsid w:val="00564735"/>
    <w:rsid w:val="00564AAF"/>
    <w:rsid w:val="00564BAB"/>
    <w:rsid w:val="00564ED8"/>
    <w:rsid w:val="00565462"/>
    <w:rsid w:val="005657AF"/>
    <w:rsid w:val="00566694"/>
    <w:rsid w:val="005666A0"/>
    <w:rsid w:val="00566F17"/>
    <w:rsid w:val="00570EB8"/>
    <w:rsid w:val="005711EE"/>
    <w:rsid w:val="00572158"/>
    <w:rsid w:val="0057295D"/>
    <w:rsid w:val="005755D1"/>
    <w:rsid w:val="005768BF"/>
    <w:rsid w:val="00576D39"/>
    <w:rsid w:val="00577717"/>
    <w:rsid w:val="00577D0E"/>
    <w:rsid w:val="00577DBB"/>
    <w:rsid w:val="00577F0F"/>
    <w:rsid w:val="005819DB"/>
    <w:rsid w:val="005821D9"/>
    <w:rsid w:val="005828FB"/>
    <w:rsid w:val="005830B5"/>
    <w:rsid w:val="00583CC3"/>
    <w:rsid w:val="00584460"/>
    <w:rsid w:val="00584850"/>
    <w:rsid w:val="00584B15"/>
    <w:rsid w:val="005856A6"/>
    <w:rsid w:val="00586A84"/>
    <w:rsid w:val="0059127D"/>
    <w:rsid w:val="005918A5"/>
    <w:rsid w:val="00591BE2"/>
    <w:rsid w:val="005927EC"/>
    <w:rsid w:val="0059754A"/>
    <w:rsid w:val="00597A77"/>
    <w:rsid w:val="00597D72"/>
    <w:rsid w:val="005A0496"/>
    <w:rsid w:val="005A0E06"/>
    <w:rsid w:val="005A1B07"/>
    <w:rsid w:val="005A1E6D"/>
    <w:rsid w:val="005A3816"/>
    <w:rsid w:val="005A3C3F"/>
    <w:rsid w:val="005A4DCC"/>
    <w:rsid w:val="005A5583"/>
    <w:rsid w:val="005A5A88"/>
    <w:rsid w:val="005A642D"/>
    <w:rsid w:val="005A64F9"/>
    <w:rsid w:val="005A75B1"/>
    <w:rsid w:val="005B02A4"/>
    <w:rsid w:val="005B10D4"/>
    <w:rsid w:val="005B211D"/>
    <w:rsid w:val="005B2DC5"/>
    <w:rsid w:val="005B3632"/>
    <w:rsid w:val="005B3871"/>
    <w:rsid w:val="005B454F"/>
    <w:rsid w:val="005B4A1F"/>
    <w:rsid w:val="005B4D59"/>
    <w:rsid w:val="005B65F8"/>
    <w:rsid w:val="005B7DC4"/>
    <w:rsid w:val="005C15B8"/>
    <w:rsid w:val="005C2444"/>
    <w:rsid w:val="005C2D28"/>
    <w:rsid w:val="005C2E36"/>
    <w:rsid w:val="005C3265"/>
    <w:rsid w:val="005C3604"/>
    <w:rsid w:val="005C6CDB"/>
    <w:rsid w:val="005C7107"/>
    <w:rsid w:val="005C75C9"/>
    <w:rsid w:val="005D08FB"/>
    <w:rsid w:val="005D1A1E"/>
    <w:rsid w:val="005D2B3B"/>
    <w:rsid w:val="005D330D"/>
    <w:rsid w:val="005D398B"/>
    <w:rsid w:val="005D42BC"/>
    <w:rsid w:val="005D5E56"/>
    <w:rsid w:val="005D650A"/>
    <w:rsid w:val="005E045E"/>
    <w:rsid w:val="005E0586"/>
    <w:rsid w:val="005E0D82"/>
    <w:rsid w:val="005E1458"/>
    <w:rsid w:val="005E16CE"/>
    <w:rsid w:val="005E16E9"/>
    <w:rsid w:val="005E21C8"/>
    <w:rsid w:val="005E2FA9"/>
    <w:rsid w:val="005E3482"/>
    <w:rsid w:val="005E3DDC"/>
    <w:rsid w:val="005E3FDA"/>
    <w:rsid w:val="005E680F"/>
    <w:rsid w:val="005E7735"/>
    <w:rsid w:val="005E7BB6"/>
    <w:rsid w:val="005F0146"/>
    <w:rsid w:val="005F16B7"/>
    <w:rsid w:val="005F1F2F"/>
    <w:rsid w:val="005F212B"/>
    <w:rsid w:val="005F2E41"/>
    <w:rsid w:val="005F31B8"/>
    <w:rsid w:val="005F3734"/>
    <w:rsid w:val="005F373A"/>
    <w:rsid w:val="005F4809"/>
    <w:rsid w:val="005F4F39"/>
    <w:rsid w:val="005F6B81"/>
    <w:rsid w:val="005F7C1B"/>
    <w:rsid w:val="005F7F94"/>
    <w:rsid w:val="00600280"/>
    <w:rsid w:val="0060040C"/>
    <w:rsid w:val="0060045A"/>
    <w:rsid w:val="00600C59"/>
    <w:rsid w:val="00603029"/>
    <w:rsid w:val="00607654"/>
    <w:rsid w:val="006101C0"/>
    <w:rsid w:val="00611123"/>
    <w:rsid w:val="006117B1"/>
    <w:rsid w:val="006134BD"/>
    <w:rsid w:val="00613F6B"/>
    <w:rsid w:val="00620D97"/>
    <w:rsid w:val="006214A4"/>
    <w:rsid w:val="006214E8"/>
    <w:rsid w:val="0062268C"/>
    <w:rsid w:val="006227D3"/>
    <w:rsid w:val="00622A6F"/>
    <w:rsid w:val="006233E8"/>
    <w:rsid w:val="00623928"/>
    <w:rsid w:val="006244B6"/>
    <w:rsid w:val="0062498E"/>
    <w:rsid w:val="00624A01"/>
    <w:rsid w:val="006267AC"/>
    <w:rsid w:val="00626E9E"/>
    <w:rsid w:val="00627FDB"/>
    <w:rsid w:val="00630B95"/>
    <w:rsid w:val="00630D5F"/>
    <w:rsid w:val="00631A42"/>
    <w:rsid w:val="006323CB"/>
    <w:rsid w:val="00632EE6"/>
    <w:rsid w:val="0063335C"/>
    <w:rsid w:val="006338CA"/>
    <w:rsid w:val="00634AF3"/>
    <w:rsid w:val="006369A6"/>
    <w:rsid w:val="0063749E"/>
    <w:rsid w:val="00640242"/>
    <w:rsid w:val="00642C68"/>
    <w:rsid w:val="00643645"/>
    <w:rsid w:val="00643E06"/>
    <w:rsid w:val="0064547B"/>
    <w:rsid w:val="006465AC"/>
    <w:rsid w:val="00646615"/>
    <w:rsid w:val="00646726"/>
    <w:rsid w:val="00647121"/>
    <w:rsid w:val="006471E8"/>
    <w:rsid w:val="006511DE"/>
    <w:rsid w:val="00651289"/>
    <w:rsid w:val="00652721"/>
    <w:rsid w:val="0065306B"/>
    <w:rsid w:val="006538C5"/>
    <w:rsid w:val="006558E4"/>
    <w:rsid w:val="006573DA"/>
    <w:rsid w:val="00657B6D"/>
    <w:rsid w:val="00662D77"/>
    <w:rsid w:val="00663AFB"/>
    <w:rsid w:val="00663C85"/>
    <w:rsid w:val="006651C5"/>
    <w:rsid w:val="00665A08"/>
    <w:rsid w:val="00665B7B"/>
    <w:rsid w:val="006669EB"/>
    <w:rsid w:val="00666C59"/>
    <w:rsid w:val="0067024B"/>
    <w:rsid w:val="006706C0"/>
    <w:rsid w:val="00671670"/>
    <w:rsid w:val="00671F79"/>
    <w:rsid w:val="00672C27"/>
    <w:rsid w:val="006731B4"/>
    <w:rsid w:val="006734CB"/>
    <w:rsid w:val="00673D1A"/>
    <w:rsid w:val="0067404F"/>
    <w:rsid w:val="006747CC"/>
    <w:rsid w:val="006749AC"/>
    <w:rsid w:val="00674C23"/>
    <w:rsid w:val="00674F2C"/>
    <w:rsid w:val="00675256"/>
    <w:rsid w:val="0067623F"/>
    <w:rsid w:val="00680277"/>
    <w:rsid w:val="00681075"/>
    <w:rsid w:val="00681395"/>
    <w:rsid w:val="006826A5"/>
    <w:rsid w:val="00682AB0"/>
    <w:rsid w:val="00683BB2"/>
    <w:rsid w:val="00684526"/>
    <w:rsid w:val="00685080"/>
    <w:rsid w:val="0068571D"/>
    <w:rsid w:val="00686842"/>
    <w:rsid w:val="00686D70"/>
    <w:rsid w:val="00690A1E"/>
    <w:rsid w:val="00692208"/>
    <w:rsid w:val="0069322B"/>
    <w:rsid w:val="0069364F"/>
    <w:rsid w:val="0069479F"/>
    <w:rsid w:val="00695016"/>
    <w:rsid w:val="00695E6F"/>
    <w:rsid w:val="006A10D8"/>
    <w:rsid w:val="006A12DE"/>
    <w:rsid w:val="006A1DF3"/>
    <w:rsid w:val="006A2362"/>
    <w:rsid w:val="006A23E1"/>
    <w:rsid w:val="006A3345"/>
    <w:rsid w:val="006A38D8"/>
    <w:rsid w:val="006A38FB"/>
    <w:rsid w:val="006A405C"/>
    <w:rsid w:val="006A44B9"/>
    <w:rsid w:val="006A48EC"/>
    <w:rsid w:val="006A4968"/>
    <w:rsid w:val="006A57A2"/>
    <w:rsid w:val="006A6516"/>
    <w:rsid w:val="006A6C06"/>
    <w:rsid w:val="006A6E3C"/>
    <w:rsid w:val="006A79E7"/>
    <w:rsid w:val="006A7F93"/>
    <w:rsid w:val="006B1B30"/>
    <w:rsid w:val="006B1D7C"/>
    <w:rsid w:val="006B3D5E"/>
    <w:rsid w:val="006B3F37"/>
    <w:rsid w:val="006B3FE7"/>
    <w:rsid w:val="006B53D9"/>
    <w:rsid w:val="006B5695"/>
    <w:rsid w:val="006B5B32"/>
    <w:rsid w:val="006B72E2"/>
    <w:rsid w:val="006B7A19"/>
    <w:rsid w:val="006C0389"/>
    <w:rsid w:val="006C0CE6"/>
    <w:rsid w:val="006C1205"/>
    <w:rsid w:val="006C135E"/>
    <w:rsid w:val="006C1972"/>
    <w:rsid w:val="006C2589"/>
    <w:rsid w:val="006C2785"/>
    <w:rsid w:val="006C29DB"/>
    <w:rsid w:val="006C3BB7"/>
    <w:rsid w:val="006C412C"/>
    <w:rsid w:val="006C52F6"/>
    <w:rsid w:val="006C56DF"/>
    <w:rsid w:val="006C5FCE"/>
    <w:rsid w:val="006C7A0C"/>
    <w:rsid w:val="006C7CE6"/>
    <w:rsid w:val="006D0189"/>
    <w:rsid w:val="006D03CB"/>
    <w:rsid w:val="006D1ED6"/>
    <w:rsid w:val="006D206E"/>
    <w:rsid w:val="006D30B9"/>
    <w:rsid w:val="006D4742"/>
    <w:rsid w:val="006D4CA2"/>
    <w:rsid w:val="006D5548"/>
    <w:rsid w:val="006D5E3B"/>
    <w:rsid w:val="006D62CE"/>
    <w:rsid w:val="006E055D"/>
    <w:rsid w:val="006E19D3"/>
    <w:rsid w:val="006E2805"/>
    <w:rsid w:val="006E4083"/>
    <w:rsid w:val="006E4358"/>
    <w:rsid w:val="006E483F"/>
    <w:rsid w:val="006E5C9B"/>
    <w:rsid w:val="006E666B"/>
    <w:rsid w:val="006E6771"/>
    <w:rsid w:val="006E6B48"/>
    <w:rsid w:val="006E6E3F"/>
    <w:rsid w:val="006E6E7F"/>
    <w:rsid w:val="006E7810"/>
    <w:rsid w:val="006F0FAC"/>
    <w:rsid w:val="006F14D0"/>
    <w:rsid w:val="006F36DA"/>
    <w:rsid w:val="006F3DC5"/>
    <w:rsid w:val="006F49CE"/>
    <w:rsid w:val="006F513F"/>
    <w:rsid w:val="006F5F23"/>
    <w:rsid w:val="006F6338"/>
    <w:rsid w:val="006F704C"/>
    <w:rsid w:val="006F74F1"/>
    <w:rsid w:val="006F750C"/>
    <w:rsid w:val="006F778E"/>
    <w:rsid w:val="006F7EA4"/>
    <w:rsid w:val="006F7F41"/>
    <w:rsid w:val="00701F89"/>
    <w:rsid w:val="00702219"/>
    <w:rsid w:val="007028FA"/>
    <w:rsid w:val="00703B1F"/>
    <w:rsid w:val="0070433B"/>
    <w:rsid w:val="007048BF"/>
    <w:rsid w:val="00705068"/>
    <w:rsid w:val="00705199"/>
    <w:rsid w:val="007064DF"/>
    <w:rsid w:val="00706CEC"/>
    <w:rsid w:val="00707E3C"/>
    <w:rsid w:val="00710094"/>
    <w:rsid w:val="00714B5B"/>
    <w:rsid w:val="00714F18"/>
    <w:rsid w:val="00716F66"/>
    <w:rsid w:val="00720AF8"/>
    <w:rsid w:val="0072127B"/>
    <w:rsid w:val="00721652"/>
    <w:rsid w:val="00721C95"/>
    <w:rsid w:val="0072248B"/>
    <w:rsid w:val="00722FCA"/>
    <w:rsid w:val="0072321E"/>
    <w:rsid w:val="00723F9D"/>
    <w:rsid w:val="00725203"/>
    <w:rsid w:val="007253E5"/>
    <w:rsid w:val="007263BA"/>
    <w:rsid w:val="0073018C"/>
    <w:rsid w:val="0073152E"/>
    <w:rsid w:val="0073209E"/>
    <w:rsid w:val="0073293F"/>
    <w:rsid w:val="00733923"/>
    <w:rsid w:val="00733DE6"/>
    <w:rsid w:val="0073468D"/>
    <w:rsid w:val="00735360"/>
    <w:rsid w:val="00735D6B"/>
    <w:rsid w:val="00736242"/>
    <w:rsid w:val="00736630"/>
    <w:rsid w:val="007375E0"/>
    <w:rsid w:val="00737AA5"/>
    <w:rsid w:val="0074073B"/>
    <w:rsid w:val="00741017"/>
    <w:rsid w:val="00741501"/>
    <w:rsid w:val="00742216"/>
    <w:rsid w:val="00742D9F"/>
    <w:rsid w:val="0074466F"/>
    <w:rsid w:val="00744F9F"/>
    <w:rsid w:val="0074590F"/>
    <w:rsid w:val="00745C2E"/>
    <w:rsid w:val="007466D2"/>
    <w:rsid w:val="007468C9"/>
    <w:rsid w:val="00746E0A"/>
    <w:rsid w:val="00747188"/>
    <w:rsid w:val="00747688"/>
    <w:rsid w:val="007503A5"/>
    <w:rsid w:val="00750873"/>
    <w:rsid w:val="007512BC"/>
    <w:rsid w:val="0075285A"/>
    <w:rsid w:val="00754090"/>
    <w:rsid w:val="0075514E"/>
    <w:rsid w:val="00756E89"/>
    <w:rsid w:val="007608F2"/>
    <w:rsid w:val="00761CB3"/>
    <w:rsid w:val="00761EE4"/>
    <w:rsid w:val="00761F7E"/>
    <w:rsid w:val="00762B5F"/>
    <w:rsid w:val="00762DBE"/>
    <w:rsid w:val="0076378A"/>
    <w:rsid w:val="007637D4"/>
    <w:rsid w:val="007645E3"/>
    <w:rsid w:val="0076486D"/>
    <w:rsid w:val="007649AB"/>
    <w:rsid w:val="007661A7"/>
    <w:rsid w:val="00766AE6"/>
    <w:rsid w:val="00766E4B"/>
    <w:rsid w:val="00767BCA"/>
    <w:rsid w:val="007711A0"/>
    <w:rsid w:val="00771864"/>
    <w:rsid w:val="007718FC"/>
    <w:rsid w:val="00771B17"/>
    <w:rsid w:val="007727D9"/>
    <w:rsid w:val="00772B66"/>
    <w:rsid w:val="00772DE6"/>
    <w:rsid w:val="007757C9"/>
    <w:rsid w:val="0077764F"/>
    <w:rsid w:val="00780344"/>
    <w:rsid w:val="00780A85"/>
    <w:rsid w:val="007810BC"/>
    <w:rsid w:val="00781140"/>
    <w:rsid w:val="00781DFC"/>
    <w:rsid w:val="00781E59"/>
    <w:rsid w:val="007825EC"/>
    <w:rsid w:val="00782EB4"/>
    <w:rsid w:val="00784329"/>
    <w:rsid w:val="00784895"/>
    <w:rsid w:val="007851A7"/>
    <w:rsid w:val="0078555A"/>
    <w:rsid w:val="00786143"/>
    <w:rsid w:val="00786860"/>
    <w:rsid w:val="00786B63"/>
    <w:rsid w:val="0078707A"/>
    <w:rsid w:val="007902CC"/>
    <w:rsid w:val="007903DA"/>
    <w:rsid w:val="00790DB5"/>
    <w:rsid w:val="0079128C"/>
    <w:rsid w:val="00791AF1"/>
    <w:rsid w:val="00792453"/>
    <w:rsid w:val="00792A3D"/>
    <w:rsid w:val="0079314D"/>
    <w:rsid w:val="00793DD4"/>
    <w:rsid w:val="007940E0"/>
    <w:rsid w:val="007953DA"/>
    <w:rsid w:val="0079685B"/>
    <w:rsid w:val="00796D60"/>
    <w:rsid w:val="00796E88"/>
    <w:rsid w:val="007971A7"/>
    <w:rsid w:val="007973A4"/>
    <w:rsid w:val="00797FEB"/>
    <w:rsid w:val="007A0037"/>
    <w:rsid w:val="007A07C8"/>
    <w:rsid w:val="007A113A"/>
    <w:rsid w:val="007A13CC"/>
    <w:rsid w:val="007A1A12"/>
    <w:rsid w:val="007A1BA3"/>
    <w:rsid w:val="007A1F4E"/>
    <w:rsid w:val="007A1F5A"/>
    <w:rsid w:val="007A29BD"/>
    <w:rsid w:val="007A2A38"/>
    <w:rsid w:val="007A30A3"/>
    <w:rsid w:val="007A3C63"/>
    <w:rsid w:val="007A4A39"/>
    <w:rsid w:val="007A5FA3"/>
    <w:rsid w:val="007A68CA"/>
    <w:rsid w:val="007A7454"/>
    <w:rsid w:val="007A7FAD"/>
    <w:rsid w:val="007B0427"/>
    <w:rsid w:val="007B1BDB"/>
    <w:rsid w:val="007B1DFC"/>
    <w:rsid w:val="007B211B"/>
    <w:rsid w:val="007B230B"/>
    <w:rsid w:val="007B34EE"/>
    <w:rsid w:val="007B36B7"/>
    <w:rsid w:val="007B385D"/>
    <w:rsid w:val="007B48B9"/>
    <w:rsid w:val="007B5D7F"/>
    <w:rsid w:val="007B5EF6"/>
    <w:rsid w:val="007B6451"/>
    <w:rsid w:val="007B64C5"/>
    <w:rsid w:val="007C085A"/>
    <w:rsid w:val="007C0FA3"/>
    <w:rsid w:val="007C26EE"/>
    <w:rsid w:val="007C2E22"/>
    <w:rsid w:val="007C3018"/>
    <w:rsid w:val="007C4195"/>
    <w:rsid w:val="007C5DDC"/>
    <w:rsid w:val="007C5E8A"/>
    <w:rsid w:val="007C64CC"/>
    <w:rsid w:val="007C6FEE"/>
    <w:rsid w:val="007C7087"/>
    <w:rsid w:val="007C77F0"/>
    <w:rsid w:val="007D158C"/>
    <w:rsid w:val="007D160C"/>
    <w:rsid w:val="007D2790"/>
    <w:rsid w:val="007D290C"/>
    <w:rsid w:val="007D3638"/>
    <w:rsid w:val="007D419D"/>
    <w:rsid w:val="007D4CEA"/>
    <w:rsid w:val="007D623A"/>
    <w:rsid w:val="007D66EE"/>
    <w:rsid w:val="007D76FF"/>
    <w:rsid w:val="007D77C0"/>
    <w:rsid w:val="007E1D67"/>
    <w:rsid w:val="007E1DA9"/>
    <w:rsid w:val="007E2B97"/>
    <w:rsid w:val="007E3EED"/>
    <w:rsid w:val="007E3F38"/>
    <w:rsid w:val="007E4014"/>
    <w:rsid w:val="007E4443"/>
    <w:rsid w:val="007E6BC2"/>
    <w:rsid w:val="007E7061"/>
    <w:rsid w:val="007E7C2F"/>
    <w:rsid w:val="007F087A"/>
    <w:rsid w:val="007F147D"/>
    <w:rsid w:val="007F1917"/>
    <w:rsid w:val="007F1B80"/>
    <w:rsid w:val="007F2739"/>
    <w:rsid w:val="007F2B6F"/>
    <w:rsid w:val="007F2D77"/>
    <w:rsid w:val="007F34B2"/>
    <w:rsid w:val="007F60CF"/>
    <w:rsid w:val="007F66C3"/>
    <w:rsid w:val="007F6914"/>
    <w:rsid w:val="007F6A9F"/>
    <w:rsid w:val="007F6D7C"/>
    <w:rsid w:val="007F79C4"/>
    <w:rsid w:val="007F7FB9"/>
    <w:rsid w:val="00801584"/>
    <w:rsid w:val="0080219F"/>
    <w:rsid w:val="00802B53"/>
    <w:rsid w:val="00802EE1"/>
    <w:rsid w:val="00803880"/>
    <w:rsid w:val="00803B78"/>
    <w:rsid w:val="00804A5D"/>
    <w:rsid w:val="00804B17"/>
    <w:rsid w:val="00804C88"/>
    <w:rsid w:val="0080533E"/>
    <w:rsid w:val="008055CC"/>
    <w:rsid w:val="00805877"/>
    <w:rsid w:val="00805E37"/>
    <w:rsid w:val="008062E1"/>
    <w:rsid w:val="0080645B"/>
    <w:rsid w:val="00806F52"/>
    <w:rsid w:val="0081263D"/>
    <w:rsid w:val="0081304D"/>
    <w:rsid w:val="00814520"/>
    <w:rsid w:val="00814F56"/>
    <w:rsid w:val="008155B8"/>
    <w:rsid w:val="0081614E"/>
    <w:rsid w:val="00820CCF"/>
    <w:rsid w:val="00820EFB"/>
    <w:rsid w:val="00821B75"/>
    <w:rsid w:val="008225DB"/>
    <w:rsid w:val="008229DC"/>
    <w:rsid w:val="00823816"/>
    <w:rsid w:val="00823D81"/>
    <w:rsid w:val="00824310"/>
    <w:rsid w:val="0082484B"/>
    <w:rsid w:val="008248BC"/>
    <w:rsid w:val="00824C1B"/>
    <w:rsid w:val="0082569E"/>
    <w:rsid w:val="0082591A"/>
    <w:rsid w:val="00825B84"/>
    <w:rsid w:val="00830409"/>
    <w:rsid w:val="008308C2"/>
    <w:rsid w:val="0083423B"/>
    <w:rsid w:val="00834350"/>
    <w:rsid w:val="00834974"/>
    <w:rsid w:val="00834FFB"/>
    <w:rsid w:val="008351C6"/>
    <w:rsid w:val="008351D8"/>
    <w:rsid w:val="008363FF"/>
    <w:rsid w:val="008365BE"/>
    <w:rsid w:val="008408A6"/>
    <w:rsid w:val="00841AF6"/>
    <w:rsid w:val="00841FD1"/>
    <w:rsid w:val="00843341"/>
    <w:rsid w:val="00844338"/>
    <w:rsid w:val="0084460C"/>
    <w:rsid w:val="00846041"/>
    <w:rsid w:val="00846427"/>
    <w:rsid w:val="0084677D"/>
    <w:rsid w:val="00846876"/>
    <w:rsid w:val="0084775F"/>
    <w:rsid w:val="00851AF2"/>
    <w:rsid w:val="00852A17"/>
    <w:rsid w:val="00852AD4"/>
    <w:rsid w:val="00854553"/>
    <w:rsid w:val="00854B1E"/>
    <w:rsid w:val="00855E24"/>
    <w:rsid w:val="00856AC0"/>
    <w:rsid w:val="00857F53"/>
    <w:rsid w:val="008606D5"/>
    <w:rsid w:val="0086076A"/>
    <w:rsid w:val="008622A0"/>
    <w:rsid w:val="008626F3"/>
    <w:rsid w:val="00863DA7"/>
    <w:rsid w:val="008642CF"/>
    <w:rsid w:val="008654DD"/>
    <w:rsid w:val="00865597"/>
    <w:rsid w:val="008658DA"/>
    <w:rsid w:val="0086696E"/>
    <w:rsid w:val="00867FC7"/>
    <w:rsid w:val="00870D04"/>
    <w:rsid w:val="008721C3"/>
    <w:rsid w:val="00872AA1"/>
    <w:rsid w:val="00873729"/>
    <w:rsid w:val="00873805"/>
    <w:rsid w:val="008745B4"/>
    <w:rsid w:val="00874AA7"/>
    <w:rsid w:val="00875B9A"/>
    <w:rsid w:val="00875ED5"/>
    <w:rsid w:val="00876081"/>
    <w:rsid w:val="00876EFC"/>
    <w:rsid w:val="008806B0"/>
    <w:rsid w:val="008815E0"/>
    <w:rsid w:val="00882700"/>
    <w:rsid w:val="0088420D"/>
    <w:rsid w:val="0088432E"/>
    <w:rsid w:val="00884EFB"/>
    <w:rsid w:val="00885081"/>
    <w:rsid w:val="0088508C"/>
    <w:rsid w:val="00885509"/>
    <w:rsid w:val="00887C57"/>
    <w:rsid w:val="00890D6B"/>
    <w:rsid w:val="00891C8F"/>
    <w:rsid w:val="0089285E"/>
    <w:rsid w:val="00894D21"/>
    <w:rsid w:val="00895018"/>
    <w:rsid w:val="008952D0"/>
    <w:rsid w:val="00895D88"/>
    <w:rsid w:val="008A1740"/>
    <w:rsid w:val="008A2686"/>
    <w:rsid w:val="008A2B0D"/>
    <w:rsid w:val="008A2E72"/>
    <w:rsid w:val="008A4449"/>
    <w:rsid w:val="008A4BFE"/>
    <w:rsid w:val="008A4F6D"/>
    <w:rsid w:val="008A54C3"/>
    <w:rsid w:val="008A688A"/>
    <w:rsid w:val="008B06B6"/>
    <w:rsid w:val="008B080E"/>
    <w:rsid w:val="008B2E50"/>
    <w:rsid w:val="008B3986"/>
    <w:rsid w:val="008B439E"/>
    <w:rsid w:val="008B465A"/>
    <w:rsid w:val="008B4AD5"/>
    <w:rsid w:val="008B58DE"/>
    <w:rsid w:val="008B5A66"/>
    <w:rsid w:val="008B5D39"/>
    <w:rsid w:val="008B62E3"/>
    <w:rsid w:val="008B64BF"/>
    <w:rsid w:val="008B69CC"/>
    <w:rsid w:val="008C0382"/>
    <w:rsid w:val="008C0A14"/>
    <w:rsid w:val="008C0DDB"/>
    <w:rsid w:val="008C22BF"/>
    <w:rsid w:val="008C290B"/>
    <w:rsid w:val="008C2CBD"/>
    <w:rsid w:val="008C2EE1"/>
    <w:rsid w:val="008C3B24"/>
    <w:rsid w:val="008C4053"/>
    <w:rsid w:val="008C4C20"/>
    <w:rsid w:val="008C5FCE"/>
    <w:rsid w:val="008C7750"/>
    <w:rsid w:val="008C7F90"/>
    <w:rsid w:val="008D05A1"/>
    <w:rsid w:val="008D0A42"/>
    <w:rsid w:val="008D0E1D"/>
    <w:rsid w:val="008D283D"/>
    <w:rsid w:val="008D34AD"/>
    <w:rsid w:val="008D36B8"/>
    <w:rsid w:val="008D4822"/>
    <w:rsid w:val="008D4EEC"/>
    <w:rsid w:val="008D5158"/>
    <w:rsid w:val="008D5E87"/>
    <w:rsid w:val="008D60BC"/>
    <w:rsid w:val="008D65B8"/>
    <w:rsid w:val="008E1645"/>
    <w:rsid w:val="008E1BFC"/>
    <w:rsid w:val="008E2A33"/>
    <w:rsid w:val="008E42AD"/>
    <w:rsid w:val="008E4465"/>
    <w:rsid w:val="008E45E2"/>
    <w:rsid w:val="008E52F4"/>
    <w:rsid w:val="008E551E"/>
    <w:rsid w:val="008E5B45"/>
    <w:rsid w:val="008E5E5E"/>
    <w:rsid w:val="008E5ECC"/>
    <w:rsid w:val="008E61A2"/>
    <w:rsid w:val="008E669E"/>
    <w:rsid w:val="008E6E47"/>
    <w:rsid w:val="008E6F74"/>
    <w:rsid w:val="008E799C"/>
    <w:rsid w:val="008F1E52"/>
    <w:rsid w:val="008F355D"/>
    <w:rsid w:val="008F45AC"/>
    <w:rsid w:val="008F45C9"/>
    <w:rsid w:val="008F5E44"/>
    <w:rsid w:val="008F729A"/>
    <w:rsid w:val="00900433"/>
    <w:rsid w:val="0090114D"/>
    <w:rsid w:val="00901473"/>
    <w:rsid w:val="00901AA0"/>
    <w:rsid w:val="0090338F"/>
    <w:rsid w:val="0090374E"/>
    <w:rsid w:val="009039A6"/>
    <w:rsid w:val="009066A6"/>
    <w:rsid w:val="00907D81"/>
    <w:rsid w:val="00910383"/>
    <w:rsid w:val="0091170F"/>
    <w:rsid w:val="00912272"/>
    <w:rsid w:val="009142C3"/>
    <w:rsid w:val="009149DE"/>
    <w:rsid w:val="009149F9"/>
    <w:rsid w:val="00915F2F"/>
    <w:rsid w:val="009163DB"/>
    <w:rsid w:val="009172A9"/>
    <w:rsid w:val="00917439"/>
    <w:rsid w:val="009208D5"/>
    <w:rsid w:val="009223CF"/>
    <w:rsid w:val="00922843"/>
    <w:rsid w:val="00924DFC"/>
    <w:rsid w:val="00924FCB"/>
    <w:rsid w:val="009254B1"/>
    <w:rsid w:val="00925E02"/>
    <w:rsid w:val="009279DF"/>
    <w:rsid w:val="00927DFE"/>
    <w:rsid w:val="00927EFD"/>
    <w:rsid w:val="00930A8A"/>
    <w:rsid w:val="00930C16"/>
    <w:rsid w:val="00931CE5"/>
    <w:rsid w:val="0093267E"/>
    <w:rsid w:val="00932774"/>
    <w:rsid w:val="0093372A"/>
    <w:rsid w:val="00933D44"/>
    <w:rsid w:val="00933E53"/>
    <w:rsid w:val="009346CA"/>
    <w:rsid w:val="00934DFE"/>
    <w:rsid w:val="00935053"/>
    <w:rsid w:val="0093518F"/>
    <w:rsid w:val="00935FEF"/>
    <w:rsid w:val="00936139"/>
    <w:rsid w:val="00937B1D"/>
    <w:rsid w:val="00937BA1"/>
    <w:rsid w:val="00937C79"/>
    <w:rsid w:val="009406FD"/>
    <w:rsid w:val="009411F4"/>
    <w:rsid w:val="00943BC1"/>
    <w:rsid w:val="00943D13"/>
    <w:rsid w:val="0094530F"/>
    <w:rsid w:val="00945FC0"/>
    <w:rsid w:val="00950489"/>
    <w:rsid w:val="0095053E"/>
    <w:rsid w:val="009505BE"/>
    <w:rsid w:val="00951AD4"/>
    <w:rsid w:val="0095203F"/>
    <w:rsid w:val="00952EF8"/>
    <w:rsid w:val="009535FF"/>
    <w:rsid w:val="009550B9"/>
    <w:rsid w:val="00955C63"/>
    <w:rsid w:val="00955CD7"/>
    <w:rsid w:val="00956618"/>
    <w:rsid w:val="00956959"/>
    <w:rsid w:val="00957B53"/>
    <w:rsid w:val="00957F1E"/>
    <w:rsid w:val="009608A8"/>
    <w:rsid w:val="00960A58"/>
    <w:rsid w:val="009611EE"/>
    <w:rsid w:val="00961861"/>
    <w:rsid w:val="00961B6A"/>
    <w:rsid w:val="009634E9"/>
    <w:rsid w:val="0096365B"/>
    <w:rsid w:val="00963A27"/>
    <w:rsid w:val="00964786"/>
    <w:rsid w:val="00965FBB"/>
    <w:rsid w:val="0096655A"/>
    <w:rsid w:val="009665F8"/>
    <w:rsid w:val="00966EC8"/>
    <w:rsid w:val="00967D59"/>
    <w:rsid w:val="009703BE"/>
    <w:rsid w:val="0097072B"/>
    <w:rsid w:val="00970819"/>
    <w:rsid w:val="00970DC0"/>
    <w:rsid w:val="009714FD"/>
    <w:rsid w:val="0097165C"/>
    <w:rsid w:val="00973D17"/>
    <w:rsid w:val="00976A9A"/>
    <w:rsid w:val="00977D90"/>
    <w:rsid w:val="00982137"/>
    <w:rsid w:val="009826CE"/>
    <w:rsid w:val="0098280E"/>
    <w:rsid w:val="00982AD1"/>
    <w:rsid w:val="00984131"/>
    <w:rsid w:val="00984159"/>
    <w:rsid w:val="00986173"/>
    <w:rsid w:val="009877CC"/>
    <w:rsid w:val="00987A71"/>
    <w:rsid w:val="00987B2C"/>
    <w:rsid w:val="00987C3C"/>
    <w:rsid w:val="00987F9D"/>
    <w:rsid w:val="00990A09"/>
    <w:rsid w:val="009913DD"/>
    <w:rsid w:val="00992694"/>
    <w:rsid w:val="00994288"/>
    <w:rsid w:val="00994C36"/>
    <w:rsid w:val="00995281"/>
    <w:rsid w:val="009962F3"/>
    <w:rsid w:val="009975E9"/>
    <w:rsid w:val="00997CA8"/>
    <w:rsid w:val="009A03AC"/>
    <w:rsid w:val="009A0892"/>
    <w:rsid w:val="009A14D5"/>
    <w:rsid w:val="009A15AE"/>
    <w:rsid w:val="009A1817"/>
    <w:rsid w:val="009A2045"/>
    <w:rsid w:val="009A25E0"/>
    <w:rsid w:val="009A278D"/>
    <w:rsid w:val="009A2A05"/>
    <w:rsid w:val="009A334F"/>
    <w:rsid w:val="009A33C2"/>
    <w:rsid w:val="009A3675"/>
    <w:rsid w:val="009A391A"/>
    <w:rsid w:val="009A5C39"/>
    <w:rsid w:val="009A658A"/>
    <w:rsid w:val="009A6867"/>
    <w:rsid w:val="009A6A70"/>
    <w:rsid w:val="009A792A"/>
    <w:rsid w:val="009A794F"/>
    <w:rsid w:val="009A7D4B"/>
    <w:rsid w:val="009B0E48"/>
    <w:rsid w:val="009B163B"/>
    <w:rsid w:val="009B383E"/>
    <w:rsid w:val="009B3E46"/>
    <w:rsid w:val="009B4D46"/>
    <w:rsid w:val="009B527A"/>
    <w:rsid w:val="009B58B4"/>
    <w:rsid w:val="009B5BE9"/>
    <w:rsid w:val="009B5CAA"/>
    <w:rsid w:val="009B5D02"/>
    <w:rsid w:val="009B6152"/>
    <w:rsid w:val="009B6CB6"/>
    <w:rsid w:val="009B794A"/>
    <w:rsid w:val="009B7FA7"/>
    <w:rsid w:val="009C026E"/>
    <w:rsid w:val="009C02D6"/>
    <w:rsid w:val="009C0607"/>
    <w:rsid w:val="009C145A"/>
    <w:rsid w:val="009C2616"/>
    <w:rsid w:val="009C26CF"/>
    <w:rsid w:val="009C2AD2"/>
    <w:rsid w:val="009C2F4E"/>
    <w:rsid w:val="009C2FC5"/>
    <w:rsid w:val="009C3449"/>
    <w:rsid w:val="009C5465"/>
    <w:rsid w:val="009C604B"/>
    <w:rsid w:val="009D00F7"/>
    <w:rsid w:val="009D07C2"/>
    <w:rsid w:val="009D07C9"/>
    <w:rsid w:val="009D0F83"/>
    <w:rsid w:val="009D1AB8"/>
    <w:rsid w:val="009D2596"/>
    <w:rsid w:val="009D2D0C"/>
    <w:rsid w:val="009D3446"/>
    <w:rsid w:val="009D43B6"/>
    <w:rsid w:val="009D5025"/>
    <w:rsid w:val="009D7C12"/>
    <w:rsid w:val="009E00C1"/>
    <w:rsid w:val="009E1773"/>
    <w:rsid w:val="009E1CA3"/>
    <w:rsid w:val="009E1F40"/>
    <w:rsid w:val="009E23FB"/>
    <w:rsid w:val="009E2972"/>
    <w:rsid w:val="009E2FC8"/>
    <w:rsid w:val="009E318D"/>
    <w:rsid w:val="009E362C"/>
    <w:rsid w:val="009E3D2C"/>
    <w:rsid w:val="009E3F39"/>
    <w:rsid w:val="009E4044"/>
    <w:rsid w:val="009E4511"/>
    <w:rsid w:val="009E4556"/>
    <w:rsid w:val="009E6678"/>
    <w:rsid w:val="009E7009"/>
    <w:rsid w:val="009F1097"/>
    <w:rsid w:val="009F10AA"/>
    <w:rsid w:val="009F12EF"/>
    <w:rsid w:val="009F1D63"/>
    <w:rsid w:val="009F32FF"/>
    <w:rsid w:val="009F370B"/>
    <w:rsid w:val="009F4CE1"/>
    <w:rsid w:val="009F4D02"/>
    <w:rsid w:val="009F5073"/>
    <w:rsid w:val="009F69B7"/>
    <w:rsid w:val="009F7AD3"/>
    <w:rsid w:val="00A0039F"/>
    <w:rsid w:val="00A008F7"/>
    <w:rsid w:val="00A0291B"/>
    <w:rsid w:val="00A02927"/>
    <w:rsid w:val="00A02DCA"/>
    <w:rsid w:val="00A033FF"/>
    <w:rsid w:val="00A03459"/>
    <w:rsid w:val="00A035B7"/>
    <w:rsid w:val="00A03C98"/>
    <w:rsid w:val="00A041E7"/>
    <w:rsid w:val="00A05E71"/>
    <w:rsid w:val="00A065A8"/>
    <w:rsid w:val="00A0732F"/>
    <w:rsid w:val="00A07982"/>
    <w:rsid w:val="00A07B81"/>
    <w:rsid w:val="00A07D14"/>
    <w:rsid w:val="00A07FB7"/>
    <w:rsid w:val="00A10844"/>
    <w:rsid w:val="00A113DC"/>
    <w:rsid w:val="00A12274"/>
    <w:rsid w:val="00A14E13"/>
    <w:rsid w:val="00A154E4"/>
    <w:rsid w:val="00A15832"/>
    <w:rsid w:val="00A17315"/>
    <w:rsid w:val="00A2127A"/>
    <w:rsid w:val="00A214D5"/>
    <w:rsid w:val="00A216CB"/>
    <w:rsid w:val="00A21A74"/>
    <w:rsid w:val="00A21AFE"/>
    <w:rsid w:val="00A22851"/>
    <w:rsid w:val="00A23547"/>
    <w:rsid w:val="00A24C2A"/>
    <w:rsid w:val="00A2683E"/>
    <w:rsid w:val="00A27904"/>
    <w:rsid w:val="00A27CE7"/>
    <w:rsid w:val="00A314CA"/>
    <w:rsid w:val="00A316B6"/>
    <w:rsid w:val="00A3170F"/>
    <w:rsid w:val="00A3532C"/>
    <w:rsid w:val="00A35E3F"/>
    <w:rsid w:val="00A37807"/>
    <w:rsid w:val="00A37B35"/>
    <w:rsid w:val="00A37DB9"/>
    <w:rsid w:val="00A37F2F"/>
    <w:rsid w:val="00A408C3"/>
    <w:rsid w:val="00A4444C"/>
    <w:rsid w:val="00A446EA"/>
    <w:rsid w:val="00A44853"/>
    <w:rsid w:val="00A44EF0"/>
    <w:rsid w:val="00A47115"/>
    <w:rsid w:val="00A502A2"/>
    <w:rsid w:val="00A508D7"/>
    <w:rsid w:val="00A51CCA"/>
    <w:rsid w:val="00A52D3D"/>
    <w:rsid w:val="00A530CC"/>
    <w:rsid w:val="00A53B64"/>
    <w:rsid w:val="00A5473B"/>
    <w:rsid w:val="00A56F61"/>
    <w:rsid w:val="00A57612"/>
    <w:rsid w:val="00A61DCB"/>
    <w:rsid w:val="00A61EBE"/>
    <w:rsid w:val="00A632AA"/>
    <w:rsid w:val="00A63902"/>
    <w:rsid w:val="00A64696"/>
    <w:rsid w:val="00A648E3"/>
    <w:rsid w:val="00A64986"/>
    <w:rsid w:val="00A64D54"/>
    <w:rsid w:val="00A6561E"/>
    <w:rsid w:val="00A657E5"/>
    <w:rsid w:val="00A66B54"/>
    <w:rsid w:val="00A66E20"/>
    <w:rsid w:val="00A67372"/>
    <w:rsid w:val="00A6789E"/>
    <w:rsid w:val="00A67A56"/>
    <w:rsid w:val="00A67B7B"/>
    <w:rsid w:val="00A67DC7"/>
    <w:rsid w:val="00A67E3A"/>
    <w:rsid w:val="00A70755"/>
    <w:rsid w:val="00A70B94"/>
    <w:rsid w:val="00A70C93"/>
    <w:rsid w:val="00A72DD0"/>
    <w:rsid w:val="00A73764"/>
    <w:rsid w:val="00A73CE0"/>
    <w:rsid w:val="00A7438D"/>
    <w:rsid w:val="00A74905"/>
    <w:rsid w:val="00A752F3"/>
    <w:rsid w:val="00A76081"/>
    <w:rsid w:val="00A76548"/>
    <w:rsid w:val="00A7669D"/>
    <w:rsid w:val="00A76BBF"/>
    <w:rsid w:val="00A76DD4"/>
    <w:rsid w:val="00A77C1C"/>
    <w:rsid w:val="00A806B5"/>
    <w:rsid w:val="00A8073F"/>
    <w:rsid w:val="00A80DE3"/>
    <w:rsid w:val="00A81CEB"/>
    <w:rsid w:val="00A83B00"/>
    <w:rsid w:val="00A841F7"/>
    <w:rsid w:val="00A8441B"/>
    <w:rsid w:val="00A846CC"/>
    <w:rsid w:val="00A85526"/>
    <w:rsid w:val="00A85F07"/>
    <w:rsid w:val="00A8696B"/>
    <w:rsid w:val="00A90D40"/>
    <w:rsid w:val="00A9210E"/>
    <w:rsid w:val="00A92A12"/>
    <w:rsid w:val="00A92C14"/>
    <w:rsid w:val="00A92FB3"/>
    <w:rsid w:val="00A93158"/>
    <w:rsid w:val="00A97403"/>
    <w:rsid w:val="00AA0897"/>
    <w:rsid w:val="00AA12CE"/>
    <w:rsid w:val="00AA1D51"/>
    <w:rsid w:val="00AA2713"/>
    <w:rsid w:val="00AA3252"/>
    <w:rsid w:val="00AA3472"/>
    <w:rsid w:val="00AA3AC3"/>
    <w:rsid w:val="00AA4107"/>
    <w:rsid w:val="00AA4327"/>
    <w:rsid w:val="00AA4BB5"/>
    <w:rsid w:val="00AA5DFB"/>
    <w:rsid w:val="00AA6E67"/>
    <w:rsid w:val="00AA7BC7"/>
    <w:rsid w:val="00AA7DC6"/>
    <w:rsid w:val="00AB0158"/>
    <w:rsid w:val="00AB0620"/>
    <w:rsid w:val="00AB15D1"/>
    <w:rsid w:val="00AB1A1D"/>
    <w:rsid w:val="00AB268A"/>
    <w:rsid w:val="00AB38EA"/>
    <w:rsid w:val="00AB3DAF"/>
    <w:rsid w:val="00AB4C1C"/>
    <w:rsid w:val="00AB5185"/>
    <w:rsid w:val="00AB585B"/>
    <w:rsid w:val="00AB5E6C"/>
    <w:rsid w:val="00AB6A66"/>
    <w:rsid w:val="00AB6EF9"/>
    <w:rsid w:val="00AB71C5"/>
    <w:rsid w:val="00AB7CA6"/>
    <w:rsid w:val="00AB7EC3"/>
    <w:rsid w:val="00AC03AA"/>
    <w:rsid w:val="00AC0A10"/>
    <w:rsid w:val="00AC0CA6"/>
    <w:rsid w:val="00AC10CB"/>
    <w:rsid w:val="00AC1241"/>
    <w:rsid w:val="00AC19F3"/>
    <w:rsid w:val="00AC21ED"/>
    <w:rsid w:val="00AC25A5"/>
    <w:rsid w:val="00AC354E"/>
    <w:rsid w:val="00AC3649"/>
    <w:rsid w:val="00AC3A5F"/>
    <w:rsid w:val="00AC63E6"/>
    <w:rsid w:val="00AC70D7"/>
    <w:rsid w:val="00AC7B4D"/>
    <w:rsid w:val="00AC7E2F"/>
    <w:rsid w:val="00AD27C2"/>
    <w:rsid w:val="00AD309A"/>
    <w:rsid w:val="00AD3321"/>
    <w:rsid w:val="00AD45D5"/>
    <w:rsid w:val="00AD56D1"/>
    <w:rsid w:val="00AD66F6"/>
    <w:rsid w:val="00AD6DA1"/>
    <w:rsid w:val="00AD76A8"/>
    <w:rsid w:val="00AD7E3A"/>
    <w:rsid w:val="00AE0297"/>
    <w:rsid w:val="00AE0C79"/>
    <w:rsid w:val="00AE0EA8"/>
    <w:rsid w:val="00AE111E"/>
    <w:rsid w:val="00AE1902"/>
    <w:rsid w:val="00AE1C93"/>
    <w:rsid w:val="00AE2755"/>
    <w:rsid w:val="00AE2F46"/>
    <w:rsid w:val="00AE3035"/>
    <w:rsid w:val="00AE470A"/>
    <w:rsid w:val="00AE4748"/>
    <w:rsid w:val="00AE4AE8"/>
    <w:rsid w:val="00AE6E54"/>
    <w:rsid w:val="00AF07FB"/>
    <w:rsid w:val="00AF0DCB"/>
    <w:rsid w:val="00AF0EA4"/>
    <w:rsid w:val="00AF2AF8"/>
    <w:rsid w:val="00AF6EFA"/>
    <w:rsid w:val="00AF7F7B"/>
    <w:rsid w:val="00B0002A"/>
    <w:rsid w:val="00B000D8"/>
    <w:rsid w:val="00B00969"/>
    <w:rsid w:val="00B00A39"/>
    <w:rsid w:val="00B03BA9"/>
    <w:rsid w:val="00B040F9"/>
    <w:rsid w:val="00B04A70"/>
    <w:rsid w:val="00B04AB3"/>
    <w:rsid w:val="00B057B8"/>
    <w:rsid w:val="00B07BD7"/>
    <w:rsid w:val="00B07BE9"/>
    <w:rsid w:val="00B102B3"/>
    <w:rsid w:val="00B103BF"/>
    <w:rsid w:val="00B11A3A"/>
    <w:rsid w:val="00B12112"/>
    <w:rsid w:val="00B125E7"/>
    <w:rsid w:val="00B1297B"/>
    <w:rsid w:val="00B15798"/>
    <w:rsid w:val="00B15A37"/>
    <w:rsid w:val="00B15B94"/>
    <w:rsid w:val="00B1686D"/>
    <w:rsid w:val="00B16FB0"/>
    <w:rsid w:val="00B17185"/>
    <w:rsid w:val="00B1728D"/>
    <w:rsid w:val="00B201B0"/>
    <w:rsid w:val="00B20FB1"/>
    <w:rsid w:val="00B218C5"/>
    <w:rsid w:val="00B2206D"/>
    <w:rsid w:val="00B22F4B"/>
    <w:rsid w:val="00B23384"/>
    <w:rsid w:val="00B23763"/>
    <w:rsid w:val="00B23AF9"/>
    <w:rsid w:val="00B24022"/>
    <w:rsid w:val="00B24483"/>
    <w:rsid w:val="00B252D9"/>
    <w:rsid w:val="00B25595"/>
    <w:rsid w:val="00B2633F"/>
    <w:rsid w:val="00B27204"/>
    <w:rsid w:val="00B27939"/>
    <w:rsid w:val="00B303C5"/>
    <w:rsid w:val="00B338B9"/>
    <w:rsid w:val="00B33939"/>
    <w:rsid w:val="00B34745"/>
    <w:rsid w:val="00B348C5"/>
    <w:rsid w:val="00B34F6D"/>
    <w:rsid w:val="00B34FD0"/>
    <w:rsid w:val="00B35409"/>
    <w:rsid w:val="00B35F68"/>
    <w:rsid w:val="00B3685C"/>
    <w:rsid w:val="00B403BC"/>
    <w:rsid w:val="00B41A5C"/>
    <w:rsid w:val="00B41FD2"/>
    <w:rsid w:val="00B4211D"/>
    <w:rsid w:val="00B42FDE"/>
    <w:rsid w:val="00B43C89"/>
    <w:rsid w:val="00B44CA2"/>
    <w:rsid w:val="00B45EDF"/>
    <w:rsid w:val="00B476ED"/>
    <w:rsid w:val="00B47C2E"/>
    <w:rsid w:val="00B47C50"/>
    <w:rsid w:val="00B47F45"/>
    <w:rsid w:val="00B50B42"/>
    <w:rsid w:val="00B515C0"/>
    <w:rsid w:val="00B518C7"/>
    <w:rsid w:val="00B52A8D"/>
    <w:rsid w:val="00B52BD8"/>
    <w:rsid w:val="00B52D49"/>
    <w:rsid w:val="00B57AFE"/>
    <w:rsid w:val="00B6114E"/>
    <w:rsid w:val="00B61582"/>
    <w:rsid w:val="00B632B4"/>
    <w:rsid w:val="00B65CD7"/>
    <w:rsid w:val="00B65DB3"/>
    <w:rsid w:val="00B66BF7"/>
    <w:rsid w:val="00B7087A"/>
    <w:rsid w:val="00B7215E"/>
    <w:rsid w:val="00B72B0C"/>
    <w:rsid w:val="00B735F0"/>
    <w:rsid w:val="00B7499A"/>
    <w:rsid w:val="00B75B87"/>
    <w:rsid w:val="00B75CD5"/>
    <w:rsid w:val="00B77005"/>
    <w:rsid w:val="00B77B93"/>
    <w:rsid w:val="00B77BBF"/>
    <w:rsid w:val="00B80E05"/>
    <w:rsid w:val="00B819BA"/>
    <w:rsid w:val="00B81C6F"/>
    <w:rsid w:val="00B85F5E"/>
    <w:rsid w:val="00B861AD"/>
    <w:rsid w:val="00B86B8A"/>
    <w:rsid w:val="00B86FF2"/>
    <w:rsid w:val="00B873BB"/>
    <w:rsid w:val="00B8786B"/>
    <w:rsid w:val="00B9024B"/>
    <w:rsid w:val="00B90664"/>
    <w:rsid w:val="00B90685"/>
    <w:rsid w:val="00B913CB"/>
    <w:rsid w:val="00B91611"/>
    <w:rsid w:val="00B918E5"/>
    <w:rsid w:val="00B93F42"/>
    <w:rsid w:val="00B95F52"/>
    <w:rsid w:val="00B9620F"/>
    <w:rsid w:val="00B96BD8"/>
    <w:rsid w:val="00B96F63"/>
    <w:rsid w:val="00BA077C"/>
    <w:rsid w:val="00BA0901"/>
    <w:rsid w:val="00BA0DED"/>
    <w:rsid w:val="00BA181D"/>
    <w:rsid w:val="00BA19A7"/>
    <w:rsid w:val="00BA19F8"/>
    <w:rsid w:val="00BA2519"/>
    <w:rsid w:val="00BA4879"/>
    <w:rsid w:val="00BA54C0"/>
    <w:rsid w:val="00BA5598"/>
    <w:rsid w:val="00BA5BC6"/>
    <w:rsid w:val="00BA5C7F"/>
    <w:rsid w:val="00BA66F0"/>
    <w:rsid w:val="00BA6C79"/>
    <w:rsid w:val="00BA6C9B"/>
    <w:rsid w:val="00BB0174"/>
    <w:rsid w:val="00BB038D"/>
    <w:rsid w:val="00BB04CE"/>
    <w:rsid w:val="00BB1530"/>
    <w:rsid w:val="00BB162A"/>
    <w:rsid w:val="00BB1EBE"/>
    <w:rsid w:val="00BB2125"/>
    <w:rsid w:val="00BB2AC5"/>
    <w:rsid w:val="00BB3B3B"/>
    <w:rsid w:val="00BB3CBE"/>
    <w:rsid w:val="00BB3F50"/>
    <w:rsid w:val="00BB4C39"/>
    <w:rsid w:val="00BB5454"/>
    <w:rsid w:val="00BB5796"/>
    <w:rsid w:val="00BB5AC5"/>
    <w:rsid w:val="00BB5B8B"/>
    <w:rsid w:val="00BB6790"/>
    <w:rsid w:val="00BC0E40"/>
    <w:rsid w:val="00BC0E4D"/>
    <w:rsid w:val="00BC139C"/>
    <w:rsid w:val="00BC21B0"/>
    <w:rsid w:val="00BC2ED6"/>
    <w:rsid w:val="00BC31DD"/>
    <w:rsid w:val="00BC33C2"/>
    <w:rsid w:val="00BC3A34"/>
    <w:rsid w:val="00BC49BE"/>
    <w:rsid w:val="00BC5988"/>
    <w:rsid w:val="00BC5F79"/>
    <w:rsid w:val="00BC5FB5"/>
    <w:rsid w:val="00BC73B0"/>
    <w:rsid w:val="00BC770F"/>
    <w:rsid w:val="00BD076E"/>
    <w:rsid w:val="00BD1623"/>
    <w:rsid w:val="00BD20A2"/>
    <w:rsid w:val="00BD2687"/>
    <w:rsid w:val="00BD2E52"/>
    <w:rsid w:val="00BD3475"/>
    <w:rsid w:val="00BE037A"/>
    <w:rsid w:val="00BE125D"/>
    <w:rsid w:val="00BE2D14"/>
    <w:rsid w:val="00BE3075"/>
    <w:rsid w:val="00BE32D1"/>
    <w:rsid w:val="00BE32D8"/>
    <w:rsid w:val="00BE3741"/>
    <w:rsid w:val="00BE376E"/>
    <w:rsid w:val="00BE3843"/>
    <w:rsid w:val="00BE3C8B"/>
    <w:rsid w:val="00BE3CE6"/>
    <w:rsid w:val="00BE53AD"/>
    <w:rsid w:val="00BE58A6"/>
    <w:rsid w:val="00BE5BAF"/>
    <w:rsid w:val="00BE5F51"/>
    <w:rsid w:val="00BE5FB1"/>
    <w:rsid w:val="00BE6DF8"/>
    <w:rsid w:val="00BE7CFD"/>
    <w:rsid w:val="00BE7EDF"/>
    <w:rsid w:val="00BF0562"/>
    <w:rsid w:val="00BF1B3D"/>
    <w:rsid w:val="00BF2147"/>
    <w:rsid w:val="00BF3D28"/>
    <w:rsid w:val="00BF42C7"/>
    <w:rsid w:val="00BF4302"/>
    <w:rsid w:val="00BF4871"/>
    <w:rsid w:val="00BF61E1"/>
    <w:rsid w:val="00BF63D9"/>
    <w:rsid w:val="00BF6A39"/>
    <w:rsid w:val="00BF7517"/>
    <w:rsid w:val="00BF77CF"/>
    <w:rsid w:val="00BF78C5"/>
    <w:rsid w:val="00C00234"/>
    <w:rsid w:val="00C00C6F"/>
    <w:rsid w:val="00C0107C"/>
    <w:rsid w:val="00C017EB"/>
    <w:rsid w:val="00C0183F"/>
    <w:rsid w:val="00C02019"/>
    <w:rsid w:val="00C02048"/>
    <w:rsid w:val="00C0213C"/>
    <w:rsid w:val="00C024A5"/>
    <w:rsid w:val="00C02BEC"/>
    <w:rsid w:val="00C0307F"/>
    <w:rsid w:val="00C038A7"/>
    <w:rsid w:val="00C039EE"/>
    <w:rsid w:val="00C03E14"/>
    <w:rsid w:val="00C03EB8"/>
    <w:rsid w:val="00C03F9A"/>
    <w:rsid w:val="00C040B0"/>
    <w:rsid w:val="00C0621D"/>
    <w:rsid w:val="00C06396"/>
    <w:rsid w:val="00C0649E"/>
    <w:rsid w:val="00C06894"/>
    <w:rsid w:val="00C06AB8"/>
    <w:rsid w:val="00C06EF7"/>
    <w:rsid w:val="00C0711D"/>
    <w:rsid w:val="00C12311"/>
    <w:rsid w:val="00C12384"/>
    <w:rsid w:val="00C128D0"/>
    <w:rsid w:val="00C128DC"/>
    <w:rsid w:val="00C12A3A"/>
    <w:rsid w:val="00C13024"/>
    <w:rsid w:val="00C13120"/>
    <w:rsid w:val="00C15A45"/>
    <w:rsid w:val="00C166AB"/>
    <w:rsid w:val="00C17C00"/>
    <w:rsid w:val="00C2007C"/>
    <w:rsid w:val="00C2241B"/>
    <w:rsid w:val="00C2286E"/>
    <w:rsid w:val="00C23174"/>
    <w:rsid w:val="00C23612"/>
    <w:rsid w:val="00C24150"/>
    <w:rsid w:val="00C252D3"/>
    <w:rsid w:val="00C257E9"/>
    <w:rsid w:val="00C25DCF"/>
    <w:rsid w:val="00C26E97"/>
    <w:rsid w:val="00C2707A"/>
    <w:rsid w:val="00C2728B"/>
    <w:rsid w:val="00C27305"/>
    <w:rsid w:val="00C27A25"/>
    <w:rsid w:val="00C27EC8"/>
    <w:rsid w:val="00C3089D"/>
    <w:rsid w:val="00C31763"/>
    <w:rsid w:val="00C31946"/>
    <w:rsid w:val="00C320C8"/>
    <w:rsid w:val="00C32256"/>
    <w:rsid w:val="00C32329"/>
    <w:rsid w:val="00C32F88"/>
    <w:rsid w:val="00C3404B"/>
    <w:rsid w:val="00C35158"/>
    <w:rsid w:val="00C36AC8"/>
    <w:rsid w:val="00C3722F"/>
    <w:rsid w:val="00C37A0B"/>
    <w:rsid w:val="00C37E26"/>
    <w:rsid w:val="00C37F61"/>
    <w:rsid w:val="00C4033A"/>
    <w:rsid w:val="00C4069A"/>
    <w:rsid w:val="00C42033"/>
    <w:rsid w:val="00C42035"/>
    <w:rsid w:val="00C421AC"/>
    <w:rsid w:val="00C44751"/>
    <w:rsid w:val="00C463C8"/>
    <w:rsid w:val="00C46AB7"/>
    <w:rsid w:val="00C47F4B"/>
    <w:rsid w:val="00C503CE"/>
    <w:rsid w:val="00C51272"/>
    <w:rsid w:val="00C51557"/>
    <w:rsid w:val="00C53F16"/>
    <w:rsid w:val="00C57DB2"/>
    <w:rsid w:val="00C60255"/>
    <w:rsid w:val="00C614A6"/>
    <w:rsid w:val="00C624EF"/>
    <w:rsid w:val="00C6314A"/>
    <w:rsid w:val="00C64BAC"/>
    <w:rsid w:val="00C66FDE"/>
    <w:rsid w:val="00C67320"/>
    <w:rsid w:val="00C67985"/>
    <w:rsid w:val="00C67CDE"/>
    <w:rsid w:val="00C67ECA"/>
    <w:rsid w:val="00C70F9E"/>
    <w:rsid w:val="00C71954"/>
    <w:rsid w:val="00C721CA"/>
    <w:rsid w:val="00C729A9"/>
    <w:rsid w:val="00C73A84"/>
    <w:rsid w:val="00C74C98"/>
    <w:rsid w:val="00C74F39"/>
    <w:rsid w:val="00C77E1F"/>
    <w:rsid w:val="00C80245"/>
    <w:rsid w:val="00C8035D"/>
    <w:rsid w:val="00C8085F"/>
    <w:rsid w:val="00C808E2"/>
    <w:rsid w:val="00C81983"/>
    <w:rsid w:val="00C827B6"/>
    <w:rsid w:val="00C8374A"/>
    <w:rsid w:val="00C83DCA"/>
    <w:rsid w:val="00C840BA"/>
    <w:rsid w:val="00C8616F"/>
    <w:rsid w:val="00C87A8B"/>
    <w:rsid w:val="00C93929"/>
    <w:rsid w:val="00C94570"/>
    <w:rsid w:val="00C95C5F"/>
    <w:rsid w:val="00C96306"/>
    <w:rsid w:val="00C96933"/>
    <w:rsid w:val="00C96ADE"/>
    <w:rsid w:val="00C971E1"/>
    <w:rsid w:val="00C9762D"/>
    <w:rsid w:val="00C976C3"/>
    <w:rsid w:val="00C979F6"/>
    <w:rsid w:val="00CA06BA"/>
    <w:rsid w:val="00CA06F0"/>
    <w:rsid w:val="00CA0A4F"/>
    <w:rsid w:val="00CA0B68"/>
    <w:rsid w:val="00CA1A5B"/>
    <w:rsid w:val="00CA2AB4"/>
    <w:rsid w:val="00CA2DB7"/>
    <w:rsid w:val="00CA3EDE"/>
    <w:rsid w:val="00CA5CC8"/>
    <w:rsid w:val="00CA5FD2"/>
    <w:rsid w:val="00CA6611"/>
    <w:rsid w:val="00CA6B54"/>
    <w:rsid w:val="00CA7B76"/>
    <w:rsid w:val="00CB0E0C"/>
    <w:rsid w:val="00CB117A"/>
    <w:rsid w:val="00CB15A1"/>
    <w:rsid w:val="00CB240C"/>
    <w:rsid w:val="00CB34C3"/>
    <w:rsid w:val="00CB396E"/>
    <w:rsid w:val="00CB3D7C"/>
    <w:rsid w:val="00CB53BB"/>
    <w:rsid w:val="00CB56AB"/>
    <w:rsid w:val="00CB63C2"/>
    <w:rsid w:val="00CB7A3B"/>
    <w:rsid w:val="00CC02AF"/>
    <w:rsid w:val="00CC0AF5"/>
    <w:rsid w:val="00CC0DA4"/>
    <w:rsid w:val="00CC0F84"/>
    <w:rsid w:val="00CC0F87"/>
    <w:rsid w:val="00CC133A"/>
    <w:rsid w:val="00CC38A1"/>
    <w:rsid w:val="00CC3C26"/>
    <w:rsid w:val="00CC4A6B"/>
    <w:rsid w:val="00CC4EA2"/>
    <w:rsid w:val="00CC505A"/>
    <w:rsid w:val="00CC508C"/>
    <w:rsid w:val="00CC50CF"/>
    <w:rsid w:val="00CC6CB6"/>
    <w:rsid w:val="00CC7792"/>
    <w:rsid w:val="00CD1128"/>
    <w:rsid w:val="00CD1129"/>
    <w:rsid w:val="00CD1C52"/>
    <w:rsid w:val="00CD23B8"/>
    <w:rsid w:val="00CD2403"/>
    <w:rsid w:val="00CD2AC4"/>
    <w:rsid w:val="00CD4802"/>
    <w:rsid w:val="00CD58B8"/>
    <w:rsid w:val="00CD5F4F"/>
    <w:rsid w:val="00CD69F8"/>
    <w:rsid w:val="00CD6E7A"/>
    <w:rsid w:val="00CD6F1B"/>
    <w:rsid w:val="00CD7124"/>
    <w:rsid w:val="00CD7648"/>
    <w:rsid w:val="00CE0117"/>
    <w:rsid w:val="00CE3407"/>
    <w:rsid w:val="00CE4462"/>
    <w:rsid w:val="00CE458F"/>
    <w:rsid w:val="00CE4ECF"/>
    <w:rsid w:val="00CE59A7"/>
    <w:rsid w:val="00CE623A"/>
    <w:rsid w:val="00CE696F"/>
    <w:rsid w:val="00CF1893"/>
    <w:rsid w:val="00CF3687"/>
    <w:rsid w:val="00CF3B5B"/>
    <w:rsid w:val="00CF4AFE"/>
    <w:rsid w:val="00CF5386"/>
    <w:rsid w:val="00CF5720"/>
    <w:rsid w:val="00D011C5"/>
    <w:rsid w:val="00D02532"/>
    <w:rsid w:val="00D0267D"/>
    <w:rsid w:val="00D03043"/>
    <w:rsid w:val="00D032DE"/>
    <w:rsid w:val="00D035F5"/>
    <w:rsid w:val="00D0365D"/>
    <w:rsid w:val="00D041AB"/>
    <w:rsid w:val="00D04358"/>
    <w:rsid w:val="00D04D8B"/>
    <w:rsid w:val="00D04FFB"/>
    <w:rsid w:val="00D058A0"/>
    <w:rsid w:val="00D06A53"/>
    <w:rsid w:val="00D06BBB"/>
    <w:rsid w:val="00D101DD"/>
    <w:rsid w:val="00D128C8"/>
    <w:rsid w:val="00D132AC"/>
    <w:rsid w:val="00D14404"/>
    <w:rsid w:val="00D144A6"/>
    <w:rsid w:val="00D15294"/>
    <w:rsid w:val="00D179E9"/>
    <w:rsid w:val="00D17AB7"/>
    <w:rsid w:val="00D20A7D"/>
    <w:rsid w:val="00D2150D"/>
    <w:rsid w:val="00D225EF"/>
    <w:rsid w:val="00D22763"/>
    <w:rsid w:val="00D2289E"/>
    <w:rsid w:val="00D22986"/>
    <w:rsid w:val="00D2315D"/>
    <w:rsid w:val="00D231EA"/>
    <w:rsid w:val="00D23298"/>
    <w:rsid w:val="00D24AC4"/>
    <w:rsid w:val="00D2543E"/>
    <w:rsid w:val="00D26466"/>
    <w:rsid w:val="00D2679C"/>
    <w:rsid w:val="00D304B0"/>
    <w:rsid w:val="00D308EC"/>
    <w:rsid w:val="00D319FF"/>
    <w:rsid w:val="00D32854"/>
    <w:rsid w:val="00D33333"/>
    <w:rsid w:val="00D33D39"/>
    <w:rsid w:val="00D34245"/>
    <w:rsid w:val="00D35DD9"/>
    <w:rsid w:val="00D3762C"/>
    <w:rsid w:val="00D37C2A"/>
    <w:rsid w:val="00D37D66"/>
    <w:rsid w:val="00D41290"/>
    <w:rsid w:val="00D45953"/>
    <w:rsid w:val="00D46AD0"/>
    <w:rsid w:val="00D47CB8"/>
    <w:rsid w:val="00D51F90"/>
    <w:rsid w:val="00D52374"/>
    <w:rsid w:val="00D52A6D"/>
    <w:rsid w:val="00D5329B"/>
    <w:rsid w:val="00D539B5"/>
    <w:rsid w:val="00D53C11"/>
    <w:rsid w:val="00D53F2B"/>
    <w:rsid w:val="00D54447"/>
    <w:rsid w:val="00D54A10"/>
    <w:rsid w:val="00D55D06"/>
    <w:rsid w:val="00D57C88"/>
    <w:rsid w:val="00D63B3F"/>
    <w:rsid w:val="00D63D6E"/>
    <w:rsid w:val="00D6490C"/>
    <w:rsid w:val="00D65BC8"/>
    <w:rsid w:val="00D65E4F"/>
    <w:rsid w:val="00D6648E"/>
    <w:rsid w:val="00D6747F"/>
    <w:rsid w:val="00D67566"/>
    <w:rsid w:val="00D70FA3"/>
    <w:rsid w:val="00D71471"/>
    <w:rsid w:val="00D75312"/>
    <w:rsid w:val="00D75984"/>
    <w:rsid w:val="00D779A4"/>
    <w:rsid w:val="00D77FB3"/>
    <w:rsid w:val="00D81068"/>
    <w:rsid w:val="00D816D1"/>
    <w:rsid w:val="00D817DF"/>
    <w:rsid w:val="00D81D0D"/>
    <w:rsid w:val="00D81E61"/>
    <w:rsid w:val="00D82D06"/>
    <w:rsid w:val="00D83022"/>
    <w:rsid w:val="00D8319E"/>
    <w:rsid w:val="00D83516"/>
    <w:rsid w:val="00D83B1E"/>
    <w:rsid w:val="00D8412C"/>
    <w:rsid w:val="00D84FF2"/>
    <w:rsid w:val="00D91C49"/>
    <w:rsid w:val="00D93A82"/>
    <w:rsid w:val="00D94018"/>
    <w:rsid w:val="00D942D4"/>
    <w:rsid w:val="00D94A07"/>
    <w:rsid w:val="00D97E8B"/>
    <w:rsid w:val="00D97F09"/>
    <w:rsid w:val="00DA06BD"/>
    <w:rsid w:val="00DA1656"/>
    <w:rsid w:val="00DA1BAF"/>
    <w:rsid w:val="00DA257D"/>
    <w:rsid w:val="00DA2952"/>
    <w:rsid w:val="00DA3C45"/>
    <w:rsid w:val="00DA63B1"/>
    <w:rsid w:val="00DB15DC"/>
    <w:rsid w:val="00DB2497"/>
    <w:rsid w:val="00DB4305"/>
    <w:rsid w:val="00DB451D"/>
    <w:rsid w:val="00DB479E"/>
    <w:rsid w:val="00DB664C"/>
    <w:rsid w:val="00DB6FE7"/>
    <w:rsid w:val="00DB7D5A"/>
    <w:rsid w:val="00DB7F58"/>
    <w:rsid w:val="00DC10B8"/>
    <w:rsid w:val="00DC11C6"/>
    <w:rsid w:val="00DC3509"/>
    <w:rsid w:val="00DC4E1F"/>
    <w:rsid w:val="00DC5101"/>
    <w:rsid w:val="00DC518E"/>
    <w:rsid w:val="00DC71D8"/>
    <w:rsid w:val="00DC7C24"/>
    <w:rsid w:val="00DD0546"/>
    <w:rsid w:val="00DD07DC"/>
    <w:rsid w:val="00DD0A1B"/>
    <w:rsid w:val="00DD1E8C"/>
    <w:rsid w:val="00DD32F9"/>
    <w:rsid w:val="00DD4BD1"/>
    <w:rsid w:val="00DD550D"/>
    <w:rsid w:val="00DD561B"/>
    <w:rsid w:val="00DD6635"/>
    <w:rsid w:val="00DD6A9D"/>
    <w:rsid w:val="00DD6EF9"/>
    <w:rsid w:val="00DE08CB"/>
    <w:rsid w:val="00DE0969"/>
    <w:rsid w:val="00DE13B3"/>
    <w:rsid w:val="00DE2117"/>
    <w:rsid w:val="00DE2639"/>
    <w:rsid w:val="00DE3156"/>
    <w:rsid w:val="00DE3945"/>
    <w:rsid w:val="00DE3EC3"/>
    <w:rsid w:val="00DE412B"/>
    <w:rsid w:val="00DE4191"/>
    <w:rsid w:val="00DE4C0E"/>
    <w:rsid w:val="00DE5433"/>
    <w:rsid w:val="00DE5DF9"/>
    <w:rsid w:val="00DE69D0"/>
    <w:rsid w:val="00DE7982"/>
    <w:rsid w:val="00DF0AFB"/>
    <w:rsid w:val="00DF1489"/>
    <w:rsid w:val="00DF2992"/>
    <w:rsid w:val="00DF3719"/>
    <w:rsid w:val="00DF6D1A"/>
    <w:rsid w:val="00DF74AF"/>
    <w:rsid w:val="00DF7EE9"/>
    <w:rsid w:val="00E0046C"/>
    <w:rsid w:val="00E01077"/>
    <w:rsid w:val="00E0394B"/>
    <w:rsid w:val="00E03CC9"/>
    <w:rsid w:val="00E03FA0"/>
    <w:rsid w:val="00E04BA5"/>
    <w:rsid w:val="00E04D0F"/>
    <w:rsid w:val="00E04F97"/>
    <w:rsid w:val="00E05161"/>
    <w:rsid w:val="00E0799E"/>
    <w:rsid w:val="00E105C8"/>
    <w:rsid w:val="00E109C4"/>
    <w:rsid w:val="00E12475"/>
    <w:rsid w:val="00E124D1"/>
    <w:rsid w:val="00E133A4"/>
    <w:rsid w:val="00E155B3"/>
    <w:rsid w:val="00E1567D"/>
    <w:rsid w:val="00E15BA7"/>
    <w:rsid w:val="00E16158"/>
    <w:rsid w:val="00E162D2"/>
    <w:rsid w:val="00E16FE5"/>
    <w:rsid w:val="00E17848"/>
    <w:rsid w:val="00E216C4"/>
    <w:rsid w:val="00E23E16"/>
    <w:rsid w:val="00E2469F"/>
    <w:rsid w:val="00E24E45"/>
    <w:rsid w:val="00E24E47"/>
    <w:rsid w:val="00E25F77"/>
    <w:rsid w:val="00E26A01"/>
    <w:rsid w:val="00E2797E"/>
    <w:rsid w:val="00E30785"/>
    <w:rsid w:val="00E31C0C"/>
    <w:rsid w:val="00E3409F"/>
    <w:rsid w:val="00E340DA"/>
    <w:rsid w:val="00E34197"/>
    <w:rsid w:val="00E34FC7"/>
    <w:rsid w:val="00E364F5"/>
    <w:rsid w:val="00E36791"/>
    <w:rsid w:val="00E36BD6"/>
    <w:rsid w:val="00E403FA"/>
    <w:rsid w:val="00E41077"/>
    <w:rsid w:val="00E449A8"/>
    <w:rsid w:val="00E44F42"/>
    <w:rsid w:val="00E472A9"/>
    <w:rsid w:val="00E515FB"/>
    <w:rsid w:val="00E52487"/>
    <w:rsid w:val="00E53090"/>
    <w:rsid w:val="00E54539"/>
    <w:rsid w:val="00E551E9"/>
    <w:rsid w:val="00E56321"/>
    <w:rsid w:val="00E56AAF"/>
    <w:rsid w:val="00E56CD0"/>
    <w:rsid w:val="00E56FF9"/>
    <w:rsid w:val="00E6030A"/>
    <w:rsid w:val="00E60346"/>
    <w:rsid w:val="00E60352"/>
    <w:rsid w:val="00E60AE1"/>
    <w:rsid w:val="00E613EF"/>
    <w:rsid w:val="00E61B8F"/>
    <w:rsid w:val="00E62858"/>
    <w:rsid w:val="00E62AB4"/>
    <w:rsid w:val="00E62DE4"/>
    <w:rsid w:val="00E63AEF"/>
    <w:rsid w:val="00E64066"/>
    <w:rsid w:val="00E645BA"/>
    <w:rsid w:val="00E645DC"/>
    <w:rsid w:val="00E654E4"/>
    <w:rsid w:val="00E6600C"/>
    <w:rsid w:val="00E6645F"/>
    <w:rsid w:val="00E666B9"/>
    <w:rsid w:val="00E674E7"/>
    <w:rsid w:val="00E6756A"/>
    <w:rsid w:val="00E677CC"/>
    <w:rsid w:val="00E7028D"/>
    <w:rsid w:val="00E70775"/>
    <w:rsid w:val="00E71838"/>
    <w:rsid w:val="00E71F5B"/>
    <w:rsid w:val="00E720FF"/>
    <w:rsid w:val="00E728ED"/>
    <w:rsid w:val="00E747C4"/>
    <w:rsid w:val="00E74FA0"/>
    <w:rsid w:val="00E750CF"/>
    <w:rsid w:val="00E75CA2"/>
    <w:rsid w:val="00E7679B"/>
    <w:rsid w:val="00E76C12"/>
    <w:rsid w:val="00E779FA"/>
    <w:rsid w:val="00E809D3"/>
    <w:rsid w:val="00E8122C"/>
    <w:rsid w:val="00E81AA1"/>
    <w:rsid w:val="00E82DBD"/>
    <w:rsid w:val="00E84EAC"/>
    <w:rsid w:val="00E85807"/>
    <w:rsid w:val="00E86958"/>
    <w:rsid w:val="00E86B61"/>
    <w:rsid w:val="00E87300"/>
    <w:rsid w:val="00E91924"/>
    <w:rsid w:val="00E92538"/>
    <w:rsid w:val="00E92963"/>
    <w:rsid w:val="00E9447B"/>
    <w:rsid w:val="00E94C67"/>
    <w:rsid w:val="00E9520F"/>
    <w:rsid w:val="00E95693"/>
    <w:rsid w:val="00E95901"/>
    <w:rsid w:val="00E95A3F"/>
    <w:rsid w:val="00E96FD1"/>
    <w:rsid w:val="00EA0AB6"/>
    <w:rsid w:val="00EA27F7"/>
    <w:rsid w:val="00EA3039"/>
    <w:rsid w:val="00EA49FE"/>
    <w:rsid w:val="00EA6725"/>
    <w:rsid w:val="00EA6A9F"/>
    <w:rsid w:val="00EA6F5A"/>
    <w:rsid w:val="00EA7261"/>
    <w:rsid w:val="00EA7938"/>
    <w:rsid w:val="00EB02CB"/>
    <w:rsid w:val="00EB1AB9"/>
    <w:rsid w:val="00EB2331"/>
    <w:rsid w:val="00EB2D4E"/>
    <w:rsid w:val="00EB33CC"/>
    <w:rsid w:val="00EB38F8"/>
    <w:rsid w:val="00EB3AE8"/>
    <w:rsid w:val="00EB431D"/>
    <w:rsid w:val="00EB436D"/>
    <w:rsid w:val="00EB5063"/>
    <w:rsid w:val="00EB5282"/>
    <w:rsid w:val="00EB57CB"/>
    <w:rsid w:val="00EB6328"/>
    <w:rsid w:val="00EB6ACF"/>
    <w:rsid w:val="00EB6C3D"/>
    <w:rsid w:val="00EC0AA2"/>
    <w:rsid w:val="00EC0EA7"/>
    <w:rsid w:val="00EC1D86"/>
    <w:rsid w:val="00EC20E9"/>
    <w:rsid w:val="00EC23CA"/>
    <w:rsid w:val="00EC3210"/>
    <w:rsid w:val="00EC348F"/>
    <w:rsid w:val="00EC4089"/>
    <w:rsid w:val="00EC4475"/>
    <w:rsid w:val="00EC4987"/>
    <w:rsid w:val="00EC54F3"/>
    <w:rsid w:val="00EC69D2"/>
    <w:rsid w:val="00EC71B4"/>
    <w:rsid w:val="00EC757E"/>
    <w:rsid w:val="00EC761A"/>
    <w:rsid w:val="00EC7B6E"/>
    <w:rsid w:val="00ED010E"/>
    <w:rsid w:val="00ED0ECD"/>
    <w:rsid w:val="00ED5188"/>
    <w:rsid w:val="00ED51EB"/>
    <w:rsid w:val="00ED6937"/>
    <w:rsid w:val="00ED7AAF"/>
    <w:rsid w:val="00ED7DFC"/>
    <w:rsid w:val="00EE09A6"/>
    <w:rsid w:val="00EE09B7"/>
    <w:rsid w:val="00EE1046"/>
    <w:rsid w:val="00EE1F52"/>
    <w:rsid w:val="00EE411C"/>
    <w:rsid w:val="00EE47A2"/>
    <w:rsid w:val="00EE5654"/>
    <w:rsid w:val="00EE64A2"/>
    <w:rsid w:val="00EE6830"/>
    <w:rsid w:val="00EF1B6A"/>
    <w:rsid w:val="00EF3735"/>
    <w:rsid w:val="00EF3C76"/>
    <w:rsid w:val="00EF422F"/>
    <w:rsid w:val="00EF5005"/>
    <w:rsid w:val="00EF60AC"/>
    <w:rsid w:val="00EF67BC"/>
    <w:rsid w:val="00EF73C0"/>
    <w:rsid w:val="00EF7E14"/>
    <w:rsid w:val="00F01776"/>
    <w:rsid w:val="00F017C2"/>
    <w:rsid w:val="00F02424"/>
    <w:rsid w:val="00F0294F"/>
    <w:rsid w:val="00F05082"/>
    <w:rsid w:val="00F05CD6"/>
    <w:rsid w:val="00F05D21"/>
    <w:rsid w:val="00F10ACC"/>
    <w:rsid w:val="00F13A04"/>
    <w:rsid w:val="00F144B8"/>
    <w:rsid w:val="00F14BE3"/>
    <w:rsid w:val="00F15E04"/>
    <w:rsid w:val="00F16079"/>
    <w:rsid w:val="00F16366"/>
    <w:rsid w:val="00F22C5D"/>
    <w:rsid w:val="00F24731"/>
    <w:rsid w:val="00F24735"/>
    <w:rsid w:val="00F24CAF"/>
    <w:rsid w:val="00F24CF0"/>
    <w:rsid w:val="00F24E1D"/>
    <w:rsid w:val="00F26FDC"/>
    <w:rsid w:val="00F27087"/>
    <w:rsid w:val="00F27ABF"/>
    <w:rsid w:val="00F30797"/>
    <w:rsid w:val="00F317E6"/>
    <w:rsid w:val="00F328C9"/>
    <w:rsid w:val="00F32E97"/>
    <w:rsid w:val="00F34038"/>
    <w:rsid w:val="00F3465B"/>
    <w:rsid w:val="00F35970"/>
    <w:rsid w:val="00F35AD2"/>
    <w:rsid w:val="00F36270"/>
    <w:rsid w:val="00F374A2"/>
    <w:rsid w:val="00F37904"/>
    <w:rsid w:val="00F41130"/>
    <w:rsid w:val="00F41991"/>
    <w:rsid w:val="00F41FB4"/>
    <w:rsid w:val="00F43033"/>
    <w:rsid w:val="00F43BE1"/>
    <w:rsid w:val="00F44C04"/>
    <w:rsid w:val="00F46A31"/>
    <w:rsid w:val="00F473C3"/>
    <w:rsid w:val="00F47CDF"/>
    <w:rsid w:val="00F50B76"/>
    <w:rsid w:val="00F50FB3"/>
    <w:rsid w:val="00F51102"/>
    <w:rsid w:val="00F51481"/>
    <w:rsid w:val="00F51571"/>
    <w:rsid w:val="00F53AF1"/>
    <w:rsid w:val="00F53FE0"/>
    <w:rsid w:val="00F54078"/>
    <w:rsid w:val="00F540C3"/>
    <w:rsid w:val="00F54F8B"/>
    <w:rsid w:val="00F55E59"/>
    <w:rsid w:val="00F56562"/>
    <w:rsid w:val="00F568B9"/>
    <w:rsid w:val="00F56C89"/>
    <w:rsid w:val="00F57B12"/>
    <w:rsid w:val="00F60DFD"/>
    <w:rsid w:val="00F60EA3"/>
    <w:rsid w:val="00F635F9"/>
    <w:rsid w:val="00F64586"/>
    <w:rsid w:val="00F6542B"/>
    <w:rsid w:val="00F6598B"/>
    <w:rsid w:val="00F659F0"/>
    <w:rsid w:val="00F676F0"/>
    <w:rsid w:val="00F67CF2"/>
    <w:rsid w:val="00F7014D"/>
    <w:rsid w:val="00F72167"/>
    <w:rsid w:val="00F7271F"/>
    <w:rsid w:val="00F72966"/>
    <w:rsid w:val="00F7503D"/>
    <w:rsid w:val="00F750B3"/>
    <w:rsid w:val="00F75EDD"/>
    <w:rsid w:val="00F76084"/>
    <w:rsid w:val="00F77121"/>
    <w:rsid w:val="00F80888"/>
    <w:rsid w:val="00F80EDD"/>
    <w:rsid w:val="00F81488"/>
    <w:rsid w:val="00F816D0"/>
    <w:rsid w:val="00F842DE"/>
    <w:rsid w:val="00F8546E"/>
    <w:rsid w:val="00F85E89"/>
    <w:rsid w:val="00F86488"/>
    <w:rsid w:val="00F866CE"/>
    <w:rsid w:val="00F87D6E"/>
    <w:rsid w:val="00F87F98"/>
    <w:rsid w:val="00F90769"/>
    <w:rsid w:val="00F91500"/>
    <w:rsid w:val="00F91E36"/>
    <w:rsid w:val="00F920F7"/>
    <w:rsid w:val="00F92B74"/>
    <w:rsid w:val="00F92DC1"/>
    <w:rsid w:val="00F9368F"/>
    <w:rsid w:val="00F93E5B"/>
    <w:rsid w:val="00F94CFD"/>
    <w:rsid w:val="00F9570D"/>
    <w:rsid w:val="00F95CB7"/>
    <w:rsid w:val="00F961AE"/>
    <w:rsid w:val="00F96DAF"/>
    <w:rsid w:val="00F96EFE"/>
    <w:rsid w:val="00F977F9"/>
    <w:rsid w:val="00F97901"/>
    <w:rsid w:val="00F97A70"/>
    <w:rsid w:val="00FA115B"/>
    <w:rsid w:val="00FA1B4A"/>
    <w:rsid w:val="00FA1DA4"/>
    <w:rsid w:val="00FA2B04"/>
    <w:rsid w:val="00FA34BB"/>
    <w:rsid w:val="00FA46D7"/>
    <w:rsid w:val="00FA5C72"/>
    <w:rsid w:val="00FA5E19"/>
    <w:rsid w:val="00FA633A"/>
    <w:rsid w:val="00FA6B82"/>
    <w:rsid w:val="00FA798D"/>
    <w:rsid w:val="00FA7C38"/>
    <w:rsid w:val="00FB1760"/>
    <w:rsid w:val="00FB1D49"/>
    <w:rsid w:val="00FB3DB5"/>
    <w:rsid w:val="00FB4580"/>
    <w:rsid w:val="00FB4A22"/>
    <w:rsid w:val="00FB4A8B"/>
    <w:rsid w:val="00FB644D"/>
    <w:rsid w:val="00FC02C2"/>
    <w:rsid w:val="00FC4427"/>
    <w:rsid w:val="00FC4F74"/>
    <w:rsid w:val="00FC4FA2"/>
    <w:rsid w:val="00FC7D6D"/>
    <w:rsid w:val="00FC7F4D"/>
    <w:rsid w:val="00FD04F8"/>
    <w:rsid w:val="00FD0DBD"/>
    <w:rsid w:val="00FD1B86"/>
    <w:rsid w:val="00FD2E64"/>
    <w:rsid w:val="00FD3C31"/>
    <w:rsid w:val="00FD3DB1"/>
    <w:rsid w:val="00FD438E"/>
    <w:rsid w:val="00FD538B"/>
    <w:rsid w:val="00FD5484"/>
    <w:rsid w:val="00FD58F4"/>
    <w:rsid w:val="00FD5C0C"/>
    <w:rsid w:val="00FD6871"/>
    <w:rsid w:val="00FD72B2"/>
    <w:rsid w:val="00FD76B6"/>
    <w:rsid w:val="00FE03F3"/>
    <w:rsid w:val="00FE089D"/>
    <w:rsid w:val="00FE0C0A"/>
    <w:rsid w:val="00FE11CA"/>
    <w:rsid w:val="00FE14BD"/>
    <w:rsid w:val="00FE2CDE"/>
    <w:rsid w:val="00FE33CC"/>
    <w:rsid w:val="00FE41EB"/>
    <w:rsid w:val="00FE4545"/>
    <w:rsid w:val="00FE4F7E"/>
    <w:rsid w:val="00FE592A"/>
    <w:rsid w:val="00FE5DB3"/>
    <w:rsid w:val="00FE69CA"/>
    <w:rsid w:val="00FE7DB6"/>
    <w:rsid w:val="00FE7EEA"/>
    <w:rsid w:val="00FF16FB"/>
    <w:rsid w:val="00FF1F0D"/>
    <w:rsid w:val="00FF1F3B"/>
    <w:rsid w:val="00FF2056"/>
    <w:rsid w:val="00FF2E33"/>
    <w:rsid w:val="00FF3F8C"/>
    <w:rsid w:val="00FF46ED"/>
    <w:rsid w:val="00FF53A3"/>
    <w:rsid w:val="00FF5CEA"/>
    <w:rsid w:val="00FF6243"/>
    <w:rsid w:val="00FF64BA"/>
    <w:rsid w:val="00FF67C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D06"/>
    <w:pPr>
      <w:framePr w:wrap="auto"/>
      <w:widowControl/>
      <w:autoSpaceDE/>
      <w:autoSpaceDN/>
      <w:adjustRightInd/>
      <w:ind w:left="0" w:right="0"/>
      <w:jc w:val="left"/>
      <w:textAlignment w:val="auto"/>
    </w:pPr>
    <w:rPr>
      <w:rFonts w:cs="Times New Roman"/>
      <w:noProof/>
      <w:sz w:val="24"/>
      <w:szCs w:val="24"/>
      <w:rtl w:val="0"/>
      <w:cs w:val="0"/>
      <w:lang w:val="sk-SK" w:eastAsia="sk-SK" w:bidi="ar-SA"/>
    </w:rPr>
  </w:style>
  <w:style w:type="paragraph" w:styleId="Heading1">
    <w:name w:val="heading 1"/>
    <w:basedOn w:val="Normal"/>
    <w:link w:val="Nadpis1Char"/>
    <w:qFormat/>
    <w:rsid w:val="007B1DFC"/>
    <w:pPr>
      <w:spacing w:before="100" w:beforeAutospacing="1" w:after="100" w:afterAutospacing="1"/>
      <w:jc w:val="left"/>
      <w:outlineLvl w:val="0"/>
    </w:pPr>
    <w:rPr>
      <w:b/>
      <w:bCs/>
      <w:noProof w:val="0"/>
      <w:kern w:val="36"/>
      <w:sz w:val="48"/>
      <w:szCs w:val="48"/>
    </w:rPr>
  </w:style>
  <w:style w:type="paragraph" w:styleId="Heading2">
    <w:name w:val="heading 2"/>
    <w:basedOn w:val="Normal"/>
    <w:next w:val="Normal"/>
    <w:link w:val="Nadpis2Char"/>
    <w:unhideWhenUsed/>
    <w:qFormat/>
    <w:rsid w:val="00E109C4"/>
    <w:pPr>
      <w:keepNext/>
      <w:spacing w:before="240" w:after="60"/>
      <w:jc w:val="left"/>
      <w:outlineLvl w:val="1"/>
    </w:pPr>
    <w:rPr>
      <w:rFonts w:ascii="Cambria" w:hAnsi="Cambria"/>
      <w:b/>
      <w:bCs/>
      <w:i/>
      <w:iCs/>
      <w:sz w:val="28"/>
      <w:szCs w:val="28"/>
    </w:rPr>
  </w:style>
  <w:style w:type="paragraph" w:styleId="Heading3">
    <w:name w:val="heading 3"/>
    <w:aliases w:val="Char Char,Char Char_0"/>
    <w:basedOn w:val="Normal"/>
    <w:next w:val="Normal"/>
    <w:link w:val="Nadpis3Char"/>
    <w:qFormat/>
    <w:rsid w:val="00984131"/>
    <w:pPr>
      <w:spacing w:after="160" w:line="240" w:lineRule="exact"/>
      <w:jc w:val="left"/>
      <w:outlineLvl w:val="2"/>
    </w:pPr>
    <w:rPr>
      <w:rFonts w:ascii="Tahoma" w:hAnsi="Tahoma" w:cs="Tahoma"/>
      <w:noProof w:val="0"/>
      <w:sz w:val="20"/>
      <w:szCs w:val="20"/>
      <w:lang w:val="en-US" w:eastAsia="en-US"/>
    </w:rPr>
  </w:style>
  <w:style w:type="character" w:default="1" w:styleId="DefaultParagraphFont">
    <w:name w:val="Default Paragraph Font"/>
    <w:aliases w:val="Char Char1 Char Char Char Char"/>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link w:val="Heading1"/>
    <w:locked/>
    <w:rsid w:val="007B1DFC"/>
    <w:rPr>
      <w:b/>
      <w:kern w:val="36"/>
      <w:sz w:val="48"/>
    </w:rPr>
  </w:style>
  <w:style w:type="character" w:customStyle="1" w:styleId="Nadpis2Char">
    <w:name w:val="Nadpis 2 Char"/>
    <w:link w:val="Heading2"/>
    <w:locked/>
    <w:rsid w:val="00E109C4"/>
    <w:rPr>
      <w:rFonts w:ascii="Cambria" w:hAnsi="Cambria" w:cs="Cambria"/>
      <w:b/>
      <w:i/>
      <w:noProof/>
      <w:sz w:val="28"/>
    </w:rPr>
  </w:style>
  <w:style w:type="character" w:customStyle="1" w:styleId="Nadpis3Char">
    <w:name w:val="Nadpis 3 Char"/>
    <w:aliases w:val="Char Char Char,Char Char Char_0"/>
    <w:link w:val="Heading3"/>
    <w:locked/>
    <w:rsid w:val="009E362C"/>
    <w:rPr>
      <w:rFonts w:ascii="Arial" w:hAnsi="Arial" w:cs="Arial"/>
      <w:b/>
      <w:sz w:val="26"/>
    </w:rPr>
  </w:style>
  <w:style w:type="table" w:styleId="TableGrid">
    <w:name w:val="Table Grid"/>
    <w:basedOn w:val="TableNormal"/>
    <w:rsid w:val="00BE6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
    <w:name w:val="Char Char1 Char Char Char"/>
    <w:basedOn w:val="Normal"/>
    <w:rsid w:val="005B3632"/>
    <w:pPr>
      <w:spacing w:after="160" w:line="240" w:lineRule="exact"/>
      <w:jc w:val="left"/>
    </w:pPr>
    <w:rPr>
      <w:rFonts w:ascii="Tahoma" w:hAnsi="Tahoma" w:cs="Tahoma"/>
      <w:noProof w:val="0"/>
      <w:sz w:val="20"/>
      <w:szCs w:val="20"/>
      <w:lang w:val="en-US" w:eastAsia="en-US"/>
    </w:rPr>
  </w:style>
  <w:style w:type="paragraph" w:styleId="Footer">
    <w:name w:val="footer"/>
    <w:basedOn w:val="Normal"/>
    <w:link w:val="PtaChar"/>
    <w:rsid w:val="004C2085"/>
    <w:pPr>
      <w:tabs>
        <w:tab w:val="center" w:pos="4536"/>
        <w:tab w:val="right" w:pos="9072"/>
      </w:tabs>
      <w:jc w:val="left"/>
    </w:pPr>
  </w:style>
  <w:style w:type="character" w:customStyle="1" w:styleId="PtaChar">
    <w:name w:val="Päta Char"/>
    <w:link w:val="Footer"/>
    <w:uiPriority w:val="99"/>
    <w:locked/>
    <w:rsid w:val="009E362C"/>
    <w:rPr>
      <w:noProof/>
      <w:sz w:val="24"/>
    </w:rPr>
  </w:style>
  <w:style w:type="character" w:styleId="PageNumber">
    <w:name w:val="page number"/>
    <w:rsid w:val="004C2085"/>
  </w:style>
  <w:style w:type="paragraph" w:styleId="DocumentMap">
    <w:name w:val="Document Map"/>
    <w:basedOn w:val="Normal"/>
    <w:link w:val="truktradokumentuChar"/>
    <w:uiPriority w:val="99"/>
    <w:semiHidden/>
    <w:rsid w:val="00781DFC"/>
    <w:pPr>
      <w:shd w:val="clear" w:color="auto" w:fill="000080"/>
      <w:jc w:val="left"/>
    </w:pPr>
    <w:rPr>
      <w:rFonts w:ascii="Tahoma" w:hAnsi="Tahoma" w:cs="Tahoma"/>
    </w:rPr>
  </w:style>
  <w:style w:type="character" w:customStyle="1" w:styleId="truktradokumentuChar">
    <w:name w:val="Štruktúra dokumentu Char"/>
    <w:link w:val="DocumentMap"/>
    <w:uiPriority w:val="99"/>
    <w:semiHidden/>
    <w:locked/>
    <w:rPr>
      <w:rFonts w:ascii="Tahoma" w:hAnsi="Tahoma" w:cs="Tahoma"/>
      <w:noProof/>
      <w:sz w:val="16"/>
    </w:rPr>
  </w:style>
  <w:style w:type="paragraph" w:styleId="Header">
    <w:name w:val="header"/>
    <w:basedOn w:val="Normal"/>
    <w:link w:val="HlavikaChar"/>
    <w:rsid w:val="00A154E4"/>
    <w:pPr>
      <w:tabs>
        <w:tab w:val="center" w:pos="4536"/>
        <w:tab w:val="right" w:pos="9072"/>
      </w:tabs>
      <w:jc w:val="left"/>
    </w:pPr>
  </w:style>
  <w:style w:type="character" w:customStyle="1" w:styleId="HlavikaChar">
    <w:name w:val="Hlavička Char"/>
    <w:link w:val="Header"/>
    <w:uiPriority w:val="99"/>
    <w:locked/>
    <w:rsid w:val="009E362C"/>
    <w:rPr>
      <w:noProof/>
      <w:sz w:val="24"/>
    </w:rPr>
  </w:style>
  <w:style w:type="paragraph" w:customStyle="1" w:styleId="CharCharCharCharChar1CharCharChar">
    <w:name w:val="Char Char Char Char Char1 Char Char Char"/>
    <w:basedOn w:val="Normal"/>
    <w:rsid w:val="00BA19F8"/>
    <w:pPr>
      <w:spacing w:after="160" w:line="240" w:lineRule="exact"/>
      <w:jc w:val="left"/>
    </w:pPr>
    <w:rPr>
      <w:rFonts w:ascii="Tahoma" w:hAnsi="Tahoma" w:cs="Tahoma"/>
      <w:noProof w:val="0"/>
      <w:sz w:val="20"/>
      <w:szCs w:val="20"/>
      <w:lang w:val="en-US" w:eastAsia="en-US"/>
    </w:rPr>
  </w:style>
  <w:style w:type="paragraph" w:styleId="BodyText">
    <w:name w:val="Body Text"/>
    <w:basedOn w:val="Normal"/>
    <w:link w:val="ZkladntextChar"/>
    <w:rsid w:val="00386AA0"/>
    <w:pPr>
      <w:spacing w:after="120"/>
      <w:jc w:val="both"/>
    </w:pPr>
    <w:rPr>
      <w:noProof w:val="0"/>
      <w:lang w:eastAsia="cs-CZ"/>
    </w:rPr>
  </w:style>
  <w:style w:type="character" w:customStyle="1" w:styleId="ZkladntextChar">
    <w:name w:val="Základný text Char"/>
    <w:link w:val="BodyText"/>
    <w:locked/>
    <w:rsid w:val="009E362C"/>
    <w:rPr>
      <w:sz w:val="24"/>
      <w:lang w:val="x-none" w:eastAsia="cs-CZ"/>
    </w:rPr>
  </w:style>
  <w:style w:type="paragraph" w:customStyle="1" w:styleId="bodytext0">
    <w:name w:val="bodytext"/>
    <w:basedOn w:val="Normal"/>
    <w:rsid w:val="003B13FD"/>
    <w:pPr>
      <w:spacing w:before="100" w:beforeAutospacing="1" w:after="100" w:afterAutospacing="1"/>
      <w:jc w:val="left"/>
    </w:pPr>
    <w:rPr>
      <w:noProof w:val="0"/>
    </w:rPr>
  </w:style>
  <w:style w:type="paragraph" w:styleId="BodyText2">
    <w:name w:val="Body Text 2"/>
    <w:basedOn w:val="Normal"/>
    <w:link w:val="Zkladntext2Char"/>
    <w:unhideWhenUsed/>
    <w:rsid w:val="00D94018"/>
    <w:pPr>
      <w:spacing w:after="120" w:line="480" w:lineRule="auto"/>
      <w:jc w:val="left"/>
    </w:pPr>
    <w:rPr>
      <w:noProof w:val="0"/>
    </w:rPr>
  </w:style>
  <w:style w:type="character" w:customStyle="1" w:styleId="Zkladntext2Char">
    <w:name w:val="Základný text 2 Char"/>
    <w:link w:val="BodyText2"/>
    <w:locked/>
    <w:rsid w:val="00D94018"/>
    <w:rPr>
      <w:sz w:val="24"/>
    </w:rPr>
  </w:style>
  <w:style w:type="paragraph" w:styleId="BodyTextIndent2">
    <w:name w:val="Body Text Indent 2"/>
    <w:basedOn w:val="Normal"/>
    <w:link w:val="Zarkazkladnhotextu2Char"/>
    <w:unhideWhenUsed/>
    <w:rsid w:val="00D94018"/>
    <w:pPr>
      <w:spacing w:after="120" w:line="480" w:lineRule="auto"/>
      <w:ind w:left="283"/>
      <w:jc w:val="left"/>
    </w:pPr>
    <w:rPr>
      <w:noProof w:val="0"/>
    </w:rPr>
  </w:style>
  <w:style w:type="character" w:customStyle="1" w:styleId="Zarkazkladnhotextu2Char">
    <w:name w:val="Zarážka základného textu 2 Char"/>
    <w:link w:val="BodyTextIndent2"/>
    <w:locked/>
    <w:rsid w:val="00D94018"/>
    <w:rPr>
      <w:sz w:val="24"/>
    </w:rPr>
  </w:style>
  <w:style w:type="paragraph" w:styleId="ListParagraph">
    <w:name w:val="List Paragraph"/>
    <w:basedOn w:val="Normal"/>
    <w:uiPriority w:val="34"/>
    <w:qFormat/>
    <w:rsid w:val="00FA46D7"/>
    <w:pPr>
      <w:ind w:left="720"/>
      <w:jc w:val="left"/>
    </w:pPr>
    <w:rPr>
      <w:rFonts w:ascii="Calibri" w:hAnsi="Calibri"/>
      <w:noProof w:val="0"/>
      <w:sz w:val="22"/>
      <w:szCs w:val="22"/>
    </w:rPr>
  </w:style>
  <w:style w:type="paragraph" w:customStyle="1" w:styleId="Default">
    <w:name w:val="Default"/>
    <w:rsid w:val="00FA46D7"/>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sk-SK" w:bidi="ar-SA"/>
    </w:rPr>
  </w:style>
  <w:style w:type="paragraph" w:styleId="NormalWeb">
    <w:name w:val="Normal (Web)"/>
    <w:basedOn w:val="Normal"/>
    <w:uiPriority w:val="99"/>
    <w:unhideWhenUsed/>
    <w:rsid w:val="00E109C4"/>
    <w:pPr>
      <w:spacing w:before="100" w:beforeAutospacing="1" w:after="100" w:afterAutospacing="1"/>
      <w:jc w:val="left"/>
    </w:pPr>
    <w:rPr>
      <w:noProof w:val="0"/>
    </w:rPr>
  </w:style>
  <w:style w:type="character" w:customStyle="1" w:styleId="TextpoznmkypodiarouChar139">
    <w:name w:val="Text poznámky pod čiarou Char139"/>
    <w:aliases w:val="Footnote Text Char1 Char Char Char Char139,Footnote Text Char1 Char Char139,Footnote Text Char1 Char239,Footnote Text Char2 Char Char Char Char Char139,Footnote Text Char2 Char Char Char139,Footnote Text Char2 Char139"/>
    <w:uiPriority w:val="99"/>
    <w:semiHidden/>
    <w:rPr>
      <w:noProof/>
    </w:rPr>
  </w:style>
  <w:style w:type="paragraph" w:styleId="FootnoteText">
    <w:name w:val="footnote text"/>
    <w:aliases w:val="Footnote Text Char Char1 Char Char Char Char,Footnote Text Char1,Footnote Text Char1 Char,Footnote Text Char1 Char Char Char,Footnote Text Char2,Footnote Text Char2 Char Char,Footnote Text Char2 Char Char Char Char,Plonk"/>
    <w:basedOn w:val="Normal"/>
    <w:link w:val="TextpoznmkypodiarouChar"/>
    <w:uiPriority w:val="99"/>
    <w:semiHidden/>
    <w:rsid w:val="009E362C"/>
    <w:pPr>
      <w:jc w:val="left"/>
    </w:pPr>
    <w:rPr>
      <w:noProof w:val="0"/>
      <w:lang w:eastAsia="cs-CZ"/>
    </w:rPr>
  </w:style>
  <w:style w:type="character" w:customStyle="1" w:styleId="TextpoznmkypodiarouChar">
    <w:name w:val="Text poznámky pod čiarou Char"/>
    <w:aliases w:val="Footnote Text Char1 Char Char,Footnote Text Char1 Char Char Char Char,Footnote Text Char1 Char1,Footnote Text Char2 Char,Footnote Text Char2 Char Char Char,Footnote Text Char2 Char Char Char Char Char,Plonk Char"/>
    <w:link w:val="FootnoteText"/>
    <w:uiPriority w:val="99"/>
    <w:semiHidden/>
    <w:locked/>
    <w:rPr>
      <w:noProof/>
    </w:rPr>
  </w:style>
  <w:style w:type="character" w:customStyle="1" w:styleId="TextpoznmkypodiarouChar138">
    <w:name w:val="Text poznámky pod čiarou Char138"/>
    <w:aliases w:val="Footnote Text Char1 Char Char Char Char138,Footnote Text Char1 Char Char138,Footnote Text Char1 Char238,Footnote Text Char2 Char Char Char Char Char138,Footnote Text Char2 Char Char Char138,Footnote Text Char2 Char138"/>
    <w:uiPriority w:val="99"/>
    <w:semiHidden/>
    <w:rPr>
      <w:noProof/>
    </w:rPr>
  </w:style>
  <w:style w:type="character" w:customStyle="1" w:styleId="TextpoznmkypodiarouChar137">
    <w:name w:val="Text poznámky pod čiarou Char137"/>
    <w:aliases w:val="Footnote Text Char1 Char Char Char Char137,Footnote Text Char1 Char Char137,Footnote Text Char1 Char237,Footnote Text Char2 Char Char Char Char Char137,Footnote Text Char2 Char Char Char137,Footnote Text Char2 Char137"/>
    <w:uiPriority w:val="99"/>
    <w:semiHidden/>
    <w:rPr>
      <w:noProof/>
    </w:rPr>
  </w:style>
  <w:style w:type="character" w:customStyle="1" w:styleId="TextpoznmkypodiarouChar136">
    <w:name w:val="Text poznámky pod čiarou Char136"/>
    <w:aliases w:val="Footnote Text Char1 Char Char Char Char136,Footnote Text Char1 Char Char136,Footnote Text Char1 Char236,Footnote Text Char2 Char Char Char Char Char136,Footnote Text Char2 Char Char Char136,Footnote Text Char2 Char136"/>
    <w:uiPriority w:val="99"/>
    <w:semiHidden/>
    <w:rPr>
      <w:noProof/>
    </w:rPr>
  </w:style>
  <w:style w:type="character" w:customStyle="1" w:styleId="TextpoznmkypodiarouChar135">
    <w:name w:val="Text poznámky pod čiarou Char135"/>
    <w:aliases w:val="Footnote Text Char1 Char Char Char Char135,Footnote Text Char1 Char Char135,Footnote Text Char1 Char235,Footnote Text Char2 Char Char Char Char Char135,Footnote Text Char2 Char Char Char135,Footnote Text Char2 Char135"/>
    <w:uiPriority w:val="99"/>
    <w:semiHidden/>
    <w:rPr>
      <w:noProof/>
    </w:rPr>
  </w:style>
  <w:style w:type="character" w:customStyle="1" w:styleId="TextpoznmkypodiarouChar134">
    <w:name w:val="Text poznámky pod čiarou Char134"/>
    <w:aliases w:val="Footnote Text Char1 Char Char Char Char134,Footnote Text Char1 Char Char134,Footnote Text Char1 Char234,Footnote Text Char2 Char Char Char Char Char134,Footnote Text Char2 Char Char Char134,Footnote Text Char2 Char134"/>
    <w:uiPriority w:val="99"/>
    <w:semiHidden/>
    <w:rPr>
      <w:noProof/>
    </w:rPr>
  </w:style>
  <w:style w:type="character" w:customStyle="1" w:styleId="TextpoznmkypodiarouChar133">
    <w:name w:val="Text poznámky pod čiarou Char133"/>
    <w:aliases w:val="Footnote Text Char1 Char Char Char Char133,Footnote Text Char1 Char Char133,Footnote Text Char1 Char233,Footnote Text Char2 Char Char Char Char Char133,Footnote Text Char2 Char Char Char133,Footnote Text Char2 Char133"/>
    <w:uiPriority w:val="99"/>
    <w:semiHidden/>
    <w:rPr>
      <w:noProof/>
    </w:rPr>
  </w:style>
  <w:style w:type="character" w:customStyle="1" w:styleId="TextpoznmkypodiarouChar132">
    <w:name w:val="Text poznámky pod čiarou Char132"/>
    <w:aliases w:val="Footnote Text Char1 Char Char Char Char132,Footnote Text Char1 Char Char132,Footnote Text Char1 Char232,Footnote Text Char2 Char Char Char Char Char132,Footnote Text Char2 Char Char Char132,Footnote Text Char2 Char132"/>
    <w:uiPriority w:val="99"/>
    <w:semiHidden/>
    <w:rPr>
      <w:noProof/>
    </w:rPr>
  </w:style>
  <w:style w:type="character" w:customStyle="1" w:styleId="TextpoznmkypodiarouChar131">
    <w:name w:val="Text poznámky pod čiarou Char131"/>
    <w:aliases w:val="Footnote Text Char1 Char Char Char Char131,Footnote Text Char1 Char Char131,Footnote Text Char1 Char231,Footnote Text Char2 Char Char Char Char Char131,Footnote Text Char2 Char Char Char131,Footnote Text Char2 Char131"/>
    <w:uiPriority w:val="99"/>
    <w:semiHidden/>
    <w:rPr>
      <w:noProof/>
    </w:rPr>
  </w:style>
  <w:style w:type="character" w:customStyle="1" w:styleId="TextpoznmkypodiarouChar130">
    <w:name w:val="Text poznámky pod čiarou Char130"/>
    <w:aliases w:val="Footnote Text Char1 Char Char Char Char130,Footnote Text Char1 Char Char130,Footnote Text Char1 Char230,Footnote Text Char2 Char Char Char Char Char130,Footnote Text Char2 Char Char Char130,Footnote Text Char2 Char130"/>
    <w:uiPriority w:val="99"/>
    <w:semiHidden/>
    <w:rPr>
      <w:noProof/>
    </w:rPr>
  </w:style>
  <w:style w:type="character" w:customStyle="1" w:styleId="TextpoznmkypodiarouChar129">
    <w:name w:val="Text poznámky pod čiarou Char129"/>
    <w:aliases w:val="Footnote Text Char1 Char Char Char Char129,Footnote Text Char1 Char Char129,Footnote Text Char1 Char229,Footnote Text Char2 Char Char Char Char Char129,Footnote Text Char2 Char Char Char129,Footnote Text Char2 Char129"/>
    <w:uiPriority w:val="99"/>
    <w:semiHidden/>
    <w:rPr>
      <w:noProof/>
    </w:rPr>
  </w:style>
  <w:style w:type="character" w:customStyle="1" w:styleId="TextpoznmkypodiarouChar128">
    <w:name w:val="Text poznámky pod čiarou Char128"/>
    <w:aliases w:val="Footnote Text Char1 Char Char Char Char128,Footnote Text Char1 Char Char128,Footnote Text Char1 Char228,Footnote Text Char2 Char Char Char Char Char128,Footnote Text Char2 Char Char Char128,Footnote Text Char2 Char128"/>
    <w:uiPriority w:val="99"/>
    <w:semiHidden/>
    <w:rPr>
      <w:noProof/>
    </w:rPr>
  </w:style>
  <w:style w:type="character" w:customStyle="1" w:styleId="TextpoznmkypodiarouChar127">
    <w:name w:val="Text poznámky pod čiarou Char127"/>
    <w:aliases w:val="Footnote Text Char1 Char Char Char Char127,Footnote Text Char1 Char Char127,Footnote Text Char1 Char227,Footnote Text Char2 Char Char Char Char Char127,Footnote Text Char2 Char Char Char127,Footnote Text Char2 Char127"/>
    <w:uiPriority w:val="99"/>
    <w:semiHidden/>
    <w:rPr>
      <w:noProof/>
    </w:rPr>
  </w:style>
  <w:style w:type="character" w:customStyle="1" w:styleId="TextpoznmkypodiarouChar126">
    <w:name w:val="Text poznámky pod čiarou Char126"/>
    <w:aliases w:val="Footnote Text Char1 Char Char Char Char126,Footnote Text Char1 Char Char126,Footnote Text Char1 Char226,Footnote Text Char2 Char Char Char Char Char126,Footnote Text Char2 Char Char Char126,Footnote Text Char2 Char126"/>
    <w:uiPriority w:val="99"/>
    <w:semiHidden/>
    <w:rPr>
      <w:noProof/>
    </w:rPr>
  </w:style>
  <w:style w:type="character" w:customStyle="1" w:styleId="TextpoznmkypodiarouChar125">
    <w:name w:val="Text poznámky pod čiarou Char125"/>
    <w:aliases w:val="Footnote Text Char1 Char Char Char Char125,Footnote Text Char1 Char Char125,Footnote Text Char1 Char225,Footnote Text Char2 Char Char Char Char Char125,Footnote Text Char2 Char Char Char125,Footnote Text Char2 Char125"/>
    <w:uiPriority w:val="99"/>
    <w:semiHidden/>
    <w:rPr>
      <w:noProof/>
    </w:rPr>
  </w:style>
  <w:style w:type="character" w:customStyle="1" w:styleId="TextpoznmkypodiarouChar124">
    <w:name w:val="Text poznámky pod čiarou Char124"/>
    <w:aliases w:val="Footnote Text Char1 Char Char Char Char124,Footnote Text Char1 Char Char124,Footnote Text Char1 Char224,Footnote Text Char2 Char Char Char Char Char124,Footnote Text Char2 Char Char Char124,Footnote Text Char2 Char124"/>
    <w:uiPriority w:val="99"/>
    <w:semiHidden/>
    <w:rPr>
      <w:noProof/>
    </w:rPr>
  </w:style>
  <w:style w:type="character" w:customStyle="1" w:styleId="TextpoznmkypodiarouChar123">
    <w:name w:val="Text poznámky pod čiarou Char123"/>
    <w:aliases w:val="Footnote Text Char1 Char Char Char Char123,Footnote Text Char1 Char Char123,Footnote Text Char1 Char223,Footnote Text Char2 Char Char Char Char Char123,Footnote Text Char2 Char Char Char123,Footnote Text Char2 Char123"/>
    <w:uiPriority w:val="99"/>
    <w:semiHidden/>
    <w:rPr>
      <w:noProof/>
    </w:rPr>
  </w:style>
  <w:style w:type="character" w:customStyle="1" w:styleId="TextpoznmkypodiarouChar122">
    <w:name w:val="Text poznámky pod čiarou Char122"/>
    <w:aliases w:val="Footnote Text Char1 Char Char Char Char122,Footnote Text Char1 Char Char122,Footnote Text Char1 Char222,Footnote Text Char2 Char Char Char Char Char122,Footnote Text Char2 Char Char Char122,Footnote Text Char2 Char122"/>
    <w:uiPriority w:val="99"/>
    <w:semiHidden/>
    <w:rPr>
      <w:noProof/>
    </w:rPr>
  </w:style>
  <w:style w:type="character" w:customStyle="1" w:styleId="TextpoznmkypodiarouChar121">
    <w:name w:val="Text poznámky pod čiarou Char121"/>
    <w:aliases w:val="Footnote Text Char1 Char Char Char Char121,Footnote Text Char1 Char Char121,Footnote Text Char1 Char221,Footnote Text Char2 Char Char Char Char Char121,Footnote Text Char2 Char Char Char121,Footnote Text Char2 Char121"/>
    <w:uiPriority w:val="99"/>
    <w:semiHidden/>
    <w:rPr>
      <w:noProof/>
    </w:rPr>
  </w:style>
  <w:style w:type="character" w:customStyle="1" w:styleId="TextpoznmkypodiarouChar120">
    <w:name w:val="Text poznámky pod čiarou Char120"/>
    <w:aliases w:val="Footnote Text Char1 Char Char Char Char120,Footnote Text Char1 Char Char120,Footnote Text Char1 Char220,Footnote Text Char2 Char Char Char Char Char120,Footnote Text Char2 Char Char Char120,Footnote Text Char2 Char120"/>
    <w:uiPriority w:val="99"/>
    <w:semiHidden/>
    <w:rPr>
      <w:noProof/>
    </w:rPr>
  </w:style>
  <w:style w:type="character" w:customStyle="1" w:styleId="TextpoznmkypodiarouChar119">
    <w:name w:val="Text poznámky pod čiarou Char119"/>
    <w:aliases w:val="Footnote Text Char1 Char Char Char Char119,Footnote Text Char1 Char Char119,Footnote Text Char1 Char219,Footnote Text Char2 Char Char Char Char Char119,Footnote Text Char2 Char Char Char119,Footnote Text Char2 Char119"/>
    <w:uiPriority w:val="99"/>
    <w:semiHidden/>
    <w:rPr>
      <w:noProof/>
    </w:rPr>
  </w:style>
  <w:style w:type="character" w:customStyle="1" w:styleId="TextpoznmkypodiarouChar118">
    <w:name w:val="Text poznámky pod čiarou Char118"/>
    <w:aliases w:val="Footnote Text Char1 Char Char Char Char118,Footnote Text Char1 Char Char118,Footnote Text Char1 Char218,Footnote Text Char2 Char Char Char Char Char118,Footnote Text Char2 Char Char Char118,Footnote Text Char2 Char118"/>
    <w:uiPriority w:val="99"/>
    <w:semiHidden/>
    <w:rPr>
      <w:noProof/>
    </w:rPr>
  </w:style>
  <w:style w:type="character" w:customStyle="1" w:styleId="TextpoznmkypodiarouChar117">
    <w:name w:val="Text poznámky pod čiarou Char117"/>
    <w:aliases w:val="Footnote Text Char1 Char Char Char Char117,Footnote Text Char1 Char Char117,Footnote Text Char1 Char217,Footnote Text Char2 Char Char Char Char Char117,Footnote Text Char2 Char Char Char117,Footnote Text Char2 Char117"/>
    <w:uiPriority w:val="99"/>
    <w:semiHidden/>
    <w:rPr>
      <w:noProof/>
    </w:rPr>
  </w:style>
  <w:style w:type="character" w:customStyle="1" w:styleId="TextpoznmkypodiarouChar116">
    <w:name w:val="Text poznámky pod čiarou Char116"/>
    <w:aliases w:val="Footnote Text Char1 Char Char Char Char116,Footnote Text Char1 Char Char116,Footnote Text Char1 Char216,Footnote Text Char2 Char Char Char Char Char116,Footnote Text Char2 Char Char Char116,Footnote Text Char2 Char116"/>
    <w:uiPriority w:val="99"/>
    <w:semiHidden/>
    <w:rPr>
      <w:noProof/>
    </w:rPr>
  </w:style>
  <w:style w:type="character" w:customStyle="1" w:styleId="TextpoznmkypodiarouChar115">
    <w:name w:val="Text poznámky pod čiarou Char115"/>
    <w:aliases w:val="Footnote Text Char1 Char Char Char Char115,Footnote Text Char1 Char Char115,Footnote Text Char1 Char215,Footnote Text Char2 Char Char Char Char Char115,Footnote Text Char2 Char Char Char115,Footnote Text Char2 Char115"/>
    <w:uiPriority w:val="99"/>
    <w:semiHidden/>
    <w:rPr>
      <w:noProof/>
    </w:rPr>
  </w:style>
  <w:style w:type="character" w:customStyle="1" w:styleId="TextpoznmkypodiarouChar114">
    <w:name w:val="Text poznámky pod čiarou Char114"/>
    <w:aliases w:val="Footnote Text Char1 Char Char Char Char114,Footnote Text Char1 Char Char114,Footnote Text Char1 Char214,Footnote Text Char2 Char Char Char Char Char114,Footnote Text Char2 Char Char Char114,Footnote Text Char2 Char114"/>
    <w:uiPriority w:val="99"/>
    <w:semiHidden/>
    <w:rPr>
      <w:noProof/>
    </w:rPr>
  </w:style>
  <w:style w:type="character" w:customStyle="1" w:styleId="TextpoznmkypodiarouChar113">
    <w:name w:val="Text poznámky pod čiarou Char113"/>
    <w:aliases w:val="Footnote Text Char1 Char Char Char Char113,Footnote Text Char1 Char Char113,Footnote Text Char1 Char213,Footnote Text Char2 Char Char Char Char Char113,Footnote Text Char2 Char Char Char113,Footnote Text Char2 Char113"/>
    <w:uiPriority w:val="99"/>
    <w:semiHidden/>
    <w:rPr>
      <w:noProof/>
    </w:rPr>
  </w:style>
  <w:style w:type="character" w:customStyle="1" w:styleId="TextpoznmkypodiarouChar112">
    <w:name w:val="Text poznámky pod čiarou Char112"/>
    <w:aliases w:val="Footnote Text Char1 Char Char Char Char112,Footnote Text Char1 Char Char112,Footnote Text Char1 Char212,Footnote Text Char2 Char Char Char Char Char112,Footnote Text Char2 Char Char Char112,Footnote Text Char2 Char112"/>
    <w:uiPriority w:val="99"/>
    <w:semiHidden/>
    <w:rPr>
      <w:noProof/>
    </w:rPr>
  </w:style>
  <w:style w:type="character" w:customStyle="1" w:styleId="TextpoznmkypodiarouChar111">
    <w:name w:val="Text poznámky pod čiarou Char111"/>
    <w:aliases w:val="Footnote Text Char1 Char Char Char Char111,Footnote Text Char1 Char Char111,Footnote Text Char1 Char211,Footnote Text Char2 Char Char Char Char Char111,Footnote Text Char2 Char Char Char111,Footnote Text Char2 Char111"/>
    <w:uiPriority w:val="99"/>
    <w:semiHidden/>
    <w:rPr>
      <w:noProof/>
    </w:rPr>
  </w:style>
  <w:style w:type="character" w:customStyle="1" w:styleId="TextpoznmkypodiarouChar110">
    <w:name w:val="Text poznámky pod čiarou Char110"/>
    <w:aliases w:val="Footnote Text Char1 Char Char Char Char110,Footnote Text Char1 Char Char110,Footnote Text Char1 Char210,Footnote Text Char2 Char Char Char Char Char110,Footnote Text Char2 Char Char Char110,Footnote Text Char2 Char110"/>
    <w:uiPriority w:val="99"/>
    <w:semiHidden/>
    <w:rPr>
      <w:noProof/>
    </w:rPr>
  </w:style>
  <w:style w:type="character" w:customStyle="1" w:styleId="TextpoznmkypodiarouChar19">
    <w:name w:val="Text poznámky pod čiarou Char19"/>
    <w:aliases w:val="Footnote Text Char1 Char Char Char Char19,Footnote Text Char1 Char Char19,Footnote Text Char1 Char29,Footnote Text Char2 Char Char Char Char Char19,Footnote Text Char2 Char Char Char19,Footnote Text Char2 Char19"/>
    <w:uiPriority w:val="99"/>
    <w:semiHidden/>
    <w:rPr>
      <w:noProof/>
    </w:rPr>
  </w:style>
  <w:style w:type="character" w:customStyle="1" w:styleId="TextpoznmkypodiarouChar18">
    <w:name w:val="Text poznámky pod čiarou Char18"/>
    <w:aliases w:val="Footnote Text Char1 Char Char Char Char18,Footnote Text Char1 Char Char18,Footnote Text Char1 Char28,Footnote Text Char2 Char Char Char Char Char18,Footnote Text Char2 Char Char Char18,Footnote Text Char2 Char18"/>
    <w:uiPriority w:val="99"/>
    <w:semiHidden/>
    <w:rPr>
      <w:noProof/>
    </w:rPr>
  </w:style>
  <w:style w:type="character" w:customStyle="1" w:styleId="TextpoznmkypodiarouChar17">
    <w:name w:val="Text poznámky pod čiarou Char17"/>
    <w:aliases w:val="Footnote Text Char1 Char Char Char Char17,Footnote Text Char1 Char Char17,Footnote Text Char1 Char27,Footnote Text Char2 Char Char Char Char Char17,Footnote Text Char2 Char Char Char17,Footnote Text Char2 Char17"/>
    <w:uiPriority w:val="99"/>
    <w:semiHidden/>
    <w:rPr>
      <w:noProof/>
    </w:rPr>
  </w:style>
  <w:style w:type="character" w:customStyle="1" w:styleId="TextpoznmkypodiarouChar16">
    <w:name w:val="Text poznámky pod čiarou Char16"/>
    <w:aliases w:val="Footnote Text Char1 Char Char Char Char16,Footnote Text Char1 Char Char16,Footnote Text Char1 Char26,Footnote Text Char2 Char Char Char Char Char16,Footnote Text Char2 Char Char Char16,Footnote Text Char2 Char16"/>
    <w:uiPriority w:val="99"/>
    <w:semiHidden/>
    <w:rPr>
      <w:noProof/>
    </w:rPr>
  </w:style>
  <w:style w:type="character" w:customStyle="1" w:styleId="TextpoznmkypodiarouChar15">
    <w:name w:val="Text poznámky pod čiarou Char15"/>
    <w:aliases w:val="Footnote Text Char1 Char Char Char Char15,Footnote Text Char1 Char Char15,Footnote Text Char1 Char25,Footnote Text Char2 Char Char Char Char Char15,Footnote Text Char2 Char Char Char15,Footnote Text Char2 Char15"/>
    <w:uiPriority w:val="99"/>
    <w:semiHidden/>
    <w:rPr>
      <w:noProof/>
    </w:rPr>
  </w:style>
  <w:style w:type="character" w:customStyle="1" w:styleId="TextpoznmkypodiarouChar14">
    <w:name w:val="Text poznámky pod čiarou Char14"/>
    <w:aliases w:val="Footnote Text Char1 Char Char Char Char14,Footnote Text Char1 Char Char14,Footnote Text Char1 Char24,Footnote Text Char2 Char Char Char Char Char14,Footnote Text Char2 Char Char Char14,Footnote Text Char2 Char14"/>
    <w:uiPriority w:val="99"/>
    <w:semiHidden/>
    <w:rPr>
      <w:noProof/>
    </w:rPr>
  </w:style>
  <w:style w:type="character" w:customStyle="1" w:styleId="TextpoznmkypodiarouChar13">
    <w:name w:val="Text poznámky pod čiarou Char13"/>
    <w:aliases w:val="Footnote Text Char1 Char Char Char Char13,Footnote Text Char1 Char Char13,Footnote Text Char1 Char23,Footnote Text Char2 Char Char Char Char Char13,Footnote Text Char2 Char Char Char13,Footnote Text Char2 Char13"/>
    <w:uiPriority w:val="99"/>
    <w:semiHidden/>
    <w:rPr>
      <w:noProof/>
    </w:rPr>
  </w:style>
  <w:style w:type="character" w:customStyle="1" w:styleId="TextpoznmkypodiarouChar12">
    <w:name w:val="Text poznámky pod čiarou Char12"/>
    <w:aliases w:val="Footnote Text Char1 Char Char Char Char12,Footnote Text Char1 Char Char12,Footnote Text Char1 Char22,Footnote Text Char2 Char Char Char Char Char12,Footnote Text Char2 Char Char Char12,Footnote Text Char2 Char12"/>
    <w:uiPriority w:val="99"/>
    <w:semiHidden/>
    <w:rPr>
      <w:noProof/>
    </w:rPr>
  </w:style>
  <w:style w:type="character" w:customStyle="1" w:styleId="TextpoznmkypodiarouChar11">
    <w:name w:val="Text poznámky pod čiarou Char11"/>
    <w:aliases w:val="Footnote Text Char1 Char Char Char Char11,Footnote Text Char1 Char Char11,Footnote Text Char1 Char21,Footnote Text Char2 Char Char Char Char Char11,Footnote Text Char2 Char Char Char11,Footnote Text Char2 Char11"/>
    <w:uiPriority w:val="99"/>
    <w:semiHidden/>
    <w:rPr>
      <w:noProof/>
    </w:rPr>
  </w:style>
  <w:style w:type="paragraph" w:customStyle="1" w:styleId="Texttabulky">
    <w:name w:val="Text tabulky"/>
    <w:rsid w:val="009E362C"/>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character" w:customStyle="1" w:styleId="TextbublinyChar139">
    <w:name w:val="Text bubliny Char139"/>
    <w:uiPriority w:val="99"/>
    <w:semiHidden/>
    <w:rPr>
      <w:rFonts w:ascii="Tahoma" w:hAnsi="Tahoma" w:cs="Tahoma"/>
      <w:noProof/>
      <w:sz w:val="16"/>
    </w:rPr>
  </w:style>
  <w:style w:type="paragraph" w:styleId="BalloonText">
    <w:name w:val="Balloon Text"/>
    <w:basedOn w:val="Normal"/>
    <w:link w:val="TextbublinyChar"/>
    <w:semiHidden/>
    <w:rsid w:val="009E362C"/>
    <w:pPr>
      <w:jc w:val="left"/>
    </w:pPr>
    <w:rPr>
      <w:rFonts w:ascii="Tahoma" w:hAnsi="Tahoma"/>
      <w:noProof w:val="0"/>
      <w:sz w:val="16"/>
      <w:szCs w:val="16"/>
    </w:rPr>
  </w:style>
  <w:style w:type="character" w:customStyle="1" w:styleId="TextbublinyChar">
    <w:name w:val="Text bubliny Char"/>
    <w:link w:val="BalloonText"/>
    <w:uiPriority w:val="99"/>
    <w:semiHidden/>
    <w:locked/>
    <w:rPr>
      <w:rFonts w:ascii="Tahoma" w:hAnsi="Tahoma" w:cs="Tahoma"/>
      <w:noProof/>
      <w:sz w:val="16"/>
    </w:rPr>
  </w:style>
  <w:style w:type="character" w:customStyle="1" w:styleId="TextbublinyChar138">
    <w:name w:val="Text bubliny Char138"/>
    <w:uiPriority w:val="99"/>
    <w:semiHidden/>
    <w:rPr>
      <w:rFonts w:ascii="Tahoma" w:hAnsi="Tahoma" w:cs="Tahoma"/>
      <w:noProof/>
      <w:sz w:val="16"/>
    </w:rPr>
  </w:style>
  <w:style w:type="character" w:customStyle="1" w:styleId="TextbublinyChar137">
    <w:name w:val="Text bubliny Char137"/>
    <w:uiPriority w:val="99"/>
    <w:semiHidden/>
    <w:rPr>
      <w:rFonts w:ascii="Tahoma" w:hAnsi="Tahoma" w:cs="Tahoma"/>
      <w:noProof/>
      <w:sz w:val="16"/>
    </w:rPr>
  </w:style>
  <w:style w:type="character" w:customStyle="1" w:styleId="TextbublinyChar136">
    <w:name w:val="Text bubliny Char136"/>
    <w:uiPriority w:val="99"/>
    <w:semiHidden/>
    <w:rPr>
      <w:rFonts w:ascii="Tahoma" w:hAnsi="Tahoma" w:cs="Tahoma"/>
      <w:noProof/>
      <w:sz w:val="16"/>
    </w:rPr>
  </w:style>
  <w:style w:type="character" w:customStyle="1" w:styleId="TextbublinyChar135">
    <w:name w:val="Text bubliny Char135"/>
    <w:uiPriority w:val="99"/>
    <w:semiHidden/>
    <w:rPr>
      <w:rFonts w:ascii="Tahoma" w:hAnsi="Tahoma" w:cs="Tahoma"/>
      <w:noProof/>
      <w:sz w:val="16"/>
    </w:rPr>
  </w:style>
  <w:style w:type="character" w:customStyle="1" w:styleId="TextbublinyChar134">
    <w:name w:val="Text bubliny Char134"/>
    <w:uiPriority w:val="99"/>
    <w:semiHidden/>
    <w:rPr>
      <w:rFonts w:ascii="Tahoma" w:hAnsi="Tahoma" w:cs="Tahoma"/>
      <w:noProof/>
      <w:sz w:val="16"/>
    </w:rPr>
  </w:style>
  <w:style w:type="character" w:customStyle="1" w:styleId="TextbublinyChar133">
    <w:name w:val="Text bubliny Char133"/>
    <w:uiPriority w:val="99"/>
    <w:semiHidden/>
    <w:rPr>
      <w:rFonts w:ascii="Tahoma" w:hAnsi="Tahoma" w:cs="Tahoma"/>
      <w:noProof/>
      <w:sz w:val="16"/>
    </w:rPr>
  </w:style>
  <w:style w:type="character" w:customStyle="1" w:styleId="TextbublinyChar132">
    <w:name w:val="Text bubliny Char132"/>
    <w:uiPriority w:val="99"/>
    <w:semiHidden/>
    <w:rPr>
      <w:rFonts w:ascii="Tahoma" w:hAnsi="Tahoma" w:cs="Tahoma"/>
      <w:noProof/>
      <w:sz w:val="16"/>
    </w:rPr>
  </w:style>
  <w:style w:type="character" w:customStyle="1" w:styleId="TextbublinyChar131">
    <w:name w:val="Text bubliny Char131"/>
    <w:uiPriority w:val="99"/>
    <w:semiHidden/>
    <w:rPr>
      <w:rFonts w:ascii="Tahoma" w:hAnsi="Tahoma" w:cs="Tahoma"/>
      <w:noProof/>
      <w:sz w:val="16"/>
    </w:rPr>
  </w:style>
  <w:style w:type="character" w:customStyle="1" w:styleId="TextbublinyChar130">
    <w:name w:val="Text bubliny Char130"/>
    <w:uiPriority w:val="99"/>
    <w:semiHidden/>
    <w:rPr>
      <w:rFonts w:ascii="Tahoma" w:hAnsi="Tahoma" w:cs="Tahoma"/>
      <w:noProof/>
      <w:sz w:val="16"/>
    </w:rPr>
  </w:style>
  <w:style w:type="character" w:customStyle="1" w:styleId="TextbublinyChar129">
    <w:name w:val="Text bubliny Char129"/>
    <w:uiPriority w:val="99"/>
    <w:semiHidden/>
    <w:rPr>
      <w:rFonts w:ascii="Tahoma" w:hAnsi="Tahoma" w:cs="Tahoma"/>
      <w:noProof/>
      <w:sz w:val="16"/>
    </w:rPr>
  </w:style>
  <w:style w:type="character" w:customStyle="1" w:styleId="TextbublinyChar128">
    <w:name w:val="Text bubliny Char128"/>
    <w:uiPriority w:val="99"/>
    <w:semiHidden/>
    <w:rPr>
      <w:rFonts w:ascii="Tahoma" w:hAnsi="Tahoma" w:cs="Tahoma"/>
      <w:noProof/>
      <w:sz w:val="16"/>
    </w:rPr>
  </w:style>
  <w:style w:type="character" w:customStyle="1" w:styleId="TextbublinyChar127">
    <w:name w:val="Text bubliny Char127"/>
    <w:uiPriority w:val="99"/>
    <w:semiHidden/>
    <w:rPr>
      <w:rFonts w:ascii="Tahoma" w:hAnsi="Tahoma" w:cs="Tahoma"/>
      <w:noProof/>
      <w:sz w:val="16"/>
    </w:rPr>
  </w:style>
  <w:style w:type="character" w:customStyle="1" w:styleId="TextbublinyChar126">
    <w:name w:val="Text bubliny Char126"/>
    <w:uiPriority w:val="99"/>
    <w:semiHidden/>
    <w:rPr>
      <w:rFonts w:ascii="Tahoma" w:hAnsi="Tahoma" w:cs="Tahoma"/>
      <w:noProof/>
      <w:sz w:val="16"/>
    </w:rPr>
  </w:style>
  <w:style w:type="character" w:customStyle="1" w:styleId="TextbublinyChar125">
    <w:name w:val="Text bubliny Char125"/>
    <w:uiPriority w:val="99"/>
    <w:semiHidden/>
    <w:rPr>
      <w:rFonts w:ascii="Tahoma" w:hAnsi="Tahoma" w:cs="Tahoma"/>
      <w:noProof/>
      <w:sz w:val="16"/>
    </w:rPr>
  </w:style>
  <w:style w:type="character" w:customStyle="1" w:styleId="TextbublinyChar124">
    <w:name w:val="Text bubliny Char124"/>
    <w:uiPriority w:val="99"/>
    <w:semiHidden/>
    <w:rPr>
      <w:rFonts w:ascii="Tahoma" w:hAnsi="Tahoma" w:cs="Tahoma"/>
      <w:noProof/>
      <w:sz w:val="16"/>
    </w:rPr>
  </w:style>
  <w:style w:type="character" w:customStyle="1" w:styleId="TextbublinyChar123">
    <w:name w:val="Text bubliny Char123"/>
    <w:uiPriority w:val="99"/>
    <w:semiHidden/>
    <w:rPr>
      <w:rFonts w:ascii="Tahoma" w:hAnsi="Tahoma" w:cs="Tahoma"/>
      <w:noProof/>
      <w:sz w:val="16"/>
    </w:rPr>
  </w:style>
  <w:style w:type="character" w:customStyle="1" w:styleId="TextbublinyChar122">
    <w:name w:val="Text bubliny Char122"/>
    <w:uiPriority w:val="99"/>
    <w:semiHidden/>
    <w:rPr>
      <w:rFonts w:ascii="Tahoma" w:hAnsi="Tahoma" w:cs="Tahoma"/>
      <w:noProof/>
      <w:sz w:val="16"/>
    </w:rPr>
  </w:style>
  <w:style w:type="character" w:customStyle="1" w:styleId="TextbublinyChar121">
    <w:name w:val="Text bubliny Char121"/>
    <w:uiPriority w:val="99"/>
    <w:semiHidden/>
    <w:rPr>
      <w:rFonts w:ascii="Tahoma" w:hAnsi="Tahoma" w:cs="Tahoma"/>
      <w:noProof/>
      <w:sz w:val="16"/>
    </w:rPr>
  </w:style>
  <w:style w:type="character" w:customStyle="1" w:styleId="TextbublinyChar120">
    <w:name w:val="Text bubliny Char120"/>
    <w:uiPriority w:val="99"/>
    <w:semiHidden/>
    <w:rPr>
      <w:rFonts w:ascii="Tahoma" w:hAnsi="Tahoma" w:cs="Tahoma"/>
      <w:noProof/>
      <w:sz w:val="16"/>
    </w:rPr>
  </w:style>
  <w:style w:type="character" w:customStyle="1" w:styleId="TextbublinyChar119">
    <w:name w:val="Text bubliny Char119"/>
    <w:uiPriority w:val="99"/>
    <w:semiHidden/>
    <w:rPr>
      <w:rFonts w:ascii="Tahoma" w:hAnsi="Tahoma" w:cs="Tahoma"/>
      <w:noProof/>
      <w:sz w:val="16"/>
    </w:rPr>
  </w:style>
  <w:style w:type="character" w:customStyle="1" w:styleId="TextbublinyChar118">
    <w:name w:val="Text bubliny Char118"/>
    <w:uiPriority w:val="99"/>
    <w:semiHidden/>
    <w:rPr>
      <w:rFonts w:ascii="Tahoma" w:hAnsi="Tahoma" w:cs="Tahoma"/>
      <w:noProof/>
      <w:sz w:val="16"/>
    </w:rPr>
  </w:style>
  <w:style w:type="character" w:customStyle="1" w:styleId="TextbublinyChar117">
    <w:name w:val="Text bubliny Char117"/>
    <w:uiPriority w:val="99"/>
    <w:semiHidden/>
    <w:rPr>
      <w:rFonts w:ascii="Tahoma" w:hAnsi="Tahoma" w:cs="Tahoma"/>
      <w:noProof/>
      <w:sz w:val="16"/>
    </w:rPr>
  </w:style>
  <w:style w:type="character" w:customStyle="1" w:styleId="TextbublinyChar116">
    <w:name w:val="Text bubliny Char116"/>
    <w:uiPriority w:val="99"/>
    <w:semiHidden/>
    <w:rPr>
      <w:rFonts w:ascii="Tahoma" w:hAnsi="Tahoma" w:cs="Tahoma"/>
      <w:noProof/>
      <w:sz w:val="16"/>
    </w:rPr>
  </w:style>
  <w:style w:type="character" w:customStyle="1" w:styleId="TextbublinyChar115">
    <w:name w:val="Text bubliny Char115"/>
    <w:uiPriority w:val="99"/>
    <w:semiHidden/>
    <w:rPr>
      <w:rFonts w:ascii="Tahoma" w:hAnsi="Tahoma" w:cs="Tahoma"/>
      <w:noProof/>
      <w:sz w:val="16"/>
    </w:rPr>
  </w:style>
  <w:style w:type="character" w:customStyle="1" w:styleId="TextbublinyChar114">
    <w:name w:val="Text bubliny Char114"/>
    <w:uiPriority w:val="99"/>
    <w:semiHidden/>
    <w:rPr>
      <w:rFonts w:ascii="Tahoma" w:hAnsi="Tahoma" w:cs="Tahoma"/>
      <w:noProof/>
      <w:sz w:val="16"/>
    </w:rPr>
  </w:style>
  <w:style w:type="character" w:customStyle="1" w:styleId="TextbublinyChar113">
    <w:name w:val="Text bubliny Char113"/>
    <w:uiPriority w:val="99"/>
    <w:semiHidden/>
    <w:rPr>
      <w:rFonts w:ascii="Tahoma" w:hAnsi="Tahoma" w:cs="Tahoma"/>
      <w:noProof/>
      <w:sz w:val="16"/>
    </w:rPr>
  </w:style>
  <w:style w:type="character" w:customStyle="1" w:styleId="TextbublinyChar112">
    <w:name w:val="Text bubliny Char112"/>
    <w:uiPriority w:val="99"/>
    <w:semiHidden/>
    <w:rPr>
      <w:rFonts w:ascii="Tahoma" w:hAnsi="Tahoma" w:cs="Tahoma"/>
      <w:noProof/>
      <w:sz w:val="16"/>
    </w:rPr>
  </w:style>
  <w:style w:type="character" w:customStyle="1" w:styleId="TextbublinyChar111">
    <w:name w:val="Text bubliny Char111"/>
    <w:uiPriority w:val="99"/>
    <w:semiHidden/>
    <w:rPr>
      <w:rFonts w:ascii="Tahoma" w:hAnsi="Tahoma" w:cs="Tahoma"/>
      <w:noProof/>
      <w:sz w:val="16"/>
    </w:rPr>
  </w:style>
  <w:style w:type="character" w:customStyle="1" w:styleId="TextbublinyChar110">
    <w:name w:val="Text bubliny Char110"/>
    <w:uiPriority w:val="99"/>
    <w:semiHidden/>
    <w:rPr>
      <w:rFonts w:ascii="Tahoma" w:hAnsi="Tahoma" w:cs="Tahoma"/>
      <w:noProof/>
      <w:sz w:val="16"/>
    </w:rPr>
  </w:style>
  <w:style w:type="character" w:customStyle="1" w:styleId="TextbublinyChar19">
    <w:name w:val="Text bubliny Char19"/>
    <w:uiPriority w:val="99"/>
    <w:semiHidden/>
    <w:rPr>
      <w:rFonts w:ascii="Tahoma" w:hAnsi="Tahoma" w:cs="Tahoma"/>
      <w:noProof/>
      <w:sz w:val="16"/>
    </w:rPr>
  </w:style>
  <w:style w:type="character" w:customStyle="1" w:styleId="TextbublinyChar18">
    <w:name w:val="Text bubliny Char18"/>
    <w:uiPriority w:val="99"/>
    <w:semiHidden/>
    <w:rPr>
      <w:rFonts w:ascii="Tahoma" w:hAnsi="Tahoma" w:cs="Tahoma"/>
      <w:noProof/>
      <w:sz w:val="16"/>
    </w:rPr>
  </w:style>
  <w:style w:type="character" w:customStyle="1" w:styleId="TextbublinyChar17">
    <w:name w:val="Text bubliny Char17"/>
    <w:uiPriority w:val="99"/>
    <w:semiHidden/>
    <w:rPr>
      <w:rFonts w:ascii="Tahoma" w:hAnsi="Tahoma" w:cs="Tahoma"/>
      <w:noProof/>
      <w:sz w:val="16"/>
    </w:rPr>
  </w:style>
  <w:style w:type="character" w:customStyle="1" w:styleId="TextbublinyChar16">
    <w:name w:val="Text bubliny Char16"/>
    <w:uiPriority w:val="99"/>
    <w:semiHidden/>
    <w:rPr>
      <w:rFonts w:ascii="Tahoma" w:hAnsi="Tahoma" w:cs="Tahoma"/>
      <w:noProof/>
      <w:sz w:val="16"/>
    </w:rPr>
  </w:style>
  <w:style w:type="character" w:customStyle="1" w:styleId="TextbublinyChar15">
    <w:name w:val="Text bubliny Char15"/>
    <w:uiPriority w:val="99"/>
    <w:semiHidden/>
    <w:rPr>
      <w:rFonts w:ascii="Tahoma" w:hAnsi="Tahoma" w:cs="Tahoma"/>
      <w:noProof/>
      <w:sz w:val="16"/>
    </w:rPr>
  </w:style>
  <w:style w:type="character" w:customStyle="1" w:styleId="TextbublinyChar14">
    <w:name w:val="Text bubliny Char14"/>
    <w:uiPriority w:val="99"/>
    <w:semiHidden/>
    <w:rPr>
      <w:rFonts w:ascii="Tahoma" w:hAnsi="Tahoma" w:cs="Tahoma"/>
      <w:noProof/>
      <w:sz w:val="16"/>
    </w:rPr>
  </w:style>
  <w:style w:type="character" w:customStyle="1" w:styleId="TextbublinyChar13">
    <w:name w:val="Text bubliny Char13"/>
    <w:uiPriority w:val="99"/>
    <w:semiHidden/>
    <w:rPr>
      <w:rFonts w:ascii="Tahoma" w:hAnsi="Tahoma" w:cs="Tahoma"/>
      <w:noProof/>
      <w:sz w:val="16"/>
    </w:rPr>
  </w:style>
  <w:style w:type="character" w:customStyle="1" w:styleId="TextbublinyChar12">
    <w:name w:val="Text bubliny Char12"/>
    <w:uiPriority w:val="99"/>
    <w:semiHidden/>
    <w:rPr>
      <w:rFonts w:ascii="Tahoma" w:hAnsi="Tahoma" w:cs="Tahoma"/>
      <w:noProof/>
      <w:sz w:val="16"/>
    </w:rPr>
  </w:style>
  <w:style w:type="character" w:customStyle="1" w:styleId="TextbublinyChar11">
    <w:name w:val="Text bubliny Char11"/>
    <w:uiPriority w:val="99"/>
    <w:semiHidden/>
    <w:rPr>
      <w:rFonts w:ascii="Tahoma" w:hAnsi="Tahoma" w:cs="Tahoma"/>
      <w:noProof/>
      <w:sz w:val="16"/>
    </w:rPr>
  </w:style>
  <w:style w:type="character" w:styleId="CommentReference">
    <w:name w:val="annotation reference"/>
    <w:rsid w:val="009E362C"/>
    <w:rPr>
      <w:sz w:val="16"/>
    </w:rPr>
  </w:style>
  <w:style w:type="paragraph" w:styleId="CommentText">
    <w:name w:val="annotation text"/>
    <w:basedOn w:val="Normal"/>
    <w:link w:val="TextkomentraChar"/>
    <w:rsid w:val="009E362C"/>
    <w:pPr>
      <w:jc w:val="left"/>
    </w:pPr>
    <w:rPr>
      <w:noProof w:val="0"/>
      <w:sz w:val="20"/>
      <w:szCs w:val="20"/>
    </w:rPr>
  </w:style>
  <w:style w:type="character" w:customStyle="1" w:styleId="TextkomentraChar">
    <w:name w:val="Text komentára Char"/>
    <w:link w:val="CommentText"/>
    <w:locked/>
    <w:rsid w:val="009E362C"/>
  </w:style>
  <w:style w:type="paragraph" w:styleId="CommentSubject">
    <w:name w:val="annotation subject"/>
    <w:basedOn w:val="CommentText"/>
    <w:next w:val="CommentText"/>
    <w:link w:val="PredmetkomentraChar"/>
    <w:rsid w:val="009E362C"/>
    <w:pPr>
      <w:jc w:val="left"/>
    </w:pPr>
    <w:rPr>
      <w:b/>
      <w:bCs/>
      <w:noProof w:val="0"/>
    </w:rPr>
  </w:style>
  <w:style w:type="character" w:customStyle="1" w:styleId="PredmetkomentraChar">
    <w:name w:val="Predmet komentára Char"/>
    <w:link w:val="CommentSubject"/>
    <w:locked/>
    <w:rsid w:val="009E362C"/>
    <w:rPr>
      <w:b/>
    </w:rPr>
  </w:style>
  <w:style w:type="paragraph" w:customStyle="1" w:styleId="tlCharCharCharCharCharChar1">
    <w:name w:val="Štýl Char Char Char Char Char Char1"/>
    <w:basedOn w:val="Normal"/>
    <w:rsid w:val="009E362C"/>
    <w:pPr>
      <w:spacing w:after="160" w:line="240" w:lineRule="exact"/>
      <w:jc w:val="left"/>
    </w:pPr>
    <w:rPr>
      <w:rFonts w:ascii="Tahoma" w:hAnsi="Tahoma" w:cs="Tahoma"/>
      <w:noProof w:val="0"/>
      <w:sz w:val="20"/>
      <w:szCs w:val="20"/>
      <w:lang w:val="en-US" w:eastAsia="en-US"/>
    </w:rPr>
  </w:style>
  <w:style w:type="paragraph" w:styleId="TOC1">
    <w:name w:val="toc 1"/>
    <w:basedOn w:val="Normal"/>
    <w:next w:val="Normal"/>
    <w:autoRedefine/>
    <w:rsid w:val="009E362C"/>
    <w:pPr>
      <w:jc w:val="left"/>
    </w:pPr>
    <w:rPr>
      <w:noProof w:val="0"/>
    </w:rPr>
  </w:style>
  <w:style w:type="paragraph" w:styleId="TOC3">
    <w:name w:val="toc 3"/>
    <w:basedOn w:val="Normal"/>
    <w:next w:val="Normal"/>
    <w:autoRedefine/>
    <w:rsid w:val="009E362C"/>
    <w:pPr>
      <w:ind w:left="480"/>
      <w:jc w:val="left"/>
    </w:pPr>
    <w:rPr>
      <w:noProof w:val="0"/>
    </w:rPr>
  </w:style>
  <w:style w:type="character" w:styleId="Hyperlink">
    <w:name w:val="Hyperlink"/>
    <w:rsid w:val="009E362C"/>
    <w:rPr>
      <w:color w:val="0000FF"/>
      <w:u w:val="single"/>
    </w:rPr>
  </w:style>
  <w:style w:type="paragraph" w:customStyle="1" w:styleId="CharChar1">
    <w:name w:val="Char Char1"/>
    <w:basedOn w:val="Normal"/>
    <w:rsid w:val="009E362C"/>
    <w:pPr>
      <w:spacing w:after="160" w:line="240" w:lineRule="exact"/>
      <w:jc w:val="left"/>
    </w:pPr>
    <w:rPr>
      <w:rFonts w:ascii="Tahoma" w:hAnsi="Tahoma"/>
      <w:noProof w:val="0"/>
      <w:sz w:val="20"/>
      <w:szCs w:val="20"/>
      <w:lang w:eastAsia="en-US"/>
    </w:rPr>
  </w:style>
  <w:style w:type="paragraph" w:customStyle="1" w:styleId="tlCharCharCharCharCharChar">
    <w:name w:val="Štýl Char Char Char Char Char Char"/>
    <w:basedOn w:val="Normal"/>
    <w:rsid w:val="009E362C"/>
    <w:pPr>
      <w:spacing w:after="160" w:line="240" w:lineRule="exact"/>
      <w:jc w:val="left"/>
    </w:pPr>
    <w:rPr>
      <w:rFonts w:ascii="Tahoma" w:hAnsi="Tahoma" w:cs="Tahoma"/>
      <w:noProof w:val="0"/>
      <w:sz w:val="20"/>
      <w:szCs w:val="20"/>
      <w:lang w:val="en-US" w:eastAsia="en-US"/>
    </w:rPr>
  </w:style>
  <w:style w:type="paragraph" w:customStyle="1" w:styleId="CharCharCharCharChar">
    <w:name w:val="Char Char Char Char Char"/>
    <w:basedOn w:val="Normal"/>
    <w:rsid w:val="009E362C"/>
    <w:pPr>
      <w:spacing w:after="160" w:line="240" w:lineRule="exact"/>
      <w:jc w:val="left"/>
    </w:pPr>
    <w:rPr>
      <w:rFonts w:ascii="Arial Narrow" w:hAnsi="Arial Narrow"/>
      <w:noProof w:val="0"/>
      <w:sz w:val="22"/>
      <w:szCs w:val="20"/>
      <w:lang w:val="en-US" w:eastAsia="en-US"/>
    </w:rPr>
  </w:style>
  <w:style w:type="paragraph" w:customStyle="1" w:styleId="tlCharCharCharChar">
    <w:name w:val="Štýl Char Char Char Char"/>
    <w:basedOn w:val="Normal"/>
    <w:rsid w:val="009E362C"/>
    <w:pPr>
      <w:spacing w:after="160" w:line="240" w:lineRule="exact"/>
      <w:jc w:val="left"/>
    </w:pPr>
    <w:rPr>
      <w:rFonts w:ascii="Tahoma" w:hAnsi="Tahoma" w:cs="Tahoma"/>
      <w:noProof w:val="0"/>
      <w:sz w:val="20"/>
      <w:szCs w:val="20"/>
      <w:lang w:val="en-US" w:eastAsia="en-US"/>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9E362C"/>
    <w:pPr>
      <w:spacing w:after="160" w:line="240" w:lineRule="exact"/>
      <w:jc w:val="left"/>
    </w:pPr>
    <w:rPr>
      <w:rFonts w:ascii="Tahoma" w:hAnsi="Tahoma"/>
      <w:noProof w:val="0"/>
      <w:sz w:val="20"/>
      <w:szCs w:val="20"/>
      <w:lang w:val="en-US" w:eastAsia="en-US"/>
    </w:rPr>
  </w:style>
  <w:style w:type="paragraph" w:customStyle="1" w:styleId="tl3">
    <w:name w:val="Štýl3"/>
    <w:basedOn w:val="Heading3"/>
    <w:autoRedefine/>
    <w:rsid w:val="009E362C"/>
    <w:pPr>
      <w:keepNext/>
      <w:numPr>
        <w:ilvl w:val="2"/>
        <w:numId w:val="1"/>
      </w:numPr>
      <w:tabs>
        <w:tab w:val="num" w:pos="357"/>
      </w:tabs>
      <w:spacing w:before="100" w:beforeAutospacing="1" w:after="100" w:afterAutospacing="1" w:line="240" w:lineRule="auto"/>
      <w:ind w:left="357" w:hanging="357"/>
      <w:jc w:val="left"/>
    </w:pPr>
    <w:rPr>
      <w:rFonts w:ascii="Book Antiqua" w:hAnsi="Book Antiqua" w:cs="Times New Roman"/>
      <w:b/>
      <w:bCs/>
      <w:noProof w:val="0"/>
      <w:sz w:val="22"/>
      <w:szCs w:val="22"/>
      <w:lang w:val="sk-SK" w:eastAsia="cs-CZ"/>
    </w:rPr>
  </w:style>
  <w:style w:type="paragraph" w:customStyle="1" w:styleId="Zkladntext">
    <w:name w:val="Základní text"/>
    <w:rsid w:val="009E362C"/>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BodyTextIndent3">
    <w:name w:val="Body Text Indent 3"/>
    <w:aliases w:val="Char,Char_0"/>
    <w:basedOn w:val="Normal"/>
    <w:link w:val="Zarkazkladnhotextu3Char"/>
    <w:rsid w:val="009E362C"/>
    <w:pPr>
      <w:ind w:firstLine="708"/>
      <w:jc w:val="both"/>
    </w:pPr>
    <w:rPr>
      <w:rFonts w:ascii="Arial Narrow" w:hAnsi="Arial Narrow"/>
      <w:noProof w:val="0"/>
      <w:sz w:val="22"/>
      <w:szCs w:val="22"/>
    </w:rPr>
  </w:style>
  <w:style w:type="character" w:customStyle="1" w:styleId="Zarkazkladnhotextu3Char">
    <w:name w:val="Zarážka základného textu 3 Char"/>
    <w:aliases w:val="Char Char1_0,Char Char2"/>
    <w:link w:val="BodyTextIndent3"/>
    <w:locked/>
    <w:rsid w:val="009E362C"/>
    <w:rPr>
      <w:rFonts w:ascii="Arial Narrow" w:hAnsi="Arial Narrow" w:cs="Arial Narrow"/>
      <w:sz w:val="22"/>
    </w:rPr>
  </w:style>
  <w:style w:type="paragraph" w:customStyle="1" w:styleId="CharCharCharCharChar1CharCharChar1">
    <w:name w:val="Char Char Char Char Char1 Char Char Char1"/>
    <w:basedOn w:val="Normal"/>
    <w:rsid w:val="00A73CE0"/>
    <w:pPr>
      <w:spacing w:after="160" w:line="240" w:lineRule="exact"/>
      <w:jc w:val="left"/>
    </w:pPr>
    <w:rPr>
      <w:rFonts w:ascii="Tahoma" w:hAnsi="Tahoma" w:cs="Tahoma"/>
      <w:noProof w:val="0"/>
      <w:sz w:val="20"/>
      <w:szCs w:val="20"/>
      <w:lang w:val="en-US" w:eastAsia="en-US"/>
    </w:rPr>
  </w:style>
  <w:style w:type="paragraph" w:customStyle="1" w:styleId="CharCharChar1">
    <w:name w:val="Char Char Char1"/>
    <w:basedOn w:val="Normal"/>
    <w:rsid w:val="00A73CE0"/>
    <w:pPr>
      <w:spacing w:after="160" w:line="240" w:lineRule="exact"/>
      <w:jc w:val="left"/>
    </w:pPr>
    <w:rPr>
      <w:rFonts w:ascii="Tahoma" w:hAnsi="Tahoma" w:cs="Tahoma"/>
      <w:noProof w:val="0"/>
      <w:sz w:val="20"/>
      <w:szCs w:val="20"/>
      <w:lang w:val="en-US" w:eastAsia="en-US"/>
    </w:rPr>
  </w:style>
  <w:style w:type="paragraph" w:customStyle="1" w:styleId="CharChar1CharCharChar1">
    <w:name w:val="Char Char1 Char Char Char1"/>
    <w:basedOn w:val="Normal"/>
    <w:rsid w:val="00A73CE0"/>
    <w:pPr>
      <w:spacing w:after="160" w:line="240" w:lineRule="exact"/>
      <w:jc w:val="left"/>
    </w:pPr>
    <w:rPr>
      <w:rFonts w:ascii="Tahoma" w:hAnsi="Tahoma" w:cs="Tahoma"/>
      <w:noProof w:val="0"/>
      <w:sz w:val="20"/>
      <w:szCs w:val="20"/>
      <w:lang w:val="en-US" w:eastAsia="en-US"/>
    </w:rPr>
  </w:style>
  <w:style w:type="paragraph" w:styleId="NoSpacing">
    <w:name w:val="No Spacing"/>
    <w:uiPriority w:val="1"/>
    <w:qFormat/>
    <w:rsid w:val="009149DE"/>
    <w:pPr>
      <w:framePr w:wrap="auto"/>
      <w:widowControl/>
      <w:autoSpaceDE/>
      <w:autoSpaceDN/>
      <w:adjustRightInd/>
      <w:ind w:left="0" w:right="0"/>
      <w:jc w:val="left"/>
      <w:textAlignment w:val="auto"/>
    </w:pPr>
    <w:rPr>
      <w:rFonts w:cs="Times New Roman"/>
      <w:noProof/>
      <w:sz w:val="24"/>
      <w:szCs w:val="24"/>
      <w:rtl w:val="0"/>
      <w:cs w:val="0"/>
      <w:lang w:val="sk-SK" w:eastAsia="sk-SK" w:bidi="ar-SA"/>
    </w:rPr>
  </w:style>
  <w:style w:type="character" w:styleId="FootnoteReference">
    <w:name w:val="footnote reference"/>
    <w:uiPriority w:val="99"/>
    <w:semiHidden/>
    <w:rsid w:val="00F0294F"/>
    <w:rPr>
      <w:vertAlign w:val="superscript"/>
    </w:rPr>
  </w:style>
  <w:style w:type="paragraph" w:customStyle="1" w:styleId="Odsekzoznamu1">
    <w:name w:val="Odsek zoznamu1"/>
    <w:basedOn w:val="Normal"/>
    <w:rsid w:val="009E362C"/>
    <w:pPr>
      <w:spacing w:after="200" w:line="276" w:lineRule="auto"/>
      <w:ind w:left="720"/>
      <w:jc w:val="left"/>
    </w:pPr>
    <w:rPr>
      <w:rFonts w:ascii="Calibri" w:hAnsi="Calibri"/>
      <w:noProof w:val="0"/>
      <w:sz w:val="22"/>
      <w:szCs w:val="22"/>
      <w:lang w:eastAsia="en-US"/>
    </w:rPr>
  </w:style>
  <w:style w:type="paragraph" w:styleId="BodyTextIndent">
    <w:name w:val="Body Text Indent"/>
    <w:basedOn w:val="Normal"/>
    <w:link w:val="ZarkazkladnhotextuChar"/>
    <w:rsid w:val="009E362C"/>
    <w:pPr>
      <w:spacing w:after="120"/>
      <w:ind w:left="283"/>
      <w:jc w:val="left"/>
    </w:pPr>
    <w:rPr>
      <w:rFonts w:ascii="Courier" w:hAnsi="Courier"/>
      <w:noProof w:val="0"/>
      <w:szCs w:val="20"/>
      <w:lang w:eastAsia="cs-CZ"/>
    </w:rPr>
  </w:style>
  <w:style w:type="character" w:customStyle="1" w:styleId="ZarkazkladnhotextuChar">
    <w:name w:val="Zarážka základného textu Char"/>
    <w:link w:val="BodyTextIndent"/>
    <w:locked/>
    <w:rsid w:val="009E362C"/>
    <w:rPr>
      <w:rFonts w:ascii="Courier" w:hAnsi="Courier" w:cs="Courier"/>
      <w:sz w:val="24"/>
      <w:lang w:val="x-none" w:eastAsia="cs-CZ"/>
    </w:rPr>
  </w:style>
  <w:style w:type="character" w:customStyle="1" w:styleId="Textzstupnhosymbolu">
    <w:name w:val="Text zástupného symbolu"/>
    <w:uiPriority w:val="99"/>
    <w:rsid w:val="00887C57"/>
    <w:rPr>
      <w:rFonts w:ascii="Times New Roman" w:hAnsi="Times New Roman" w:cs="Times New Roman"/>
      <w:color w:val="808080"/>
    </w:rPr>
  </w:style>
  <w:style w:type="character" w:customStyle="1" w:styleId="highlight1">
    <w:name w:val="highlight1"/>
    <w:rsid w:val="005E21C8"/>
    <w:rPr>
      <w:shd w:val="clear" w:color="auto" w:fill="FFFF00"/>
    </w:rPr>
  </w:style>
  <w:style w:type="character" w:customStyle="1" w:styleId="ruletitle1">
    <w:name w:val="ruletitle1"/>
    <w:rsid w:val="005E21C8"/>
    <w:rPr>
      <w:rFonts w:ascii="Tahoma" w:hAnsi="Tahoma" w:cs="Tahoma"/>
      <w:b/>
      <w:color w:val="4B4B4B"/>
      <w:sz w:val="24"/>
    </w:rPr>
  </w:style>
  <w:style w:type="character" w:styleId="Strong">
    <w:name w:val="Strong"/>
    <w:uiPriority w:val="22"/>
    <w:qFormat/>
    <w:rsid w:val="005E21C8"/>
    <w:rPr>
      <w: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3FFAE6D-9882-4449-AD32-26B2631DCF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C37607-F30F-46A9-9993-3D7C8DCAA8DC}">
  <ds:schemaRefs>
    <ds:schemaRef ds:uri="http://schemas.microsoft.com/sharepoint/v3/contenttype/forms"/>
  </ds:schemaRefs>
</ds:datastoreItem>
</file>

<file path=customXml/itemProps3.xml><?xml version="1.0" encoding="utf-8"?>
<ds:datastoreItem xmlns:ds="http://schemas.openxmlformats.org/officeDocument/2006/customXml" ds:itemID="{1A3D21F1-CF68-4DD7-8D56-599778F33908}">
  <ds:schemaRefs>
    <ds:schemaRef ds:uri="http://schemas.openxmlformats.org/officeDocument/2006/bibliography"/>
  </ds:schemaRefs>
</ds:datastoreItem>
</file>

<file path=customXml/itemProps4.xml><?xml version="1.0" encoding="utf-8"?>
<ds:datastoreItem xmlns:ds="http://schemas.openxmlformats.org/officeDocument/2006/customXml" ds:itemID="{3D7326F3-6ADE-488C-9613-4F824CD6A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1</TotalTime>
  <Pages>48</Pages>
  <Words>20274</Words>
  <Characters>115564</Characters>
  <Application>Microsoft Office Word</Application>
  <DocSecurity>0</DocSecurity>
  <Lines>0</Lines>
  <Paragraphs>0</Paragraphs>
  <ScaleCrop>false</ScaleCrop>
  <Company/>
  <LinksUpToDate>false</LinksUpToDate>
  <CharactersWithSpaces>135567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Sekcia rozpočtovej politiky</dc:title>
  <dc:creator>Brusnicka Kvetoslava</dc:creator>
  <cp:lastModifiedBy>Vinický, Filip</cp:lastModifiedBy>
  <cp:revision>2</cp:revision>
  <cp:lastPrinted>2015-10-01T10:53:00Z</cp:lastPrinted>
  <dcterms:created xsi:type="dcterms:W3CDTF">2015-10-15T11:26:00Z</dcterms:created>
  <dcterms:modified xsi:type="dcterms:W3CDTF">2015-10-15T11:26:00Z</dcterms:modified>
</cp:coreProperties>
</file>