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97809" w:rsidP="00497809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497809" w:rsidP="00497809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497809" w:rsidP="00497809">
      <w:pPr>
        <w:widowControl/>
        <w:bidi w:val="0"/>
        <w:jc w:val="both"/>
        <w:rPr>
          <w:rFonts w:ascii="Arial" w:hAnsi="Arial"/>
          <w:b/>
          <w:i/>
          <w:sz w:val="20"/>
        </w:rPr>
      </w:pPr>
    </w:p>
    <w:p w:rsidR="00497809" w:rsidP="00497809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497809" w:rsidP="00497809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56. schôdza výboru                                                                                                           </w:t>
      </w:r>
    </w:p>
    <w:p w:rsidR="00497809" w:rsidP="00497809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CRD-1127/2015</w:t>
      </w:r>
    </w:p>
    <w:p w:rsidR="00497809" w:rsidP="00497809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497809" w:rsidP="00497809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497809" w:rsidP="00497809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188</w:t>
      </w:r>
    </w:p>
    <w:p w:rsidR="00497809" w:rsidP="00497809">
      <w:pPr>
        <w:widowControl/>
        <w:bidi w:val="0"/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497809" w:rsidP="00497809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497809" w:rsidP="00497809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497809" w:rsidP="00497809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</w:p>
    <w:p w:rsidR="00497809" w:rsidP="00497809">
      <w:pPr>
        <w:widowControl/>
        <w:bidi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10. septembra 2015</w:t>
      </w:r>
    </w:p>
    <w:p w:rsidR="00497809" w:rsidP="00497809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497809" w:rsidP="00497809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497809" w:rsidP="00497809">
      <w:pPr>
        <w:bidi w:val="0"/>
        <w:jc w:val="both"/>
        <w:rPr>
          <w:rFonts w:ascii="Arial" w:hAnsi="Arial"/>
          <w:bCs/>
          <w:sz w:val="20"/>
        </w:rPr>
      </w:pPr>
      <w:r>
        <w:rPr>
          <w:rFonts w:ascii="Arial" w:hAnsi="Arial" w:cs="Arial"/>
          <w:sz w:val="20"/>
        </w:rPr>
        <w:t xml:space="preserve">k vládnemu návrhu zákona o vyvlastňovaní pozemkov a stavieb a o nútenom obmedzení vlastníckeho práva k nim a o zmene a doplnení niektorých zákonov (tlač 1572) </w:t>
      </w:r>
    </w:p>
    <w:p w:rsidR="00497809" w:rsidP="00497809">
      <w:pPr>
        <w:pStyle w:val="ListParagraph"/>
        <w:bidi w:val="0"/>
        <w:jc w:val="both"/>
        <w:rPr>
          <w:rFonts w:ascii="Arial" w:hAnsi="Arial"/>
          <w:bCs/>
          <w:sz w:val="20"/>
        </w:rPr>
      </w:pPr>
    </w:p>
    <w:p w:rsidR="00497809" w:rsidP="00497809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497809" w:rsidP="00497809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497809" w:rsidP="00497809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497809" w:rsidP="00497809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súhlasí</w:t>
      </w:r>
    </w:p>
    <w:p w:rsidR="00497809" w:rsidP="00497809">
      <w:pPr>
        <w:pStyle w:val="ListParagraph"/>
        <w:widowControl/>
        <w:bidi w:val="0"/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497809" w:rsidP="00497809">
      <w:pPr>
        <w:bidi w:val="0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s vládnym návrhom zákona </w:t>
      </w:r>
      <w:r>
        <w:rPr>
          <w:rFonts w:ascii="Arial" w:hAnsi="Arial" w:cs="Arial"/>
          <w:sz w:val="20"/>
        </w:rPr>
        <w:t>o vyvlastňovaní pozemkov a stavieb a o nútenom obmedzení vlastníckeho práva k nim a o zmene a doplnení niektorých zákonov (tlač 1572),</w:t>
      </w:r>
    </w:p>
    <w:p w:rsidR="00497809" w:rsidP="00497809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497809" w:rsidP="00497809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odporúča</w:t>
      </w:r>
    </w:p>
    <w:p w:rsidR="00497809" w:rsidP="00497809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497809" w:rsidP="00497809">
      <w:pPr>
        <w:bidi w:val="0"/>
        <w:jc w:val="both"/>
        <w:rPr>
          <w:rFonts w:ascii="Arial" w:hAnsi="Arial"/>
          <w:bCs/>
          <w:sz w:val="20"/>
        </w:rPr>
      </w:pPr>
      <w:r>
        <w:rPr>
          <w:rFonts w:ascii="Arial" w:hAnsi="Arial" w:cs="Arial"/>
          <w:sz w:val="20"/>
        </w:rPr>
        <w:t xml:space="preserve">Národnej rade Slovenskej republiky vládny návrh zákona o vyvlastňovaní pozemkov a stavieb a o nútenom obmedzení vlastníckeho práva k nim a o zmene a doplnení niektorých zákonov (tlač 1572) </w:t>
      </w:r>
      <w:r w:rsidRPr="004C1D1C">
        <w:rPr>
          <w:rFonts w:ascii="Arial" w:hAnsi="Arial"/>
          <w:b/>
          <w:bCs/>
          <w:sz w:val="20"/>
        </w:rPr>
        <w:t xml:space="preserve">schváliť </w:t>
      </w:r>
      <w:r w:rsidRPr="004C1D1C" w:rsidR="004C1D1C">
        <w:rPr>
          <w:rFonts w:ascii="Arial" w:hAnsi="Arial"/>
          <w:b/>
          <w:bCs/>
          <w:sz w:val="20"/>
        </w:rPr>
        <w:t>s pripomienkami</w:t>
      </w:r>
      <w:r w:rsidR="004C1D1C">
        <w:rPr>
          <w:rFonts w:ascii="Arial" w:hAnsi="Arial"/>
          <w:bCs/>
          <w:sz w:val="20"/>
        </w:rPr>
        <w:t>, uvedenými v prílohe tohto uznesenia,</w:t>
      </w:r>
    </w:p>
    <w:p w:rsidR="00497809" w:rsidP="00497809">
      <w:pPr>
        <w:pStyle w:val="BodyText"/>
        <w:bidi w:val="0"/>
        <w:spacing w:line="240" w:lineRule="auto"/>
        <w:rPr>
          <w:rFonts w:ascii="Arial" w:hAnsi="Arial"/>
          <w:bCs/>
          <w:sz w:val="20"/>
        </w:rPr>
      </w:pPr>
    </w:p>
    <w:p w:rsidR="00497809" w:rsidP="00497809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 xml:space="preserve">ukladá </w:t>
      </w:r>
    </w:p>
    <w:p w:rsidR="00497809" w:rsidP="00497809">
      <w:pPr>
        <w:widowControl/>
        <w:bidi w:val="0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497809" w:rsidP="00497809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predsedovi výboru informovať gestorský Výbor Národnej rady Slovenskej republiky pre verejnú správu a regionálny rozvoj o prijatom uznesení. </w:t>
      </w:r>
    </w:p>
    <w:p w:rsidR="00497809" w:rsidP="00497809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497809" w:rsidP="00497809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497809" w:rsidP="00497809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497809" w:rsidP="00497809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497809" w:rsidP="00497809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497809" w:rsidP="00497809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497809" w:rsidP="00497809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Peter Pollák   </w:t>
        <w:tab/>
        <w:tab/>
        <w:tab/>
        <w:tab/>
        <w:tab/>
        <w:tab/>
        <w:tab/>
        <w:tab/>
        <w:tab/>
        <w:t>Rudolf Chmel</w:t>
      </w:r>
    </w:p>
    <w:p w:rsidR="00497809" w:rsidP="00497809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overovateľ   </w:t>
        <w:tab/>
        <w:tab/>
        <w:tab/>
        <w:tab/>
        <w:tab/>
        <w:tab/>
        <w:tab/>
        <w:tab/>
        <w:tab/>
        <w:t>predseda výboru</w:t>
      </w:r>
    </w:p>
    <w:p w:rsidR="007F26F1" w:rsidP="00497809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7F26F1" w:rsidP="00497809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7F26F1" w:rsidP="00497809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7F26F1" w:rsidP="00497809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7F26F1" w:rsidP="00497809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7F26F1" w:rsidP="00497809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7F26F1" w:rsidP="00497809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7F26F1" w:rsidP="00497809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7F26F1" w:rsidP="00497809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7F26F1" w:rsidP="00497809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7F26F1" w:rsidP="00497809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7F26F1" w:rsidP="00497809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7F26F1" w:rsidP="00497809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7F26F1" w:rsidP="00497809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7F26F1" w:rsidP="00497809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7F26F1" w:rsidP="00497809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7F26F1" w:rsidRPr="007F26F1" w:rsidP="007F26F1">
      <w:pPr>
        <w:widowControl/>
        <w:bidi w:val="0"/>
        <w:jc w:val="center"/>
        <w:rPr>
          <w:rFonts w:ascii="Arial" w:hAnsi="Arial"/>
          <w:b/>
          <w:bCs/>
          <w:sz w:val="20"/>
          <w:szCs w:val="20"/>
        </w:rPr>
      </w:pPr>
      <w:r w:rsidRPr="007F26F1">
        <w:rPr>
          <w:rFonts w:ascii="Arial" w:hAnsi="Arial"/>
          <w:b/>
          <w:bCs/>
          <w:sz w:val="20"/>
          <w:szCs w:val="20"/>
        </w:rPr>
        <w:t>Príloha</w:t>
      </w:r>
    </w:p>
    <w:p w:rsidR="007F26F1" w:rsidRPr="007F26F1" w:rsidP="007F26F1">
      <w:pPr>
        <w:widowControl/>
        <w:bidi w:val="0"/>
        <w:jc w:val="center"/>
        <w:rPr>
          <w:rFonts w:ascii="Arial" w:hAnsi="Arial"/>
          <w:b/>
          <w:bCs/>
          <w:sz w:val="20"/>
          <w:szCs w:val="20"/>
        </w:rPr>
      </w:pPr>
      <w:r w:rsidRPr="007F26F1">
        <w:rPr>
          <w:rFonts w:ascii="Arial" w:hAnsi="Arial"/>
          <w:b/>
          <w:bCs/>
          <w:sz w:val="20"/>
          <w:szCs w:val="20"/>
        </w:rPr>
        <w:t>k uzneseniu Výboru NR SR pre ľudské práva a národnostné menšiny č. 188</w:t>
      </w:r>
    </w:p>
    <w:p w:rsidR="00497809" w:rsidRPr="007F26F1" w:rsidP="007F26F1">
      <w:pPr>
        <w:widowControl/>
        <w:bidi w:val="0"/>
        <w:jc w:val="center"/>
        <w:rPr>
          <w:rFonts w:ascii="Arial" w:hAnsi="Arial"/>
          <w:b/>
          <w:bCs/>
          <w:sz w:val="20"/>
          <w:szCs w:val="20"/>
        </w:rPr>
      </w:pPr>
    </w:p>
    <w:p w:rsidR="00497809" w:rsidP="00497809">
      <w:pPr>
        <w:widowControl/>
        <w:bidi w:val="0"/>
        <w:jc w:val="both"/>
        <w:rPr>
          <w:rFonts w:ascii="Arial" w:hAnsi="Arial" w:cs="Arial"/>
          <w:sz w:val="20"/>
        </w:rPr>
      </w:pPr>
      <w:r w:rsidR="007F26F1">
        <w:rPr>
          <w:rFonts w:ascii="Arial" w:hAnsi="Arial"/>
          <w:bCs/>
          <w:sz w:val="20"/>
          <w:szCs w:val="20"/>
        </w:rPr>
        <w:t xml:space="preserve">Pripomienky k vládnemu návrhu zákona </w:t>
      </w:r>
      <w:r w:rsidR="007F26F1">
        <w:rPr>
          <w:rFonts w:ascii="Arial" w:hAnsi="Arial" w:cs="Arial"/>
          <w:sz w:val="20"/>
        </w:rPr>
        <w:t>o vyvlastňovaní pozemkov a stavieb a o nútenom obmedzení vlastníckeho práva k nim a o zmene a doplnení niektorých zákonov (tlač 1572)</w:t>
      </w:r>
    </w:p>
    <w:p w:rsidR="00943DB0" w:rsidP="00497809">
      <w:pPr>
        <w:widowControl/>
        <w:bidi w:val="0"/>
        <w:jc w:val="both"/>
        <w:rPr>
          <w:rFonts w:ascii="Arial" w:hAnsi="Arial" w:cs="Arial"/>
          <w:sz w:val="20"/>
        </w:rPr>
      </w:pPr>
    </w:p>
    <w:p w:rsidR="00943DB0" w:rsidRPr="00943DB0" w:rsidP="00943DB0">
      <w:pPr>
        <w:widowControl/>
        <w:numPr>
          <w:numId w:val="3"/>
        </w:numPr>
        <w:autoSpaceDE/>
        <w:autoSpaceDN/>
        <w:bidi w:val="0"/>
        <w:adjustRightInd/>
        <w:jc w:val="both"/>
        <w:rPr>
          <w:rFonts w:ascii="Arial" w:hAnsi="Arial" w:cs="Arial"/>
          <w:sz w:val="20"/>
          <w:szCs w:val="20"/>
          <w:u w:val="single"/>
        </w:rPr>
      </w:pPr>
      <w:r w:rsidRPr="00943DB0">
        <w:rPr>
          <w:rFonts w:ascii="Arial" w:hAnsi="Arial" w:cs="Arial"/>
          <w:sz w:val="20"/>
          <w:szCs w:val="20"/>
          <w:u w:val="single"/>
        </w:rPr>
        <w:t>K čl. I § 1</w:t>
      </w:r>
    </w:p>
    <w:p w:rsidR="00943DB0" w:rsidP="00943DB0">
      <w:pPr>
        <w:bidi w:val="0"/>
        <w:ind w:left="720"/>
        <w:jc w:val="both"/>
        <w:rPr>
          <w:rFonts w:ascii="Times New Roman" w:hAnsi="Times New Roman"/>
        </w:rPr>
      </w:pPr>
    </w:p>
    <w:p w:rsidR="00943DB0" w:rsidRPr="00943DB0" w:rsidP="00943DB0">
      <w:pPr>
        <w:bidi w:val="0"/>
        <w:jc w:val="both"/>
        <w:rPr>
          <w:rFonts w:ascii="Arial" w:hAnsi="Arial" w:cs="Arial"/>
          <w:sz w:val="20"/>
          <w:szCs w:val="20"/>
        </w:rPr>
      </w:pPr>
      <w:r w:rsidRPr="00943DB0">
        <w:rPr>
          <w:rFonts w:ascii="Arial" w:hAnsi="Arial" w:cs="Arial"/>
          <w:sz w:val="20"/>
          <w:szCs w:val="20"/>
        </w:rPr>
        <w:t>Čl. I §1 znie</w:t>
      </w:r>
      <w:r>
        <w:rPr>
          <w:rFonts w:ascii="Arial" w:hAnsi="Arial" w:cs="Arial"/>
          <w:sz w:val="20"/>
          <w:szCs w:val="20"/>
        </w:rPr>
        <w:t>:</w:t>
      </w:r>
    </w:p>
    <w:p w:rsidR="00943DB0" w:rsidRPr="00943DB0" w:rsidP="00943DB0">
      <w:pPr>
        <w:bidi w:val="0"/>
        <w:jc w:val="both"/>
        <w:rPr>
          <w:rFonts w:ascii="Arial" w:hAnsi="Arial" w:cs="Arial"/>
          <w:sz w:val="20"/>
          <w:szCs w:val="20"/>
        </w:rPr>
      </w:pPr>
      <w:r w:rsidRPr="00943DB0">
        <w:rPr>
          <w:rFonts w:ascii="Arial" w:hAnsi="Arial" w:cs="Arial"/>
          <w:sz w:val="20"/>
          <w:szCs w:val="20"/>
        </w:rPr>
        <w:t>„Tento zákon upravuje odňatie vlastníckeho práva, obmedzenie vlastníckeho práva k pozemku alebo ku stavbe, zriadenie, obmedzenie, zrušenie práva zodpovedajúceho vecnému bremenu k pozemku alebo ku stavbe, obmedzenie, zrušenie práv tretích osôb k pozemku alebo ku stavbe, ak je to nevyhnutné pre uskutočnenie stavby alebo opatrenia v nevyhnutnej miere, vo verejnom záujme a na účel podľa osobitných zákonov a za primeranú náhradu.“</w:t>
      </w:r>
    </w:p>
    <w:p w:rsidR="00943DB0" w:rsidRPr="00943DB0" w:rsidP="00943DB0">
      <w:pPr>
        <w:bidi w:val="0"/>
        <w:ind w:left="720"/>
        <w:jc w:val="both"/>
        <w:rPr>
          <w:rFonts w:ascii="Arial" w:hAnsi="Arial" w:cs="Arial"/>
          <w:sz w:val="20"/>
          <w:szCs w:val="20"/>
        </w:rPr>
      </w:pPr>
    </w:p>
    <w:p w:rsidR="00943DB0" w:rsidRPr="00943DB0" w:rsidP="00943DB0">
      <w:pPr>
        <w:bidi w:val="0"/>
        <w:ind w:left="2268"/>
        <w:jc w:val="both"/>
        <w:rPr>
          <w:rFonts w:ascii="Arial" w:hAnsi="Arial" w:cs="Arial"/>
          <w:sz w:val="20"/>
          <w:szCs w:val="20"/>
        </w:rPr>
      </w:pPr>
      <w:r w:rsidRPr="00943DB0">
        <w:rPr>
          <w:rFonts w:ascii="Arial" w:hAnsi="Arial" w:cs="Arial"/>
          <w:sz w:val="20"/>
          <w:szCs w:val="20"/>
        </w:rPr>
        <w:t>Legislatívno-technická pripomienka, ktorou zákon upravuje všetky zásahy do vlastníckeho práva bez alternácie.</w:t>
      </w:r>
    </w:p>
    <w:p w:rsidR="00943DB0" w:rsidRPr="00943DB0" w:rsidP="00497809">
      <w:pPr>
        <w:widowControl/>
        <w:bidi w:val="0"/>
        <w:jc w:val="both"/>
        <w:rPr>
          <w:rFonts w:ascii="Arial" w:hAnsi="Arial" w:cs="Arial"/>
          <w:bCs/>
          <w:sz w:val="20"/>
          <w:szCs w:val="20"/>
        </w:rPr>
      </w:pPr>
    </w:p>
    <w:p w:rsidR="00497809" w:rsidP="00497809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7F26F1" w:rsidRPr="00943DB0" w:rsidP="00943DB0">
      <w:pPr>
        <w:pStyle w:val="ListParagraph"/>
        <w:numPr>
          <w:numId w:val="3"/>
        </w:numPr>
        <w:bidi w:val="0"/>
        <w:rPr>
          <w:rFonts w:ascii="Arial" w:hAnsi="Arial" w:cs="Arial"/>
          <w:sz w:val="20"/>
          <w:szCs w:val="20"/>
          <w:u w:val="single"/>
        </w:rPr>
      </w:pPr>
      <w:r w:rsidRPr="00943DB0">
        <w:rPr>
          <w:rFonts w:ascii="Arial" w:hAnsi="Arial" w:cs="Arial"/>
          <w:sz w:val="20"/>
          <w:szCs w:val="20"/>
          <w:u w:val="single"/>
        </w:rPr>
        <w:t>K čl. I § 2 ods. 2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7F26F1">
      <w:pPr>
        <w:bidi w:val="0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 xml:space="preserve">V čl. I § 2 ods. 2 sa slová „tie sa preukazujú“ nahrádza slovami „ten sa preukazuje“. 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P="007F26F1">
      <w:pPr>
        <w:bidi w:val="0"/>
        <w:ind w:left="2268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 xml:space="preserve">Legislatívno-technická pripomienka. Preukazuje sa súlad a nie ciel alebo zámer, ako to vyplýva aj z dôvodovej správy. </w:t>
      </w:r>
    </w:p>
    <w:p w:rsidR="00943DB0" w:rsidP="00943DB0">
      <w:pPr>
        <w:bidi w:val="0"/>
        <w:rPr>
          <w:rFonts w:ascii="Arial" w:hAnsi="Arial" w:cs="Arial"/>
          <w:sz w:val="20"/>
          <w:szCs w:val="20"/>
        </w:rPr>
      </w:pPr>
    </w:p>
    <w:p w:rsidR="00943DB0" w:rsidRPr="00943DB0" w:rsidP="00943DB0">
      <w:pPr>
        <w:widowControl/>
        <w:numPr>
          <w:numId w:val="3"/>
        </w:numPr>
        <w:autoSpaceDE/>
        <w:autoSpaceDN/>
        <w:bidi w:val="0"/>
        <w:adjustRightInd/>
        <w:jc w:val="both"/>
        <w:rPr>
          <w:rFonts w:ascii="Arial" w:hAnsi="Arial" w:cs="Arial"/>
          <w:sz w:val="20"/>
          <w:szCs w:val="20"/>
          <w:u w:val="single"/>
        </w:rPr>
      </w:pPr>
      <w:r w:rsidRPr="00943DB0">
        <w:rPr>
          <w:rFonts w:ascii="Arial" w:hAnsi="Arial" w:cs="Arial"/>
          <w:sz w:val="20"/>
          <w:szCs w:val="20"/>
          <w:u w:val="single"/>
        </w:rPr>
        <w:t>K</w:t>
      </w:r>
      <w:r>
        <w:rPr>
          <w:rFonts w:ascii="Arial" w:hAnsi="Arial" w:cs="Arial"/>
          <w:sz w:val="20"/>
          <w:szCs w:val="20"/>
          <w:u w:val="single"/>
        </w:rPr>
        <w:t xml:space="preserve"> č</w:t>
      </w:r>
      <w:r w:rsidRPr="00943DB0">
        <w:rPr>
          <w:rFonts w:ascii="Arial" w:hAnsi="Arial" w:cs="Arial"/>
          <w:sz w:val="20"/>
          <w:szCs w:val="20"/>
          <w:u w:val="single"/>
        </w:rPr>
        <w:t>l. I § 3 ods. 1</w:t>
      </w:r>
    </w:p>
    <w:p w:rsidR="00943DB0" w:rsidRPr="00943DB0" w:rsidP="00943DB0">
      <w:pPr>
        <w:bidi w:val="0"/>
        <w:ind w:left="708"/>
        <w:jc w:val="both"/>
        <w:rPr>
          <w:rFonts w:ascii="Arial" w:hAnsi="Arial" w:cs="Arial"/>
          <w:sz w:val="20"/>
          <w:szCs w:val="20"/>
          <w:u w:val="single"/>
        </w:rPr>
      </w:pPr>
    </w:p>
    <w:p w:rsidR="00943DB0" w:rsidRPr="00943DB0" w:rsidP="00943DB0">
      <w:pPr>
        <w:bidi w:val="0"/>
        <w:jc w:val="both"/>
        <w:rPr>
          <w:rFonts w:ascii="Arial" w:hAnsi="Arial" w:cs="Arial"/>
          <w:sz w:val="20"/>
          <w:szCs w:val="20"/>
        </w:rPr>
      </w:pPr>
      <w:r w:rsidRPr="00943DB0">
        <w:rPr>
          <w:rFonts w:ascii="Arial" w:hAnsi="Arial" w:cs="Arial"/>
          <w:sz w:val="20"/>
          <w:szCs w:val="20"/>
        </w:rPr>
        <w:t>V čl. I §3 ods. 1 úvodná veta znie</w:t>
      </w:r>
      <w:r>
        <w:rPr>
          <w:rFonts w:ascii="Arial" w:hAnsi="Arial" w:cs="Arial"/>
          <w:sz w:val="20"/>
          <w:szCs w:val="20"/>
        </w:rPr>
        <w:t>:</w:t>
      </w:r>
    </w:p>
    <w:p w:rsidR="00943DB0" w:rsidRPr="00943DB0" w:rsidP="00943DB0">
      <w:pPr>
        <w:bidi w:val="0"/>
        <w:jc w:val="both"/>
        <w:rPr>
          <w:rFonts w:ascii="Arial" w:hAnsi="Arial" w:cs="Arial"/>
          <w:sz w:val="20"/>
          <w:szCs w:val="20"/>
        </w:rPr>
      </w:pPr>
      <w:r w:rsidRPr="00943DB0">
        <w:rPr>
          <w:rFonts w:ascii="Arial" w:hAnsi="Arial" w:cs="Arial"/>
          <w:sz w:val="20"/>
          <w:szCs w:val="20"/>
        </w:rPr>
        <w:t>„Bezvýslednosť pokusu o nadobudnutie vlastníckeho práva k pozemku alebo ku stavbe, o zriadenie, obmedzenie, zrušenie práva zodpovedajúceho vecnému bremenu k pozemku alebo stavbe, obmedzenie, zrušenie práv tretích osôb k pozemku alebo ku stavbe dohodou sa preukazuje“</w:t>
      </w:r>
    </w:p>
    <w:p w:rsidR="00943DB0" w:rsidRPr="00943DB0" w:rsidP="00943DB0">
      <w:pPr>
        <w:bidi w:val="0"/>
        <w:ind w:left="720"/>
        <w:jc w:val="both"/>
        <w:rPr>
          <w:rFonts w:ascii="Arial" w:hAnsi="Arial" w:cs="Arial"/>
          <w:sz w:val="20"/>
          <w:szCs w:val="20"/>
        </w:rPr>
      </w:pPr>
    </w:p>
    <w:p w:rsidR="00943DB0" w:rsidRPr="00943DB0" w:rsidP="00943DB0">
      <w:pPr>
        <w:bidi w:val="0"/>
        <w:ind w:left="2268"/>
        <w:jc w:val="both"/>
        <w:rPr>
          <w:rFonts w:ascii="Arial" w:hAnsi="Arial" w:cs="Arial"/>
          <w:sz w:val="20"/>
          <w:szCs w:val="20"/>
        </w:rPr>
      </w:pPr>
      <w:r w:rsidRPr="00943DB0">
        <w:rPr>
          <w:rFonts w:ascii="Arial" w:hAnsi="Arial" w:cs="Arial"/>
          <w:sz w:val="20"/>
          <w:szCs w:val="20"/>
        </w:rPr>
        <w:t>Legislatívno-technická pripomienka zjednocuje spôsob preukazovania snahy dosiahnuť účel vyvlastnenia dohodou pre všetky zásahy do vlastníckeho práva.</w:t>
      </w:r>
    </w:p>
    <w:p w:rsidR="00943DB0" w:rsidRPr="007F26F1" w:rsidP="00943DB0">
      <w:pPr>
        <w:bidi w:val="0"/>
        <w:rPr>
          <w:rFonts w:ascii="Arial" w:hAnsi="Arial" w:cs="Arial"/>
          <w:sz w:val="20"/>
          <w:szCs w:val="20"/>
        </w:rPr>
      </w:pP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943DB0">
      <w:pPr>
        <w:numPr>
          <w:numId w:val="3"/>
        </w:numPr>
        <w:bidi w:val="0"/>
        <w:rPr>
          <w:rFonts w:ascii="Arial" w:hAnsi="Arial" w:cs="Arial"/>
          <w:sz w:val="20"/>
          <w:szCs w:val="20"/>
          <w:u w:val="single"/>
        </w:rPr>
      </w:pPr>
      <w:r w:rsidRPr="007F26F1">
        <w:rPr>
          <w:rFonts w:ascii="Arial" w:hAnsi="Arial" w:cs="Arial"/>
          <w:sz w:val="20"/>
          <w:szCs w:val="20"/>
          <w:u w:val="single"/>
        </w:rPr>
        <w:t>K čl. I § 3 ods. 2 písm. a)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392C73">
      <w:pPr>
        <w:bidi w:val="0"/>
        <w:jc w:val="both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 xml:space="preserve">V čl. I § 3 ods. 2 písm. a) sa slová „známy jeho pobyt“ nahrádzajú slovami „známe miesto jeho trvalého pobytu alebo sídlo“. 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  <w:r w:rsidRPr="007F26F1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7F26F1" w:rsidP="007F26F1">
      <w:pPr>
        <w:bidi w:val="0"/>
        <w:ind w:left="2268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 xml:space="preserve">Legislatívno-technická pripomienka, ktorou sa upresňuje pojem zaužívaný v iných právnych predpisoch (napr. zákon Národnej rady Slovenskej republiky č. 180/1995 Z. z. o niektorých opatreniach na usporiadanie vlastníctva k pozemkom). </w:t>
      </w:r>
    </w:p>
    <w:p w:rsidR="00943DB0" w:rsidP="00943DB0">
      <w:pPr>
        <w:bidi w:val="0"/>
        <w:rPr>
          <w:rFonts w:ascii="Arial" w:hAnsi="Arial" w:cs="Arial"/>
          <w:sz w:val="20"/>
          <w:szCs w:val="20"/>
        </w:rPr>
      </w:pPr>
    </w:p>
    <w:p w:rsidR="00943DB0" w:rsidRPr="00943DB0" w:rsidP="00943DB0">
      <w:pPr>
        <w:widowControl/>
        <w:numPr>
          <w:numId w:val="3"/>
        </w:numPr>
        <w:autoSpaceDE/>
        <w:autoSpaceDN/>
        <w:bidi w:val="0"/>
        <w:adjustRightInd/>
        <w:jc w:val="both"/>
        <w:rPr>
          <w:rFonts w:ascii="Arial" w:hAnsi="Arial" w:cs="Arial"/>
          <w:sz w:val="20"/>
          <w:szCs w:val="20"/>
        </w:rPr>
      </w:pPr>
      <w:r w:rsidRPr="00943DB0">
        <w:rPr>
          <w:rFonts w:ascii="Arial" w:hAnsi="Arial" w:cs="Arial"/>
          <w:sz w:val="20"/>
          <w:szCs w:val="20"/>
          <w:u w:val="single"/>
        </w:rPr>
        <w:t>K čl. I § 3 ods. 2 písm. c)</w:t>
      </w:r>
      <w:r w:rsidRPr="00943DB0">
        <w:rPr>
          <w:rFonts w:ascii="Arial" w:hAnsi="Arial" w:cs="Arial"/>
          <w:sz w:val="20"/>
          <w:szCs w:val="20"/>
        </w:rPr>
        <w:t xml:space="preserve"> </w:t>
      </w:r>
    </w:p>
    <w:p w:rsidR="00943DB0" w:rsidRPr="00943DB0" w:rsidP="00943DB0">
      <w:pPr>
        <w:bidi w:val="0"/>
        <w:ind w:left="720"/>
        <w:jc w:val="both"/>
        <w:rPr>
          <w:rFonts w:ascii="Arial" w:hAnsi="Arial" w:cs="Arial"/>
          <w:sz w:val="20"/>
          <w:szCs w:val="20"/>
        </w:rPr>
      </w:pPr>
    </w:p>
    <w:p w:rsidR="00943DB0" w:rsidRPr="00943DB0" w:rsidP="00943DB0">
      <w:pPr>
        <w:bidi w:val="0"/>
        <w:ind w:left="720"/>
        <w:jc w:val="both"/>
        <w:rPr>
          <w:rFonts w:ascii="Arial" w:hAnsi="Arial" w:cs="Arial"/>
          <w:sz w:val="20"/>
          <w:szCs w:val="20"/>
        </w:rPr>
      </w:pPr>
      <w:r w:rsidRPr="00943DB0">
        <w:rPr>
          <w:rFonts w:ascii="Arial" w:hAnsi="Arial" w:cs="Arial"/>
          <w:sz w:val="20"/>
          <w:szCs w:val="20"/>
        </w:rPr>
        <w:t>V Čl. I § 3 ods. 2 písm. c) sa vypúšťa  poznámka pod čiarou.</w:t>
      </w:r>
    </w:p>
    <w:p w:rsidR="00943DB0" w:rsidRPr="00943DB0" w:rsidP="00943DB0">
      <w:pPr>
        <w:bidi w:val="0"/>
        <w:ind w:left="720"/>
        <w:jc w:val="both"/>
        <w:rPr>
          <w:rFonts w:ascii="Arial" w:hAnsi="Arial" w:cs="Arial"/>
          <w:sz w:val="20"/>
          <w:szCs w:val="20"/>
        </w:rPr>
      </w:pPr>
    </w:p>
    <w:p w:rsidR="00943DB0" w:rsidRPr="00943DB0" w:rsidP="00943DB0">
      <w:pPr>
        <w:bidi w:val="0"/>
        <w:ind w:left="720"/>
        <w:jc w:val="both"/>
        <w:rPr>
          <w:rFonts w:ascii="Arial" w:hAnsi="Arial" w:cs="Arial"/>
          <w:sz w:val="20"/>
          <w:szCs w:val="20"/>
        </w:rPr>
      </w:pPr>
      <w:r w:rsidRPr="00943DB0">
        <w:rPr>
          <w:rFonts w:ascii="Arial" w:hAnsi="Arial" w:cs="Arial"/>
          <w:sz w:val="20"/>
          <w:szCs w:val="20"/>
        </w:rPr>
        <w:t>Nasledujúce odkazy na poznámky pod čiarou sa primerane prečíslujú.</w:t>
      </w:r>
    </w:p>
    <w:p w:rsidR="00943DB0" w:rsidRPr="00943DB0" w:rsidP="00943DB0">
      <w:pPr>
        <w:bidi w:val="0"/>
        <w:ind w:left="720"/>
        <w:jc w:val="both"/>
        <w:rPr>
          <w:rFonts w:ascii="Arial" w:hAnsi="Arial" w:cs="Arial"/>
          <w:sz w:val="20"/>
          <w:szCs w:val="20"/>
        </w:rPr>
      </w:pPr>
    </w:p>
    <w:p w:rsidR="00943DB0" w:rsidRPr="00943DB0" w:rsidP="00943DB0">
      <w:pPr>
        <w:bidi w:val="0"/>
        <w:ind w:left="2268"/>
        <w:jc w:val="both"/>
        <w:rPr>
          <w:rFonts w:ascii="Arial" w:hAnsi="Arial" w:cs="Arial"/>
          <w:sz w:val="20"/>
          <w:szCs w:val="20"/>
        </w:rPr>
      </w:pPr>
      <w:r w:rsidRPr="00943DB0">
        <w:rPr>
          <w:rFonts w:ascii="Arial" w:hAnsi="Arial" w:cs="Arial"/>
          <w:sz w:val="20"/>
          <w:szCs w:val="20"/>
        </w:rPr>
        <w:t>Legislatívno-technická pripomienka. Poznámka pod čiarou je nesprávne uvedená nakoľko § 70 katastrálneho zákona neupravuje konanie, na ktoré odkazuje ustanovenie zákona o vyvlastnení.</w:t>
      </w:r>
    </w:p>
    <w:p w:rsidR="00943DB0" w:rsidRPr="007F26F1" w:rsidP="00943DB0">
      <w:pPr>
        <w:bidi w:val="0"/>
        <w:rPr>
          <w:rFonts w:ascii="Arial" w:hAnsi="Arial" w:cs="Arial"/>
          <w:sz w:val="20"/>
          <w:szCs w:val="20"/>
        </w:rPr>
      </w:pP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943DB0">
      <w:pPr>
        <w:numPr>
          <w:numId w:val="3"/>
        </w:numPr>
        <w:bidi w:val="0"/>
        <w:rPr>
          <w:rFonts w:ascii="Arial" w:hAnsi="Arial" w:cs="Arial"/>
          <w:sz w:val="20"/>
          <w:szCs w:val="20"/>
          <w:u w:val="single"/>
        </w:rPr>
      </w:pPr>
      <w:r w:rsidRPr="007F26F1">
        <w:rPr>
          <w:rFonts w:ascii="Arial" w:hAnsi="Arial" w:cs="Arial"/>
          <w:sz w:val="20"/>
          <w:szCs w:val="20"/>
          <w:u w:val="single"/>
        </w:rPr>
        <w:t>K čl. I § 3 ods. 3 písm. a) a b)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7F26F1">
      <w:pPr>
        <w:bidi w:val="0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>V čl. I § 3 ods. 3 písm. a) a b) sa za slová „upozornenie o tom,“ vkladá slovo „že“.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7F26F1">
      <w:pPr>
        <w:tabs>
          <w:tab w:val="left" w:pos="2268"/>
        </w:tabs>
        <w:bidi w:val="0"/>
        <w:ind w:left="2268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>Gramatická úprava textu.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943DB0">
      <w:pPr>
        <w:numPr>
          <w:numId w:val="3"/>
        </w:numPr>
        <w:bidi w:val="0"/>
        <w:rPr>
          <w:rFonts w:ascii="Arial" w:hAnsi="Arial" w:cs="Arial"/>
          <w:sz w:val="20"/>
          <w:szCs w:val="20"/>
          <w:u w:val="single"/>
        </w:rPr>
      </w:pPr>
      <w:r w:rsidRPr="007F26F1">
        <w:rPr>
          <w:rFonts w:ascii="Arial" w:hAnsi="Arial" w:cs="Arial"/>
          <w:sz w:val="20"/>
          <w:szCs w:val="20"/>
          <w:u w:val="single"/>
        </w:rPr>
        <w:t>K čl. I § 3 ods. 3 písm. a)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7F26F1">
      <w:pPr>
        <w:bidi w:val="0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>V čl. I § 3 ods. 3 písm. a) sa slová „dohody odmietnutý“ nahrádzajú slovami „dohody za odmietnutý“.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</w:rPr>
      </w:pPr>
    </w:p>
    <w:p w:rsidR="007F26F1" w:rsidRPr="007F26F1" w:rsidP="007F26F1">
      <w:pPr>
        <w:bidi w:val="0"/>
        <w:ind w:left="2268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>Gramatická úprava textu.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943DB0">
      <w:pPr>
        <w:numPr>
          <w:numId w:val="3"/>
        </w:numPr>
        <w:bidi w:val="0"/>
        <w:rPr>
          <w:rFonts w:ascii="Arial" w:hAnsi="Arial" w:cs="Arial"/>
          <w:sz w:val="20"/>
          <w:szCs w:val="20"/>
          <w:u w:val="single"/>
        </w:rPr>
      </w:pPr>
      <w:r w:rsidRPr="007F26F1">
        <w:rPr>
          <w:rFonts w:ascii="Arial" w:hAnsi="Arial" w:cs="Arial"/>
          <w:sz w:val="20"/>
          <w:szCs w:val="20"/>
          <w:u w:val="single"/>
        </w:rPr>
        <w:t>K čl. I § 4 ods. 6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7F26F1">
      <w:pPr>
        <w:bidi w:val="0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 xml:space="preserve">V čl. I § 4 ods. 6 v úvodnej vete sa slová „a v“ nahrádzajú slovami „alebo v“. 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</w:rPr>
      </w:pPr>
    </w:p>
    <w:p w:rsidR="007F26F1" w:rsidRPr="007F26F1" w:rsidP="007F26F1">
      <w:pPr>
        <w:bidi w:val="0"/>
        <w:ind w:left="2268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>Legislatívno-technická úprava, ktorou sa zjednocuje formulácia použitá v čl. I § 4 ods. 5.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</w:rPr>
      </w:pPr>
    </w:p>
    <w:p w:rsidR="007F26F1" w:rsidRPr="007F26F1" w:rsidP="00943DB0">
      <w:pPr>
        <w:numPr>
          <w:numId w:val="3"/>
        </w:numPr>
        <w:bidi w:val="0"/>
        <w:rPr>
          <w:rFonts w:ascii="Arial" w:hAnsi="Arial" w:cs="Arial"/>
          <w:sz w:val="20"/>
          <w:szCs w:val="20"/>
          <w:u w:val="single"/>
        </w:rPr>
      </w:pPr>
      <w:r w:rsidRPr="007F26F1">
        <w:rPr>
          <w:rFonts w:ascii="Arial" w:hAnsi="Arial" w:cs="Arial"/>
          <w:sz w:val="20"/>
          <w:szCs w:val="20"/>
          <w:u w:val="single"/>
        </w:rPr>
        <w:t>K čl. I § 4 ods. 6 písm. c)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392C73">
      <w:pPr>
        <w:bidi w:val="0"/>
        <w:jc w:val="both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>V čl. I § 4 ods. 6 písm. c) sa slovo „zániku zmluvného vecného bremena“ nahrádza slovami „obmedzenia alebo zrušenia práva zodpovedajúcemu vecnému bremenu“.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</w:rPr>
      </w:pPr>
    </w:p>
    <w:p w:rsidR="007F26F1" w:rsidRPr="007F26F1" w:rsidP="007F26F1">
      <w:pPr>
        <w:bidi w:val="0"/>
        <w:ind w:left="2268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 xml:space="preserve">Legislatívno-technická pripomienka, ktorou sa zjednocuje formulácia použitá v návrhu zákona (napr. § 1). 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</w:rPr>
      </w:pPr>
    </w:p>
    <w:p w:rsidR="007F26F1" w:rsidRPr="007F26F1" w:rsidP="00943DB0">
      <w:pPr>
        <w:numPr>
          <w:numId w:val="3"/>
        </w:numPr>
        <w:bidi w:val="0"/>
        <w:rPr>
          <w:rFonts w:ascii="Arial" w:hAnsi="Arial" w:cs="Arial"/>
          <w:sz w:val="20"/>
          <w:szCs w:val="20"/>
          <w:u w:val="single"/>
        </w:rPr>
      </w:pPr>
      <w:r w:rsidRPr="007F26F1">
        <w:rPr>
          <w:rFonts w:ascii="Arial" w:hAnsi="Arial" w:cs="Arial"/>
          <w:sz w:val="20"/>
          <w:szCs w:val="20"/>
          <w:u w:val="single"/>
        </w:rPr>
        <w:t>K čl. I § 5 ods. 1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7F26F1">
      <w:pPr>
        <w:bidi w:val="0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>V čl. I § 5 ods. 1  v prvej vete sa za slovom „bremenu“ vypúšťa čiarka a slová „s ktorej vlastníctvom je spojené právo zodpovedajúce vecnému bremenu“.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7F26F1">
      <w:pPr>
        <w:bidi w:val="0"/>
        <w:ind w:left="2268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 xml:space="preserve">Legislatívno-technická pripomienka, ktorou sa vypúšťajú zmätočné a nadbytočné slová. 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943DB0">
      <w:pPr>
        <w:numPr>
          <w:numId w:val="3"/>
        </w:numPr>
        <w:bidi w:val="0"/>
        <w:rPr>
          <w:rFonts w:ascii="Arial" w:hAnsi="Arial" w:cs="Arial"/>
          <w:sz w:val="20"/>
          <w:szCs w:val="20"/>
          <w:u w:val="single"/>
        </w:rPr>
      </w:pPr>
      <w:r w:rsidRPr="007F26F1">
        <w:rPr>
          <w:rFonts w:ascii="Arial" w:hAnsi="Arial" w:cs="Arial"/>
          <w:sz w:val="20"/>
          <w:szCs w:val="20"/>
          <w:u w:val="single"/>
        </w:rPr>
        <w:t>K čl. I § 6 ods. 3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7F26F1">
      <w:pPr>
        <w:bidi w:val="0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>V čl. I § 6 ods. 3 v poslednej vete sa za tretím slovom „domu“ vypúšťa čiarka a slová „najdlhšie však dva roky.“.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</w:rPr>
      </w:pPr>
    </w:p>
    <w:p w:rsidR="007F26F1" w:rsidRPr="007F26F1" w:rsidP="007F26F1">
      <w:pPr>
        <w:bidi w:val="0"/>
        <w:ind w:left="2268"/>
        <w:jc w:val="both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 xml:space="preserve">Časové obmedzenie úhrady nájomného je neprípustné pre prípad, ak vyvlastniteľ nezaobstaral v zákonnej dvojročnej lehote náhradné bývanie pre vyvlastneného, čo reálne hrozí najmä v prípade obstarania náhradného bytu  alebo rodinného domu výstavbou. 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</w:rPr>
      </w:pPr>
    </w:p>
    <w:p w:rsidR="007F26F1" w:rsidRPr="007F26F1" w:rsidP="00943DB0">
      <w:pPr>
        <w:numPr>
          <w:numId w:val="3"/>
        </w:numPr>
        <w:bidi w:val="0"/>
        <w:rPr>
          <w:rFonts w:ascii="Arial" w:hAnsi="Arial" w:cs="Arial"/>
          <w:sz w:val="20"/>
          <w:szCs w:val="20"/>
          <w:u w:val="single"/>
        </w:rPr>
      </w:pPr>
      <w:r w:rsidRPr="007F26F1">
        <w:rPr>
          <w:rFonts w:ascii="Arial" w:hAnsi="Arial" w:cs="Arial"/>
          <w:sz w:val="20"/>
          <w:szCs w:val="20"/>
          <w:u w:val="single"/>
        </w:rPr>
        <w:t>K čl. I § 6 ods. 7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7F26F1">
      <w:pPr>
        <w:bidi w:val="0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 xml:space="preserve">V čl. I § 6 ods. 7 sa slová „jej pobyt nie je známy“ nahrádzajú slovami „nie je známa adresa jej trvalého pobytu alebo adresa jej sídla“. 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 xml:space="preserve"> </w:t>
      </w:r>
    </w:p>
    <w:p w:rsidR="007F26F1" w:rsidRPr="007F26F1" w:rsidP="007F26F1">
      <w:pPr>
        <w:bidi w:val="0"/>
        <w:ind w:left="2268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>Legislatívno-technická pripomienka, ktorou sa ktorou sa zosúlaďuje pojem, ktorý bude použitý v novom Civilnom sporovom poriadku (§ 14 a 15 zákona č. 160/2015 Z. z.).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P="00943DB0">
      <w:pPr>
        <w:numPr>
          <w:numId w:val="3"/>
        </w:numPr>
        <w:bidi w:val="0"/>
        <w:rPr>
          <w:rFonts w:ascii="Arial" w:hAnsi="Arial" w:cs="Arial"/>
          <w:sz w:val="20"/>
          <w:szCs w:val="20"/>
          <w:u w:val="single"/>
        </w:rPr>
      </w:pPr>
      <w:r w:rsidRPr="007F26F1">
        <w:rPr>
          <w:rFonts w:ascii="Arial" w:hAnsi="Arial" w:cs="Arial"/>
          <w:sz w:val="20"/>
          <w:szCs w:val="20"/>
          <w:u w:val="single"/>
        </w:rPr>
        <w:t>K čl. I § 6 ods. 8</w:t>
      </w:r>
    </w:p>
    <w:p w:rsidR="004B7163" w:rsidRPr="007F26F1" w:rsidP="004B7163">
      <w:pPr>
        <w:bidi w:val="0"/>
        <w:ind w:left="72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392C73">
      <w:pPr>
        <w:bidi w:val="0"/>
        <w:jc w:val="both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 xml:space="preserve">V čl. I § 6 ods. 8 sa slovo „správcovi“ nahrádza slovami „správcovi lesných pozemkov podľa osobitného predpisu“. 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</w:rPr>
      </w:pPr>
    </w:p>
    <w:p w:rsidR="007F26F1" w:rsidRPr="007F26F1" w:rsidP="007F26F1">
      <w:pPr>
        <w:bidi w:val="0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ab/>
        <w:tab/>
        <w:tab/>
        <w:tab/>
        <w:tab/>
      </w:r>
    </w:p>
    <w:p w:rsidR="007F26F1" w:rsidRPr="007F26F1" w:rsidP="007F26F1">
      <w:pPr>
        <w:bidi w:val="0"/>
        <w:ind w:left="2268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 xml:space="preserve">Legislatívno-technická úprava ktorou sa odstraňuje normatívny charakter poznámky pod čiarou č. 8. 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943DB0">
      <w:pPr>
        <w:numPr>
          <w:numId w:val="3"/>
        </w:numPr>
        <w:bidi w:val="0"/>
        <w:rPr>
          <w:rFonts w:ascii="Arial" w:hAnsi="Arial" w:cs="Arial"/>
          <w:sz w:val="20"/>
          <w:szCs w:val="20"/>
          <w:u w:val="single"/>
        </w:rPr>
      </w:pPr>
      <w:r w:rsidRPr="007F26F1">
        <w:rPr>
          <w:rFonts w:ascii="Arial" w:hAnsi="Arial" w:cs="Arial"/>
          <w:sz w:val="20"/>
          <w:szCs w:val="20"/>
          <w:u w:val="single"/>
        </w:rPr>
        <w:t>K čl. I § 8 ods. 1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392C73">
      <w:pPr>
        <w:bidi w:val="0"/>
        <w:jc w:val="both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>V čl. I § 8 ods. 1 sa slovo „Účastníci“ nahrádza slovom „Účastníkmi“.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P="007F26F1">
      <w:pPr>
        <w:bidi w:val="0"/>
        <w:ind w:left="2268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>Gramatická úprava textu.</w:t>
      </w:r>
    </w:p>
    <w:p w:rsidR="00943DB0" w:rsidP="00943DB0">
      <w:pPr>
        <w:bidi w:val="0"/>
        <w:rPr>
          <w:rFonts w:ascii="Arial" w:hAnsi="Arial" w:cs="Arial"/>
          <w:sz w:val="20"/>
          <w:szCs w:val="20"/>
        </w:rPr>
      </w:pPr>
    </w:p>
    <w:p w:rsidR="00943DB0" w:rsidRPr="00943DB0" w:rsidP="00943DB0">
      <w:pPr>
        <w:widowControl/>
        <w:numPr>
          <w:numId w:val="3"/>
        </w:numPr>
        <w:autoSpaceDE/>
        <w:autoSpaceDN/>
        <w:bidi w:val="0"/>
        <w:adjustRightInd/>
        <w:jc w:val="both"/>
        <w:rPr>
          <w:rFonts w:ascii="Arial" w:hAnsi="Arial" w:cs="Arial"/>
          <w:sz w:val="20"/>
          <w:szCs w:val="20"/>
        </w:rPr>
      </w:pPr>
      <w:r w:rsidRPr="00943DB0">
        <w:rPr>
          <w:rFonts w:ascii="Arial" w:hAnsi="Arial" w:cs="Arial"/>
          <w:sz w:val="20"/>
          <w:szCs w:val="20"/>
          <w:u w:val="single"/>
        </w:rPr>
        <w:t>K čl. I § 8 ods. 1 písm. d)</w:t>
      </w:r>
      <w:r w:rsidRPr="00943DB0">
        <w:rPr>
          <w:rFonts w:ascii="Arial" w:hAnsi="Arial" w:cs="Arial"/>
          <w:sz w:val="20"/>
          <w:szCs w:val="20"/>
        </w:rPr>
        <w:t xml:space="preserve"> </w:t>
      </w:r>
    </w:p>
    <w:p w:rsidR="00943DB0" w:rsidRPr="00943DB0" w:rsidP="00943DB0">
      <w:pPr>
        <w:bidi w:val="0"/>
        <w:ind w:left="720"/>
        <w:jc w:val="both"/>
        <w:rPr>
          <w:rFonts w:ascii="Arial" w:hAnsi="Arial" w:cs="Arial"/>
          <w:sz w:val="20"/>
          <w:szCs w:val="20"/>
        </w:rPr>
      </w:pPr>
    </w:p>
    <w:p w:rsidR="00943DB0" w:rsidRPr="00943DB0" w:rsidP="00392C73">
      <w:pPr>
        <w:bidi w:val="0"/>
        <w:jc w:val="both"/>
        <w:rPr>
          <w:rFonts w:ascii="Arial" w:hAnsi="Arial" w:cs="Arial"/>
          <w:sz w:val="20"/>
          <w:szCs w:val="20"/>
        </w:rPr>
      </w:pPr>
      <w:r w:rsidRPr="00943DB0">
        <w:rPr>
          <w:rFonts w:ascii="Arial" w:hAnsi="Arial" w:cs="Arial"/>
          <w:sz w:val="20"/>
          <w:szCs w:val="20"/>
        </w:rPr>
        <w:t>V Čl. I § 8 ods. 1 sa vypúšťa písm. d) a písm. e) sa  označuje ako písm. d).</w:t>
      </w:r>
    </w:p>
    <w:p w:rsidR="00943DB0" w:rsidRPr="00943DB0" w:rsidP="00943DB0">
      <w:pPr>
        <w:bidi w:val="0"/>
        <w:ind w:left="720"/>
        <w:jc w:val="both"/>
        <w:rPr>
          <w:rFonts w:ascii="Arial" w:hAnsi="Arial" w:cs="Arial"/>
          <w:sz w:val="20"/>
          <w:szCs w:val="20"/>
        </w:rPr>
      </w:pPr>
    </w:p>
    <w:p w:rsidR="00943DB0" w:rsidRPr="00943DB0" w:rsidP="00943DB0">
      <w:pPr>
        <w:bidi w:val="0"/>
        <w:ind w:left="2268"/>
        <w:jc w:val="both"/>
        <w:rPr>
          <w:rFonts w:ascii="Arial" w:hAnsi="Arial" w:cs="Arial"/>
          <w:sz w:val="20"/>
          <w:szCs w:val="20"/>
        </w:rPr>
      </w:pPr>
      <w:r w:rsidRPr="00943DB0">
        <w:rPr>
          <w:rFonts w:ascii="Arial" w:hAnsi="Arial" w:cs="Arial"/>
          <w:sz w:val="20"/>
          <w:szCs w:val="20"/>
        </w:rPr>
        <w:t>Legislatívno-technická pripomienka, ktorou sa vypúšťa zmätočné a nadbytočné ustanovenie.</w:t>
      </w:r>
    </w:p>
    <w:p w:rsidR="00943DB0" w:rsidRPr="007F26F1" w:rsidP="00943DB0">
      <w:pPr>
        <w:bidi w:val="0"/>
        <w:rPr>
          <w:rFonts w:ascii="Arial" w:hAnsi="Arial" w:cs="Arial"/>
          <w:sz w:val="20"/>
          <w:szCs w:val="20"/>
        </w:rPr>
      </w:pP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943DB0">
      <w:pPr>
        <w:numPr>
          <w:numId w:val="3"/>
        </w:numPr>
        <w:bidi w:val="0"/>
        <w:rPr>
          <w:rFonts w:ascii="Arial" w:hAnsi="Arial" w:cs="Arial"/>
          <w:sz w:val="20"/>
          <w:szCs w:val="20"/>
          <w:u w:val="single"/>
        </w:rPr>
      </w:pPr>
      <w:r w:rsidRPr="007F26F1">
        <w:rPr>
          <w:rFonts w:ascii="Arial" w:hAnsi="Arial" w:cs="Arial"/>
          <w:sz w:val="20"/>
          <w:szCs w:val="20"/>
          <w:u w:val="single"/>
        </w:rPr>
        <w:t>K čl. I § 8 ods. 2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7F26F1">
      <w:pPr>
        <w:bidi w:val="0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>V čl. I § 8 ods. 2 sa slová „miesto jeho pobytu nie je známe“ nahrádzajú slovami „nie je známe miesto jeho trvalého pobytu alebo sídlo“.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</w:rPr>
      </w:pPr>
    </w:p>
    <w:p w:rsidR="007F26F1" w:rsidRPr="007F26F1" w:rsidP="007F26F1">
      <w:pPr>
        <w:bidi w:val="0"/>
        <w:ind w:left="2268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 xml:space="preserve">Legislatívno-technická pripomienka, ktorou sa upresňuje pojem zaužívaný v iných právnych predpisoch (napr. zákon Národnej rady Slovenskej republiky č. 180/1995 Z. z. o niektorých opatreniach na usporiadanie vlastníctva k pozemkom). 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</w:rPr>
      </w:pPr>
    </w:p>
    <w:p w:rsidR="007F26F1" w:rsidRPr="007F26F1" w:rsidP="00943DB0">
      <w:pPr>
        <w:numPr>
          <w:numId w:val="3"/>
        </w:numPr>
        <w:bidi w:val="0"/>
        <w:rPr>
          <w:rFonts w:ascii="Arial" w:hAnsi="Arial" w:cs="Arial"/>
          <w:sz w:val="20"/>
          <w:szCs w:val="20"/>
          <w:u w:val="single"/>
        </w:rPr>
      </w:pPr>
      <w:r w:rsidRPr="007F26F1">
        <w:rPr>
          <w:rFonts w:ascii="Arial" w:hAnsi="Arial" w:cs="Arial"/>
          <w:sz w:val="20"/>
          <w:szCs w:val="20"/>
          <w:u w:val="single"/>
        </w:rPr>
        <w:t>K čl. I § 8 ods. 2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7F26F1">
      <w:pPr>
        <w:bidi w:val="0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 xml:space="preserve">V čl. I § 8 ods. 2 sa za slovo „správca“ vkladajú slová „podľa osobitného predpisu“. 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</w:rPr>
      </w:pPr>
    </w:p>
    <w:p w:rsidR="007F26F1" w:rsidRPr="007F26F1" w:rsidP="007F26F1">
      <w:pPr>
        <w:bidi w:val="0"/>
        <w:ind w:left="2268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>Legislatívno-technická úprava ktorou sa odstraňuje normatívny charakter poznámky pod čiarou č. 8.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943DB0">
      <w:pPr>
        <w:numPr>
          <w:numId w:val="3"/>
        </w:numPr>
        <w:bidi w:val="0"/>
        <w:rPr>
          <w:rFonts w:ascii="Arial" w:hAnsi="Arial" w:cs="Arial"/>
          <w:sz w:val="20"/>
          <w:szCs w:val="20"/>
          <w:u w:val="single"/>
        </w:rPr>
      </w:pPr>
      <w:r w:rsidRPr="007F26F1">
        <w:rPr>
          <w:rFonts w:ascii="Arial" w:hAnsi="Arial" w:cs="Arial"/>
          <w:sz w:val="20"/>
          <w:szCs w:val="20"/>
          <w:u w:val="single"/>
        </w:rPr>
        <w:t>K čl. I § 9 ods. 2 písm. a) 1. a 2. bod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7F26F1">
      <w:pPr>
        <w:bidi w:val="0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>V čl. I § 9 ods. 2 písm. a) 1. a 2. bod sa slová „miesto trvalého pobytu“ nahrádzajú slovami „adresu trvalého pobytu“ a slová „adresu miesta podnikania“ sa nahrádzajú slovami „adresu sídla“.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</w:rPr>
      </w:pPr>
    </w:p>
    <w:p w:rsidR="007F26F1" w:rsidRPr="007F26F1" w:rsidP="00392C73">
      <w:pPr>
        <w:bidi w:val="0"/>
        <w:ind w:left="2268"/>
        <w:jc w:val="both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 xml:space="preserve">Legislatívno-technická úprava ktorou sa zosúlaďuje pojem, ktorý bude použitý v novom Civilnom sporovom poriadku (§ 14 a 15 zákona č. 160/2015 Z. z.). 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943DB0">
      <w:pPr>
        <w:numPr>
          <w:numId w:val="3"/>
        </w:numPr>
        <w:bidi w:val="0"/>
        <w:rPr>
          <w:rFonts w:ascii="Arial" w:hAnsi="Arial" w:cs="Arial"/>
          <w:sz w:val="20"/>
          <w:szCs w:val="20"/>
          <w:u w:val="single"/>
        </w:rPr>
      </w:pPr>
      <w:r w:rsidRPr="007F26F1">
        <w:rPr>
          <w:rFonts w:ascii="Arial" w:hAnsi="Arial" w:cs="Arial"/>
          <w:sz w:val="20"/>
          <w:szCs w:val="20"/>
          <w:u w:val="single"/>
        </w:rPr>
        <w:t>K čl. I § 9 ods. 2 písm. b) 2. bod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392C73">
      <w:pPr>
        <w:bidi w:val="0"/>
        <w:jc w:val="both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>V čl. I § 9 ods. 2 písm. b) 2. bod sa slová „miesto trvalého pobytu“ nahrádzajú slovami „adresu trvalého pobytu“ a slová „adresu miesta podnikania“ sa nahrádzajú slovami „adresu sídla“.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392C73">
      <w:pPr>
        <w:bidi w:val="0"/>
        <w:ind w:left="2268"/>
        <w:jc w:val="both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>Legislatívno-technická úprava ktorou sa zosúlaďuje pojem, ktorý bude použitý v novom Civilnom sporovom poriadku (§ 14 a 15 zákona č. 160/2015 Z. z.).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943DB0">
      <w:pPr>
        <w:numPr>
          <w:numId w:val="3"/>
        </w:numPr>
        <w:bidi w:val="0"/>
        <w:rPr>
          <w:rFonts w:ascii="Arial" w:hAnsi="Arial" w:cs="Arial"/>
          <w:sz w:val="20"/>
          <w:szCs w:val="20"/>
          <w:u w:val="single"/>
        </w:rPr>
      </w:pPr>
      <w:r w:rsidRPr="007F26F1">
        <w:rPr>
          <w:rFonts w:ascii="Arial" w:hAnsi="Arial" w:cs="Arial"/>
          <w:sz w:val="20"/>
          <w:szCs w:val="20"/>
          <w:u w:val="single"/>
        </w:rPr>
        <w:t>K čl. I § 9 ods. 2 písm. c) 2. bod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P="00392C73">
      <w:pPr>
        <w:bidi w:val="0"/>
        <w:jc w:val="both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 xml:space="preserve">V čl. I § 9 ods. 2 písm. c) 2. bod sa slová „miesto trvalého pobytu“ nahrádzajú slovami „adresu trvalého pobytu“ a slová „adresu miesta podnikania“ sa nahrádzajú slovami „adresu sídla“. 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392C73">
      <w:pPr>
        <w:bidi w:val="0"/>
        <w:ind w:left="2268"/>
        <w:jc w:val="both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>Legislatívno-technická úprava ktorou sa zosúlaďuje pojem, ktorý bude použitý v novom Civilnom sporovom poriadku (§ 14 a 15 zákona č. 160/2015 Z. z.).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943DB0">
      <w:pPr>
        <w:numPr>
          <w:numId w:val="3"/>
        </w:numPr>
        <w:bidi w:val="0"/>
        <w:rPr>
          <w:rFonts w:ascii="Arial" w:hAnsi="Arial" w:cs="Arial"/>
          <w:sz w:val="20"/>
          <w:szCs w:val="20"/>
          <w:u w:val="single"/>
        </w:rPr>
      </w:pPr>
      <w:r w:rsidRPr="007F26F1">
        <w:rPr>
          <w:rFonts w:ascii="Arial" w:hAnsi="Arial" w:cs="Arial"/>
          <w:sz w:val="20"/>
          <w:szCs w:val="20"/>
          <w:u w:val="single"/>
        </w:rPr>
        <w:t>K čl. I § 9 ods. 2 písm. d)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392C73">
      <w:pPr>
        <w:bidi w:val="0"/>
        <w:jc w:val="both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>V čl. I § 9 ods. 2 písm. d) sa slovo „nehnuteľnosti“ nahrádzajú slovom „nehnuteľnosť“.</w:t>
      </w:r>
    </w:p>
    <w:p w:rsidR="007F26F1" w:rsidRPr="007F26F1" w:rsidP="00392C73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7F26F1" w:rsidRPr="007F26F1" w:rsidP="007F26F1">
      <w:pPr>
        <w:bidi w:val="0"/>
        <w:ind w:left="2268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>Gramatická úprava.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943DB0">
      <w:pPr>
        <w:numPr>
          <w:numId w:val="3"/>
        </w:numPr>
        <w:bidi w:val="0"/>
        <w:rPr>
          <w:rFonts w:ascii="Arial" w:hAnsi="Arial" w:cs="Arial"/>
          <w:sz w:val="20"/>
          <w:szCs w:val="20"/>
          <w:u w:val="single"/>
        </w:rPr>
      </w:pPr>
      <w:r w:rsidRPr="007F26F1">
        <w:rPr>
          <w:rFonts w:ascii="Arial" w:hAnsi="Arial" w:cs="Arial"/>
          <w:sz w:val="20"/>
          <w:szCs w:val="20"/>
          <w:u w:val="single"/>
        </w:rPr>
        <w:t>K čl. I § 10 ods. 2 písm. b)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392C73">
      <w:pPr>
        <w:bidi w:val="0"/>
        <w:jc w:val="both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>V čl. I § 10 ods. 2 písm. b) sa slová „osobné údaje vyvlastniteľa“ nahrádzajú slovami „údaje o vyvlastniteľovi v rozsahu údajov podľa § 9 ods. 2 písm. a)“.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7F26F1">
      <w:pPr>
        <w:bidi w:val="0"/>
        <w:ind w:left="2268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>Legislatívno-technická úprava ktorou sa precizuje zoznam zverejňovaných údajov o vyvlastniteľovi a zosúlaďuje sa s terminológiou § 13 ods. 4 písm. a).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943DB0">
      <w:pPr>
        <w:numPr>
          <w:numId w:val="3"/>
        </w:numPr>
        <w:bidi w:val="0"/>
        <w:rPr>
          <w:rFonts w:ascii="Arial" w:hAnsi="Arial" w:cs="Arial"/>
          <w:sz w:val="20"/>
          <w:szCs w:val="20"/>
          <w:u w:val="single"/>
        </w:rPr>
      </w:pPr>
      <w:r w:rsidRPr="007F26F1">
        <w:rPr>
          <w:rFonts w:ascii="Arial" w:hAnsi="Arial" w:cs="Arial"/>
          <w:sz w:val="20"/>
          <w:szCs w:val="20"/>
          <w:u w:val="single"/>
        </w:rPr>
        <w:t>K čl. I § 13 ods. 2 písm. f)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392C73">
      <w:pPr>
        <w:bidi w:val="0"/>
        <w:jc w:val="both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>V čl. I § 13 ods. 2 písm. f) sa vypúšťajú slová „vo veci“.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</w:rPr>
      </w:pPr>
    </w:p>
    <w:p w:rsidR="007F26F1" w:rsidP="00392C73">
      <w:pPr>
        <w:bidi w:val="0"/>
        <w:ind w:left="2268"/>
        <w:jc w:val="both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>Legislatívno-technická úprava. Vypustenie nadbytočných slov.</w:t>
      </w:r>
    </w:p>
    <w:p w:rsidR="00943DB0" w:rsidP="00943DB0">
      <w:pPr>
        <w:bidi w:val="0"/>
        <w:rPr>
          <w:rFonts w:ascii="Arial" w:hAnsi="Arial" w:cs="Arial"/>
          <w:sz w:val="20"/>
          <w:szCs w:val="20"/>
        </w:rPr>
      </w:pPr>
    </w:p>
    <w:p w:rsidR="00943DB0" w:rsidRPr="00943DB0" w:rsidP="00943DB0">
      <w:pPr>
        <w:widowControl/>
        <w:numPr>
          <w:numId w:val="3"/>
        </w:numPr>
        <w:autoSpaceDE/>
        <w:autoSpaceDN/>
        <w:bidi w:val="0"/>
        <w:adjustRightInd/>
        <w:jc w:val="both"/>
        <w:rPr>
          <w:rFonts w:ascii="Arial" w:hAnsi="Arial" w:cs="Arial"/>
          <w:sz w:val="20"/>
          <w:szCs w:val="20"/>
          <w:u w:val="single"/>
        </w:rPr>
      </w:pPr>
      <w:r w:rsidRPr="00943DB0">
        <w:rPr>
          <w:rFonts w:ascii="Arial" w:hAnsi="Arial" w:cs="Arial"/>
          <w:sz w:val="20"/>
          <w:szCs w:val="20"/>
          <w:u w:val="single"/>
        </w:rPr>
        <w:t>K Čl. I § 9 ods. 3 písm. a)</w:t>
      </w:r>
    </w:p>
    <w:p w:rsidR="00943DB0" w:rsidRPr="00943DB0" w:rsidP="00943DB0">
      <w:pPr>
        <w:bidi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943DB0" w:rsidRPr="00943DB0" w:rsidP="00943DB0">
      <w:pPr>
        <w:bidi w:val="0"/>
        <w:ind w:left="708"/>
        <w:jc w:val="both"/>
        <w:rPr>
          <w:rFonts w:ascii="Arial" w:hAnsi="Arial" w:cs="Arial"/>
          <w:sz w:val="20"/>
          <w:szCs w:val="20"/>
        </w:rPr>
      </w:pPr>
      <w:r w:rsidRPr="00943DB0">
        <w:rPr>
          <w:rFonts w:ascii="Arial" w:hAnsi="Arial" w:cs="Arial"/>
          <w:sz w:val="20"/>
          <w:szCs w:val="20"/>
        </w:rPr>
        <w:t>V Čl. I § 9 ods. 3 písm. a) sa za slová „výpis z listu vlastníctva k nehnuteľnosti“ vkladajú slová „nie starší ako tri mesiace,“</w:t>
      </w:r>
    </w:p>
    <w:p w:rsidR="00943DB0" w:rsidRPr="00943DB0" w:rsidP="00943DB0">
      <w:pPr>
        <w:bidi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943DB0" w:rsidRPr="00943DB0" w:rsidP="00943DB0">
      <w:pPr>
        <w:bidi w:val="0"/>
        <w:ind w:left="2268"/>
        <w:jc w:val="both"/>
        <w:rPr>
          <w:rFonts w:ascii="Arial" w:hAnsi="Arial" w:cs="Arial"/>
          <w:sz w:val="20"/>
          <w:szCs w:val="20"/>
        </w:rPr>
      </w:pPr>
      <w:r w:rsidRPr="00943DB0">
        <w:rPr>
          <w:rFonts w:ascii="Arial" w:hAnsi="Arial" w:cs="Arial"/>
          <w:sz w:val="20"/>
          <w:szCs w:val="20"/>
        </w:rPr>
        <w:t>Legislatívno-technická poznámka v rámci pravdivosti predkladaných dokladov obmedzila ich aktuálnosť konkrétnou lehotou.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943DB0">
      <w:pPr>
        <w:numPr>
          <w:numId w:val="3"/>
        </w:numPr>
        <w:bidi w:val="0"/>
        <w:rPr>
          <w:rFonts w:ascii="Arial" w:hAnsi="Arial" w:cs="Arial"/>
          <w:sz w:val="20"/>
          <w:szCs w:val="20"/>
          <w:u w:val="single"/>
        </w:rPr>
      </w:pPr>
      <w:r w:rsidRPr="007F26F1">
        <w:rPr>
          <w:rFonts w:ascii="Arial" w:hAnsi="Arial" w:cs="Arial"/>
          <w:sz w:val="20"/>
          <w:szCs w:val="20"/>
          <w:u w:val="single"/>
        </w:rPr>
        <w:t>K čl. I § 13 ods. 3 písm. b)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392C73">
      <w:pPr>
        <w:bidi w:val="0"/>
        <w:jc w:val="both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>V čl. I § 13 ods. 3 písm. b) sa slovo „pohľadávkach“ nahrádza slovom „nárokoch“.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1665D9">
      <w:pPr>
        <w:bidi w:val="0"/>
        <w:ind w:left="2268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>Legislatívno-technická úprava ktorou sa zosúlaďuje pojem použitý v návrhu zákona (čl. I § 10 ods. 6).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943DB0">
      <w:pPr>
        <w:numPr>
          <w:numId w:val="3"/>
        </w:numPr>
        <w:bidi w:val="0"/>
        <w:rPr>
          <w:rFonts w:ascii="Arial" w:hAnsi="Arial" w:cs="Arial"/>
          <w:sz w:val="20"/>
          <w:szCs w:val="20"/>
          <w:u w:val="single"/>
        </w:rPr>
      </w:pPr>
      <w:r w:rsidRPr="007F26F1">
        <w:rPr>
          <w:rFonts w:ascii="Arial" w:hAnsi="Arial" w:cs="Arial"/>
          <w:sz w:val="20"/>
          <w:szCs w:val="20"/>
          <w:u w:val="single"/>
        </w:rPr>
        <w:t>K čl. I § 13 ods. 4 písm. a)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7F26F1">
      <w:pPr>
        <w:bidi w:val="0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>V čl. I § 13 ods. 4 písm. a) sa vypúšťa slovo „osobné“.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</w:rPr>
      </w:pPr>
    </w:p>
    <w:p w:rsidR="007F26F1" w:rsidRPr="007F26F1" w:rsidP="009428DF">
      <w:pPr>
        <w:bidi w:val="0"/>
        <w:ind w:left="2268"/>
        <w:jc w:val="both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>Legislatívno-technická úprava.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943DB0">
      <w:pPr>
        <w:numPr>
          <w:numId w:val="3"/>
        </w:numPr>
        <w:bidi w:val="0"/>
        <w:rPr>
          <w:rFonts w:ascii="Arial" w:hAnsi="Arial" w:cs="Arial"/>
          <w:sz w:val="20"/>
          <w:szCs w:val="20"/>
          <w:u w:val="single"/>
        </w:rPr>
      </w:pPr>
      <w:r w:rsidRPr="007F26F1">
        <w:rPr>
          <w:rFonts w:ascii="Arial" w:hAnsi="Arial" w:cs="Arial"/>
          <w:sz w:val="20"/>
          <w:szCs w:val="20"/>
          <w:u w:val="single"/>
        </w:rPr>
        <w:t>K čl. I § 17 ods. 1 až 4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7F26F1">
      <w:pPr>
        <w:bidi w:val="0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>V čl. I § 17 ods. 1 až 4 sa slovo „žiadosť“ vo všetkých tvaroch nahrádza slovom „návrh“ v príslušnom tvare.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</w:rPr>
      </w:pPr>
    </w:p>
    <w:p w:rsidR="007F26F1" w:rsidP="009428DF">
      <w:pPr>
        <w:bidi w:val="0"/>
        <w:ind w:left="2268"/>
        <w:jc w:val="both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>Legislatívno-technická úprava. Zjednocuje sa pojem použitý v návrhu zákona (napr. čl. I § 9).</w:t>
      </w:r>
    </w:p>
    <w:p w:rsidR="00943DB0" w:rsidP="00943DB0">
      <w:pPr>
        <w:bidi w:val="0"/>
        <w:rPr>
          <w:rFonts w:ascii="Arial" w:hAnsi="Arial" w:cs="Arial"/>
          <w:sz w:val="20"/>
          <w:szCs w:val="20"/>
        </w:rPr>
      </w:pPr>
    </w:p>
    <w:p w:rsidR="00943DB0" w:rsidRPr="009428DF" w:rsidP="00943DB0">
      <w:pPr>
        <w:widowControl/>
        <w:numPr>
          <w:numId w:val="3"/>
        </w:numPr>
        <w:autoSpaceDE/>
        <w:autoSpaceDN/>
        <w:bidi w:val="0"/>
        <w:adjustRightInd/>
        <w:jc w:val="both"/>
        <w:rPr>
          <w:rFonts w:ascii="Arial" w:hAnsi="Arial" w:cs="Arial"/>
          <w:sz w:val="20"/>
          <w:szCs w:val="20"/>
          <w:u w:val="single"/>
        </w:rPr>
      </w:pPr>
      <w:r w:rsidRPr="009428DF">
        <w:rPr>
          <w:rFonts w:ascii="Arial" w:hAnsi="Arial" w:cs="Arial"/>
          <w:sz w:val="20"/>
          <w:szCs w:val="20"/>
          <w:u w:val="single"/>
        </w:rPr>
        <w:t>K Čl. II bod 1. § 17 ods. 1</w:t>
      </w:r>
    </w:p>
    <w:p w:rsidR="00943DB0" w:rsidRPr="009428DF" w:rsidP="00943DB0">
      <w:pPr>
        <w:bidi w:val="0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43DB0" w:rsidRPr="009428DF" w:rsidP="00943DB0">
      <w:pPr>
        <w:bidi w:val="0"/>
        <w:ind w:firstLine="708"/>
        <w:jc w:val="both"/>
        <w:rPr>
          <w:rFonts w:ascii="Arial" w:hAnsi="Arial" w:cs="Arial"/>
          <w:sz w:val="20"/>
          <w:szCs w:val="20"/>
        </w:rPr>
      </w:pPr>
      <w:r w:rsidRPr="009428DF">
        <w:rPr>
          <w:rFonts w:ascii="Arial" w:hAnsi="Arial" w:cs="Arial"/>
          <w:sz w:val="20"/>
          <w:szCs w:val="20"/>
        </w:rPr>
        <w:t>V Čl. II § 17 ods. 1 sa slová „Písomný návrh“  nahrádzajú slovami „Písomná výzva“.</w:t>
      </w:r>
    </w:p>
    <w:p w:rsidR="00943DB0" w:rsidRPr="009428DF" w:rsidP="00943DB0">
      <w:pPr>
        <w:bidi w:val="0"/>
        <w:ind w:firstLine="360"/>
        <w:jc w:val="both"/>
        <w:rPr>
          <w:rFonts w:ascii="Arial" w:hAnsi="Arial" w:cs="Arial"/>
          <w:sz w:val="20"/>
          <w:szCs w:val="20"/>
        </w:rPr>
      </w:pPr>
    </w:p>
    <w:p w:rsidR="00943DB0" w:rsidRPr="009428DF" w:rsidP="009428DF">
      <w:pPr>
        <w:bidi w:val="0"/>
        <w:ind w:left="2268"/>
        <w:jc w:val="both"/>
        <w:rPr>
          <w:rFonts w:ascii="Arial" w:hAnsi="Arial" w:cs="Arial"/>
          <w:sz w:val="20"/>
          <w:szCs w:val="20"/>
        </w:rPr>
      </w:pPr>
      <w:r w:rsidRPr="009428DF">
        <w:rPr>
          <w:rFonts w:ascii="Arial" w:hAnsi="Arial" w:cs="Arial"/>
          <w:sz w:val="20"/>
          <w:szCs w:val="20"/>
        </w:rPr>
        <w:t>Legislatívno-technická pripomienka zjednocuje formuláciu použitú v zákone č. 135/1961 v znení neskorších predpisov.</w:t>
      </w:r>
    </w:p>
    <w:p w:rsidR="00943DB0" w:rsidRPr="009428DF" w:rsidP="00943DB0">
      <w:pPr>
        <w:bidi w:val="0"/>
        <w:rPr>
          <w:rFonts w:ascii="Arial" w:hAnsi="Arial" w:cs="Arial"/>
          <w:sz w:val="20"/>
          <w:szCs w:val="20"/>
        </w:rPr>
      </w:pP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943DB0">
      <w:pPr>
        <w:numPr>
          <w:numId w:val="3"/>
        </w:numPr>
        <w:bidi w:val="0"/>
        <w:rPr>
          <w:rFonts w:ascii="Arial" w:hAnsi="Arial" w:cs="Arial"/>
          <w:sz w:val="20"/>
          <w:szCs w:val="20"/>
          <w:u w:val="single"/>
        </w:rPr>
      </w:pPr>
      <w:r w:rsidRPr="007F26F1">
        <w:rPr>
          <w:rFonts w:ascii="Arial" w:hAnsi="Arial" w:cs="Arial"/>
          <w:sz w:val="20"/>
          <w:szCs w:val="20"/>
          <w:u w:val="single"/>
        </w:rPr>
        <w:t>K čl. VII bod 1. § 10a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7F26F1">
      <w:pPr>
        <w:bidi w:val="0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>V čl. VII bod 1. § 10a sa vypúšťajú slová „(ďalej len „adresát“)“.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</w:rPr>
      </w:pPr>
    </w:p>
    <w:p w:rsidR="007F26F1" w:rsidRPr="007F26F1" w:rsidP="001665D9">
      <w:pPr>
        <w:bidi w:val="0"/>
        <w:ind w:left="2268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>Legislatívno-technická úprava. Vypúšťa sa legislatívna skratka, ktorá sa v návrhu zákona ani v pôvodnom zákone nepoužíva.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943DB0">
      <w:pPr>
        <w:numPr>
          <w:numId w:val="3"/>
        </w:numPr>
        <w:bidi w:val="0"/>
        <w:rPr>
          <w:rFonts w:ascii="Arial" w:hAnsi="Arial" w:cs="Arial"/>
          <w:sz w:val="20"/>
          <w:szCs w:val="20"/>
          <w:u w:val="single"/>
        </w:rPr>
      </w:pPr>
      <w:r w:rsidRPr="007F26F1">
        <w:rPr>
          <w:rFonts w:ascii="Arial" w:hAnsi="Arial" w:cs="Arial"/>
          <w:sz w:val="20"/>
          <w:szCs w:val="20"/>
          <w:u w:val="single"/>
        </w:rPr>
        <w:t>K čl. VII bod 1. § 10a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7F26F1">
      <w:pPr>
        <w:bidi w:val="0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>V čl. VII bod 1. § 10a sa vypúšťa posledná veta.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</w:rPr>
      </w:pPr>
    </w:p>
    <w:p w:rsidR="007F26F1" w:rsidRPr="007F26F1" w:rsidP="001665D9">
      <w:pPr>
        <w:bidi w:val="0"/>
        <w:ind w:left="2268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>Vypúšťa sa nadbytočné ustanovenie. Obsah tohto ustanovenia sa aplikuje na základe všeobecnej aplikácie správneho poriadku v zmysle § 11 ods. 2 zákona č. 513/2009 Z. z. o dráhach (čl. VII 2. bod návrhu zákona).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</w:rPr>
      </w:pPr>
    </w:p>
    <w:p w:rsidR="007F26F1" w:rsidRPr="007F26F1" w:rsidP="007F26F1">
      <w:pPr>
        <w:bidi w:val="0"/>
        <w:rPr>
          <w:rFonts w:ascii="Arial" w:hAnsi="Arial" w:cs="Arial"/>
          <w:sz w:val="20"/>
          <w:szCs w:val="20"/>
        </w:rPr>
      </w:pPr>
    </w:p>
    <w:p w:rsidR="007F26F1" w:rsidRPr="007F26F1" w:rsidP="00943DB0">
      <w:pPr>
        <w:numPr>
          <w:numId w:val="3"/>
        </w:numPr>
        <w:bidi w:val="0"/>
        <w:rPr>
          <w:rFonts w:ascii="Arial" w:hAnsi="Arial" w:cs="Arial"/>
          <w:sz w:val="20"/>
          <w:szCs w:val="20"/>
          <w:u w:val="single"/>
        </w:rPr>
      </w:pPr>
      <w:r w:rsidRPr="007F26F1">
        <w:rPr>
          <w:rFonts w:ascii="Arial" w:hAnsi="Arial" w:cs="Arial"/>
          <w:sz w:val="20"/>
          <w:szCs w:val="20"/>
          <w:u w:val="single"/>
        </w:rPr>
        <w:t>K čl. VII bod 1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  <w:u w:val="single"/>
        </w:rPr>
      </w:pPr>
    </w:p>
    <w:p w:rsidR="007F26F1" w:rsidRPr="007F26F1" w:rsidP="007F26F1">
      <w:pPr>
        <w:bidi w:val="0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>V čl. VII bod 1 v poznámke pod čiarou č. 4a sa slová „§ 4 ods. 3“ nahrádzajú slovami „§ 3 ods. 3“.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</w:rPr>
      </w:pPr>
    </w:p>
    <w:p w:rsidR="007F26F1" w:rsidRPr="007F26F1" w:rsidP="001665D9">
      <w:pPr>
        <w:bidi w:val="0"/>
        <w:ind w:left="2268"/>
        <w:rPr>
          <w:rFonts w:ascii="Arial" w:hAnsi="Arial" w:cs="Arial"/>
          <w:sz w:val="20"/>
          <w:szCs w:val="20"/>
        </w:rPr>
      </w:pPr>
      <w:r w:rsidRPr="007F26F1">
        <w:rPr>
          <w:rFonts w:ascii="Arial" w:hAnsi="Arial" w:cs="Arial"/>
          <w:sz w:val="20"/>
          <w:szCs w:val="20"/>
        </w:rPr>
        <w:t>Legislatívno-technická úprava. Oprava nesprávneho odkazu.</w:t>
      </w:r>
    </w:p>
    <w:p w:rsidR="007F26F1" w:rsidRPr="007F26F1" w:rsidP="007F26F1">
      <w:pPr>
        <w:bidi w:val="0"/>
        <w:rPr>
          <w:rFonts w:ascii="Arial" w:hAnsi="Arial" w:cs="Arial"/>
          <w:sz w:val="20"/>
          <w:szCs w:val="20"/>
        </w:rPr>
      </w:pPr>
    </w:p>
    <w:p w:rsidR="005E65F0" w:rsidRPr="007F26F1">
      <w:pPr>
        <w:bidi w:val="0"/>
        <w:rPr>
          <w:rFonts w:ascii="Arial" w:hAnsi="Arial" w:cs="Arial"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07E2"/>
    <w:multiLevelType w:val="hybridMultilevel"/>
    <w:tmpl w:val="D2A6C1B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A825FE1"/>
    <w:multiLevelType w:val="hybridMultilevel"/>
    <w:tmpl w:val="6A803388"/>
    <w:lvl w:ilvl="0">
      <w:start w:val="1"/>
      <w:numFmt w:val="upperLetter"/>
      <w:lvlText w:val="%1."/>
      <w:lvlJc w:val="left"/>
      <w:pPr>
        <w:ind w:left="1637" w:hanging="360"/>
      </w:pPr>
      <w:rPr>
        <w:rFonts w:ascii="Arial" w:hAnsi="Arial" w:cs="Times New Roman"/>
        <w:b/>
        <w:sz w:val="2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59E61533"/>
    <w:multiLevelType w:val="hybridMultilevel"/>
    <w:tmpl w:val="643A78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617A9"/>
    <w:rsid w:val="001665D9"/>
    <w:rsid w:val="002617A9"/>
    <w:rsid w:val="00392C73"/>
    <w:rsid w:val="00497809"/>
    <w:rsid w:val="004B7163"/>
    <w:rsid w:val="004C1D1C"/>
    <w:rsid w:val="005E65F0"/>
    <w:rsid w:val="007F26F1"/>
    <w:rsid w:val="009428DF"/>
    <w:rsid w:val="00943DB0"/>
    <w:rsid w:val="00D03CD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80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497809"/>
    <w:pPr>
      <w:widowControl/>
      <w:autoSpaceDE/>
      <w:autoSpaceDN/>
      <w:adjustRightInd/>
      <w:spacing w:line="360" w:lineRule="auto"/>
      <w:jc w:val="both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497809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497809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1490</Words>
  <Characters>8497</Characters>
  <Application>Microsoft Office Word</Application>
  <DocSecurity>0</DocSecurity>
  <Lines>0</Lines>
  <Paragraphs>0</Paragraphs>
  <ScaleCrop>false</ScaleCrop>
  <Company/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Sándor, Eleonóra, prom. fil.</dc:creator>
  <cp:lastModifiedBy>Šefarová, Jana</cp:lastModifiedBy>
  <cp:revision>2</cp:revision>
  <dcterms:created xsi:type="dcterms:W3CDTF">2015-09-11T10:11:00Z</dcterms:created>
  <dcterms:modified xsi:type="dcterms:W3CDTF">2015-09-11T10:11:00Z</dcterms:modified>
</cp:coreProperties>
</file>