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26839">
        <w:rPr>
          <w:sz w:val="22"/>
          <w:szCs w:val="22"/>
        </w:rPr>
        <w:t>1551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F2683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26839">
        <w:t>1747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26839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26839">
        <w:rPr>
          <w:rFonts w:cs="Arial"/>
          <w:szCs w:val="22"/>
        </w:rPr>
        <w:t>Pavla ABRHANA a Martina FRONCA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26839">
        <w:rPr>
          <w:rFonts w:cs="Arial"/>
          <w:szCs w:val="22"/>
        </w:rPr>
        <w:t xml:space="preserve">zákon č. 150/2013 Z. z. o Štátnom fonde rozvoja bývania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26839">
        <w:rPr>
          <w:rFonts w:cs="Arial"/>
          <w:szCs w:val="22"/>
        </w:rPr>
        <w:t>1687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6839">
        <w:rPr>
          <w:rFonts w:cs="Arial"/>
          <w:szCs w:val="22"/>
        </w:rPr>
        <w:t>26.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2683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2683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26839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26839" w:rsidP="00F2683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F2683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50712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E25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3561B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26839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2015-09-01T13:53:00Z</cp:lastPrinted>
  <dcterms:created xsi:type="dcterms:W3CDTF">2015-09-03T12:14:00Z</dcterms:created>
  <dcterms:modified xsi:type="dcterms:W3CDTF">2015-09-03T12:14:00Z</dcterms:modified>
</cp:coreProperties>
</file>