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47FBC">
        <w:rPr>
          <w:sz w:val="22"/>
          <w:szCs w:val="22"/>
        </w:rPr>
        <w:t>1637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E47FBC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47FBC">
        <w:t>1731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47FBC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47FBC">
        <w:rPr>
          <w:rFonts w:cs="Arial"/>
          <w:noProof/>
          <w:sz w:val="22"/>
          <w:lang w:val="sk-SK"/>
        </w:rPr>
        <w:t>ktorým sa mení zákon č. 434/2010 Z. z. o poskytovaní dotácií v pôsobnosti Ministerstva kultúry Slovenskej republiky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47FBC">
        <w:rPr>
          <w:rFonts w:cs="Arial"/>
          <w:sz w:val="22"/>
          <w:lang w:val="sk-SK"/>
        </w:rPr>
        <w:t>1699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47FBC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47FBC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47FBC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7FBC" w:rsidP="00E47FB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63E37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47FBC"/>
    <w:rsid w:val="00F33F47"/>
    <w:rsid w:val="00FA7274"/>
    <w:rsid w:val="00FC4BA6"/>
    <w:rsid w:val="00FD0D7F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47FB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47FB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2015-09-01T07:41:00Z</cp:lastPrinted>
  <dcterms:created xsi:type="dcterms:W3CDTF">2015-09-03T12:09:00Z</dcterms:created>
  <dcterms:modified xsi:type="dcterms:W3CDTF">2015-09-03T12:09:00Z</dcterms:modified>
</cp:coreProperties>
</file>