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DB2" w:rsidRPr="00A64D2D" w:rsidP="006D7DB2">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6D7DB2" w:rsidRPr="00A64D2D" w:rsidP="006D7DB2">
      <w:pPr>
        <w:widowControl/>
        <w:bidi w:val="0"/>
        <w:jc w:val="both"/>
        <w:rPr>
          <w:rFonts w:ascii="Times New Roman" w:hAnsi="Times New Roman"/>
          <w:color w:val="000000"/>
        </w:rPr>
      </w:pPr>
    </w:p>
    <w:p w:rsidR="006D7DB2" w:rsidRPr="00A64D2D" w:rsidP="006D7DB2">
      <w:pPr>
        <w:widowControl/>
        <w:bidi w:val="0"/>
        <w:jc w:val="both"/>
        <w:rPr>
          <w:rFonts w:ascii="Times New Roman" w:hAnsi="Times New Roman"/>
          <w:color w:val="000000"/>
        </w:rPr>
      </w:pPr>
    </w:p>
    <w:p w:rsidR="006D7DB2" w:rsidP="006D7DB2">
      <w:pPr>
        <w:widowControl/>
        <w:bidi w:val="0"/>
        <w:jc w:val="both"/>
        <w:rPr>
          <w:rFonts w:ascii="Times New Roman" w:hAnsi="Times New Roman"/>
          <w:b/>
          <w:color w:val="000000"/>
        </w:rPr>
      </w:pPr>
      <w:r w:rsidRPr="00A64D2D">
        <w:rPr>
          <w:rFonts w:ascii="Times New Roman" w:hAnsi="Times New Roman"/>
          <w:b/>
          <w:color w:val="000000"/>
        </w:rPr>
        <w:t>A. Všeobecná časť</w:t>
      </w:r>
    </w:p>
    <w:p w:rsidR="006D7DB2" w:rsidP="006D7DB2">
      <w:pPr>
        <w:widowControl/>
        <w:bidi w:val="0"/>
        <w:jc w:val="both"/>
        <w:rPr>
          <w:rFonts w:ascii="Times New Roman" w:hAnsi="Times New Roman"/>
          <w:b/>
          <w:color w:val="000000"/>
        </w:rPr>
      </w:pPr>
    </w:p>
    <w:p w:rsidR="004403FA" w:rsidP="006D7DB2">
      <w:pPr>
        <w:widowControl/>
        <w:bidi w:val="0"/>
        <w:jc w:val="both"/>
        <w:rPr>
          <w:rFonts w:ascii="Times New Roman" w:hAnsi="Times New Roman"/>
          <w:b/>
          <w:color w:val="000000"/>
        </w:rPr>
      </w:pPr>
    </w:p>
    <w:p w:rsidR="006D7DB2" w:rsidRPr="006349AA" w:rsidP="006D7DB2">
      <w:pPr>
        <w:pStyle w:val="NoSpacing"/>
        <w:bidi w:val="0"/>
        <w:ind w:firstLine="360"/>
        <w:jc w:val="both"/>
        <w:rPr>
          <w:rFonts w:ascii="Times New Roman" w:hAnsi="Times New Roman"/>
        </w:rPr>
      </w:pPr>
      <w:r w:rsidRPr="006349AA">
        <w:rPr>
          <w:rFonts w:ascii="Times New Roman" w:hAnsi="Times New Roman"/>
        </w:rPr>
        <w:t>Vláda Slovenskej repu</w:t>
      </w:r>
      <w:r>
        <w:rPr>
          <w:rFonts w:ascii="Times New Roman" w:hAnsi="Times New Roman"/>
        </w:rPr>
        <w:t>bliky (ďalej len „vláda“) sa v P</w:t>
      </w:r>
      <w:r w:rsidRPr="006349AA">
        <w:rPr>
          <w:rFonts w:ascii="Times New Roman" w:hAnsi="Times New Roman"/>
        </w:rPr>
        <w:t>rogramovom vyhlásení vlády Slovenskej republiky na roky 2012 – 2016 (ďalej len „program vlády</w:t>
      </w:r>
      <w:r>
        <w:rPr>
          <w:rFonts w:ascii="Times New Roman" w:hAnsi="Times New Roman"/>
        </w:rPr>
        <w:t>“</w:t>
      </w:r>
      <w:r w:rsidRPr="006349AA">
        <w:rPr>
          <w:rFonts w:ascii="Times New Roman" w:hAnsi="Times New Roman"/>
        </w:rPr>
        <w:t>) zaviazala z verejných zdrojov naďalej podporovať tvorbu nových umeleckých diel, osobitne pôvodnej slovenskej literatúry a kultúrnych aktivít. Zároveň sa zaviazala pretransformovať dotačný systém Ministerstva kultúry Slovenskej republiky (ďalej len „ministerstvo“) na verejnú inštitúciu, ktorej príjmy, určené na podporu slovenskej kultúry budú zabezpečené aj výnosmi z hazardných hier a lotérií. Naplnením tohto záväzku vlády je zriadenie nezávislej verejnoprávnej inštitúcie – Fondu na podporu umenia</w:t>
      </w:r>
      <w:r>
        <w:rPr>
          <w:rFonts w:ascii="Times New Roman" w:hAnsi="Times New Roman"/>
        </w:rPr>
        <w:t xml:space="preserve"> (ďalej len „fond“)</w:t>
      </w:r>
      <w:r w:rsidRPr="006349AA">
        <w:rPr>
          <w:rFonts w:ascii="Times New Roman" w:hAnsi="Times New Roman"/>
        </w:rPr>
        <w:t>, zriadenej zákonom č. 284/2014 Z. z. o Fonde na podporu umenia a o doplnení zákona č.434/2010 Z. z. o poskytovaní dotácií v pôsobnosti Ministerstva kultúry Slovenskej republiky v znení zákona č. 79/2013 Z. z..</w:t>
      </w:r>
    </w:p>
    <w:p w:rsidR="006D7DB2" w:rsidP="006D7DB2">
      <w:pPr>
        <w:pStyle w:val="NoSpacing"/>
        <w:bidi w:val="0"/>
        <w:jc w:val="both"/>
        <w:rPr>
          <w:rFonts w:ascii="Times New Roman" w:hAnsi="Times New Roman"/>
        </w:rPr>
      </w:pPr>
    </w:p>
    <w:p w:rsidR="004403FA" w:rsidRPr="006349AA" w:rsidP="006D7DB2">
      <w:pPr>
        <w:pStyle w:val="NoSpacing"/>
        <w:bidi w:val="0"/>
        <w:jc w:val="both"/>
        <w:rPr>
          <w:rFonts w:ascii="Times New Roman" w:hAnsi="Times New Roman"/>
        </w:rPr>
      </w:pPr>
    </w:p>
    <w:p w:rsidR="006D7DB2" w:rsidRPr="00351A23" w:rsidP="006D7DB2">
      <w:pPr>
        <w:pStyle w:val="NoSpacing"/>
        <w:bidi w:val="0"/>
        <w:jc w:val="both"/>
        <w:rPr>
          <w:rFonts w:ascii="Times New Roman" w:hAnsi="Times New Roman"/>
        </w:rPr>
      </w:pPr>
      <w:r>
        <w:rPr>
          <w:rFonts w:ascii="Times New Roman" w:hAnsi="Times New Roman"/>
          <w:color w:val="800080"/>
        </w:rPr>
        <w:tab/>
      </w:r>
      <w:r w:rsidRPr="00351A23">
        <w:rPr>
          <w:rFonts w:ascii="Times New Roman" w:hAnsi="Times New Roman"/>
        </w:rPr>
        <w:t>Na základe zriadenia fondu prechádzajú niektoré pôsobnosti v oblasti dotácií z ministerstva na fond. Ide o poskytovanie  dotácií na účely</w:t>
      </w:r>
      <w:r>
        <w:rPr>
          <w:rFonts w:ascii="Times New Roman" w:hAnsi="Times New Roman"/>
        </w:rPr>
        <w:t>:</w:t>
      </w:r>
    </w:p>
    <w:p w:rsidR="006D7DB2" w:rsidRPr="00351A23" w:rsidP="006D7DB2">
      <w:pPr>
        <w:pStyle w:val="NoSpacing"/>
        <w:numPr>
          <w:numId w:val="1"/>
        </w:numPr>
        <w:bidi w:val="0"/>
        <w:ind w:left="284" w:hanging="284"/>
        <w:jc w:val="both"/>
        <w:rPr>
          <w:rFonts w:ascii="Times New Roman" w:hAnsi="Times New Roman"/>
        </w:rPr>
      </w:pPr>
      <w:r w:rsidRPr="00351A23">
        <w:rPr>
          <w:rFonts w:ascii="Times New Roman" w:hAnsi="Times New Roman"/>
        </w:rPr>
        <w:t>podpora medzinárodnej spolupráce v oblasti kultúry,</w:t>
      </w:r>
    </w:p>
    <w:p w:rsidR="006D7DB2" w:rsidRPr="00351A23" w:rsidP="006D7DB2">
      <w:pPr>
        <w:pStyle w:val="NoSpacing"/>
        <w:numPr>
          <w:numId w:val="1"/>
        </w:numPr>
        <w:bidi w:val="0"/>
        <w:ind w:left="284" w:hanging="284"/>
        <w:jc w:val="both"/>
        <w:rPr>
          <w:rFonts w:ascii="Times New Roman" w:hAnsi="Times New Roman"/>
        </w:rPr>
      </w:pPr>
      <w:r w:rsidRPr="00351A23">
        <w:rPr>
          <w:rFonts w:ascii="Times New Roman" w:hAnsi="Times New Roman"/>
        </w:rPr>
        <w:t>kultúrna tvorivosť a voľnočasová kultúrna aktivita,</w:t>
      </w:r>
    </w:p>
    <w:p w:rsidR="006D7DB2" w:rsidRPr="00351A23" w:rsidP="006D7DB2">
      <w:pPr>
        <w:pStyle w:val="NoSpacing"/>
        <w:numPr>
          <w:numId w:val="1"/>
        </w:numPr>
        <w:bidi w:val="0"/>
        <w:ind w:left="284" w:hanging="284"/>
        <w:jc w:val="both"/>
        <w:rPr>
          <w:rFonts w:ascii="Times New Roman" w:hAnsi="Times New Roman"/>
        </w:rPr>
      </w:pPr>
      <w:r w:rsidRPr="00351A23">
        <w:rPr>
          <w:rFonts w:ascii="Times New Roman" w:hAnsi="Times New Roman"/>
        </w:rPr>
        <w:t>vzdelávací program v kultúre,</w:t>
      </w:r>
    </w:p>
    <w:p w:rsidR="006D7DB2" w:rsidRPr="00351A23" w:rsidP="006D7DB2">
      <w:pPr>
        <w:pStyle w:val="NoSpacing"/>
        <w:numPr>
          <w:numId w:val="1"/>
        </w:numPr>
        <w:bidi w:val="0"/>
        <w:ind w:left="284" w:hanging="284"/>
        <w:jc w:val="both"/>
        <w:rPr>
          <w:rFonts w:ascii="Times New Roman" w:hAnsi="Times New Roman"/>
        </w:rPr>
      </w:pPr>
      <w:r w:rsidRPr="00351A23">
        <w:rPr>
          <w:rFonts w:ascii="Times New Roman" w:hAnsi="Times New Roman"/>
        </w:rPr>
        <w:t xml:space="preserve">podpora projektu, na ktorého realizáciu získal žiadateľ grant z Európskej únie prostredníctvom programu vytvoreného Európskou úniou pre kultúrne odvetvia a kultúrne subjekty, ak takýto projekt prispieva k praktickej realizácii cieľov Európskej únie vo vzťahu k Slovenskej republike. </w:t>
      </w:r>
    </w:p>
    <w:p w:rsidR="006D7DB2" w:rsidRPr="00351A23" w:rsidP="006D7DB2">
      <w:pPr>
        <w:pStyle w:val="NoSpacing"/>
        <w:bidi w:val="0"/>
        <w:ind w:firstLine="284"/>
        <w:jc w:val="both"/>
        <w:rPr>
          <w:rFonts w:ascii="Times New Roman" w:hAnsi="Times New Roman"/>
        </w:rPr>
      </w:pPr>
      <w:r w:rsidRPr="00351A23">
        <w:rPr>
          <w:rFonts w:ascii="Times New Roman" w:hAnsi="Times New Roman"/>
        </w:rPr>
        <w:t>Účel poskytovanie dotácií na čiastkové projekty súvisiace s projektom Európske hlavné mesto kultúry sa vypúšťa z dôvodu ukončenia projektu Európske hlavné mesto kultúry 2013 – Košice.</w:t>
      </w:r>
    </w:p>
    <w:p w:rsidR="006D7DB2" w:rsidP="006D7DB2">
      <w:pPr>
        <w:tabs>
          <w:tab w:val="left" w:pos="0"/>
        </w:tabs>
        <w:autoSpaceDE w:val="0"/>
        <w:autoSpaceDN w:val="0"/>
        <w:bidi w:val="0"/>
        <w:jc w:val="both"/>
        <w:rPr>
          <w:rFonts w:ascii="Times New Roman" w:hAnsi="Times New Roman"/>
        </w:rPr>
      </w:pPr>
      <w:r w:rsidRPr="00351A23">
        <w:rPr>
          <w:rFonts w:ascii="Times New Roman" w:hAnsi="Times New Roman"/>
        </w:rPr>
        <w:tab/>
        <w:t xml:space="preserve">Z toho dôvodu sa navrhujú v Čl. I zmeny zákona č. 434/2010 Z. z. o poskytovaní dotácií v pôsobnosti Ministerstva kultúry Slovenskej republiky v znení neskorších predpisov a ktorým sa menia a dopĺňajú niektoré zákony. </w:t>
      </w:r>
    </w:p>
    <w:p w:rsidR="006D7DB2" w:rsidP="006D7DB2">
      <w:pPr>
        <w:tabs>
          <w:tab w:val="left" w:pos="0"/>
        </w:tabs>
        <w:autoSpaceDE w:val="0"/>
        <w:autoSpaceDN w:val="0"/>
        <w:bidi w:val="0"/>
        <w:jc w:val="both"/>
        <w:rPr>
          <w:rFonts w:ascii="Times New Roman" w:hAnsi="Times New Roman"/>
        </w:rPr>
      </w:pPr>
    </w:p>
    <w:p w:rsidR="004403FA" w:rsidRPr="00351A23" w:rsidP="006D7DB2">
      <w:pPr>
        <w:tabs>
          <w:tab w:val="left" w:pos="0"/>
        </w:tabs>
        <w:autoSpaceDE w:val="0"/>
        <w:autoSpaceDN w:val="0"/>
        <w:bidi w:val="0"/>
        <w:jc w:val="both"/>
        <w:rPr>
          <w:rFonts w:ascii="Times New Roman" w:hAnsi="Times New Roman"/>
        </w:rPr>
      </w:pPr>
    </w:p>
    <w:p w:rsidR="006D7DB2" w:rsidP="006D7DB2">
      <w:pPr>
        <w:pStyle w:val="FootnoteText"/>
        <w:bidi w:val="0"/>
        <w:ind w:firstLine="708"/>
        <w:jc w:val="both"/>
        <w:rPr>
          <w:rFonts w:ascii="Times New Roman" w:hAnsi="Times New Roman"/>
          <w:sz w:val="24"/>
          <w:szCs w:val="24"/>
        </w:rPr>
      </w:pPr>
      <w:r w:rsidRPr="00536F9C">
        <w:rPr>
          <w:rFonts w:ascii="Times New Roman" w:hAnsi="Times New Roman"/>
          <w:sz w:val="24"/>
          <w:szCs w:val="24"/>
        </w:rPr>
        <w:t>V </w:t>
      </w:r>
      <w:r w:rsidRPr="00536F9C">
        <w:rPr>
          <w:rFonts w:ascii="Times New Roman" w:hAnsi="Times New Roman" w:hint="default"/>
          <w:sz w:val="24"/>
          <w:szCs w:val="24"/>
        </w:rPr>
        <w:t>programe vlá</w:t>
      </w:r>
      <w:r w:rsidRPr="00536F9C">
        <w:rPr>
          <w:rFonts w:ascii="Times New Roman" w:hAnsi="Times New Roman" w:hint="default"/>
          <w:sz w:val="24"/>
          <w:szCs w:val="24"/>
        </w:rPr>
        <w:t>dy sa vlá</w:t>
      </w:r>
      <w:r w:rsidRPr="00536F9C">
        <w:rPr>
          <w:rFonts w:ascii="Times New Roman" w:hAnsi="Times New Roman" w:hint="default"/>
          <w:sz w:val="24"/>
          <w:szCs w:val="24"/>
        </w:rPr>
        <w:t>da tiež</w:t>
      </w:r>
      <w:r w:rsidRPr="00536F9C">
        <w:rPr>
          <w:rFonts w:ascii="Times New Roman" w:hAnsi="Times New Roman" w:hint="default"/>
          <w:sz w:val="24"/>
          <w:szCs w:val="24"/>
        </w:rPr>
        <w:t xml:space="preserve"> zaviazala zlepš</w:t>
      </w:r>
      <w:r w:rsidRPr="00536F9C">
        <w:rPr>
          <w:rFonts w:ascii="Times New Roman" w:hAnsi="Times New Roman" w:hint="default"/>
          <w:sz w:val="24"/>
          <w:szCs w:val="24"/>
        </w:rPr>
        <w:t>iť</w:t>
      </w:r>
      <w:r w:rsidRPr="00536F9C">
        <w:rPr>
          <w:rFonts w:ascii="Times New Roman" w:hAnsi="Times New Roman" w:hint="default"/>
          <w:sz w:val="24"/>
          <w:szCs w:val="24"/>
        </w:rPr>
        <w:t xml:space="preserve"> prá</w:t>
      </w:r>
      <w:r w:rsidRPr="00536F9C">
        <w:rPr>
          <w:rFonts w:ascii="Times New Roman" w:hAnsi="Times New Roman" w:hint="default"/>
          <w:sz w:val="24"/>
          <w:szCs w:val="24"/>
        </w:rPr>
        <w:t>vne a </w:t>
      </w:r>
      <w:r w:rsidRPr="00536F9C">
        <w:rPr>
          <w:rFonts w:ascii="Times New Roman" w:hAnsi="Times New Roman" w:hint="default"/>
          <w:sz w:val="24"/>
          <w:szCs w:val="24"/>
        </w:rPr>
        <w:t>sociá</w:t>
      </w:r>
      <w:r w:rsidRPr="00536F9C">
        <w:rPr>
          <w:rFonts w:ascii="Times New Roman" w:hAnsi="Times New Roman" w:hint="default"/>
          <w:sz w:val="24"/>
          <w:szCs w:val="24"/>
        </w:rPr>
        <w:t>lne postavenie umelcov a </w:t>
      </w:r>
      <w:r w:rsidRPr="00536F9C">
        <w:rPr>
          <w:rFonts w:ascii="Times New Roman" w:hAnsi="Times New Roman" w:hint="default"/>
          <w:sz w:val="24"/>
          <w:szCs w:val="24"/>
        </w:rPr>
        <w:t>kultú</w:t>
      </w:r>
      <w:r w:rsidRPr="00536F9C">
        <w:rPr>
          <w:rFonts w:ascii="Times New Roman" w:hAnsi="Times New Roman" w:hint="default"/>
          <w:sz w:val="24"/>
          <w:szCs w:val="24"/>
        </w:rPr>
        <w:t>rnych pracovní</w:t>
      </w:r>
      <w:r w:rsidRPr="00536F9C">
        <w:rPr>
          <w:rFonts w:ascii="Times New Roman" w:hAnsi="Times New Roman" w:hint="default"/>
          <w:sz w:val="24"/>
          <w:szCs w:val="24"/>
        </w:rPr>
        <w:t>kov v </w:t>
      </w:r>
      <w:r w:rsidRPr="00536F9C">
        <w:rPr>
          <w:rFonts w:ascii="Times New Roman" w:hAnsi="Times New Roman" w:hint="default"/>
          <w:sz w:val="24"/>
          <w:szCs w:val="24"/>
        </w:rPr>
        <w:t>spoloč</w:t>
      </w:r>
      <w:r w:rsidRPr="00536F9C">
        <w:rPr>
          <w:rFonts w:ascii="Times New Roman" w:hAnsi="Times New Roman" w:hint="default"/>
          <w:sz w:val="24"/>
          <w:szCs w:val="24"/>
        </w:rPr>
        <w:t>nosti vrá</w:t>
      </w:r>
      <w:r w:rsidRPr="00536F9C">
        <w:rPr>
          <w:rFonts w:ascii="Times New Roman" w:hAnsi="Times New Roman" w:hint="default"/>
          <w:sz w:val="24"/>
          <w:szCs w:val="24"/>
        </w:rPr>
        <w:t>tane umelcov v </w:t>
      </w:r>
      <w:r w:rsidRPr="00536F9C">
        <w:rPr>
          <w:rFonts w:ascii="Times New Roman" w:hAnsi="Times New Roman" w:hint="default"/>
          <w:sz w:val="24"/>
          <w:szCs w:val="24"/>
        </w:rPr>
        <w:t>slobodnom povolaní</w:t>
      </w:r>
      <w:r w:rsidRPr="00536F9C">
        <w:rPr>
          <w:rFonts w:ascii="Times New Roman" w:hAnsi="Times New Roman" w:hint="default"/>
          <w:sz w:val="24"/>
          <w:szCs w:val="24"/>
        </w:rPr>
        <w:t>, reví</w:t>
      </w:r>
      <w:r w:rsidRPr="00536F9C">
        <w:rPr>
          <w:rFonts w:ascii="Times New Roman" w:hAnsi="Times New Roman" w:hint="default"/>
          <w:sz w:val="24"/>
          <w:szCs w:val="24"/>
        </w:rPr>
        <w:t>ziou politiky odmeň</w:t>
      </w:r>
      <w:r w:rsidRPr="00536F9C">
        <w:rPr>
          <w:rFonts w:ascii="Times New Roman" w:hAnsi="Times New Roman" w:hint="default"/>
          <w:sz w:val="24"/>
          <w:szCs w:val="24"/>
        </w:rPr>
        <w:t>ovania v </w:t>
      </w:r>
      <w:r w:rsidRPr="00536F9C">
        <w:rPr>
          <w:rFonts w:ascii="Times New Roman" w:hAnsi="Times New Roman" w:hint="default"/>
          <w:sz w:val="24"/>
          <w:szCs w:val="24"/>
        </w:rPr>
        <w:t>rezorte kultú</w:t>
      </w:r>
      <w:r w:rsidRPr="00536F9C">
        <w:rPr>
          <w:rFonts w:ascii="Times New Roman" w:hAnsi="Times New Roman" w:hint="default"/>
          <w:sz w:val="24"/>
          <w:szCs w:val="24"/>
        </w:rPr>
        <w:t>ry, ako aj zreá</w:t>
      </w:r>
      <w:r w:rsidRPr="00536F9C">
        <w:rPr>
          <w:rFonts w:ascii="Times New Roman" w:hAnsi="Times New Roman" w:hint="default"/>
          <w:sz w:val="24"/>
          <w:szCs w:val="24"/>
        </w:rPr>
        <w:t>lnení</w:t>
      </w:r>
      <w:r w:rsidRPr="00536F9C">
        <w:rPr>
          <w:rFonts w:ascii="Times New Roman" w:hAnsi="Times New Roman" w:hint="default"/>
          <w:sz w:val="24"/>
          <w:szCs w:val="24"/>
        </w:rPr>
        <w:t>m daň</w:t>
      </w:r>
      <w:r w:rsidRPr="00536F9C">
        <w:rPr>
          <w:rFonts w:ascii="Times New Roman" w:hAnsi="Times New Roman" w:hint="default"/>
          <w:sz w:val="24"/>
          <w:szCs w:val="24"/>
        </w:rPr>
        <w:t>ové</w:t>
      </w:r>
      <w:r w:rsidRPr="00536F9C">
        <w:rPr>
          <w:rFonts w:ascii="Times New Roman" w:hAnsi="Times New Roman" w:hint="default"/>
          <w:sz w:val="24"/>
          <w:szCs w:val="24"/>
        </w:rPr>
        <w:t>ho a </w:t>
      </w:r>
      <w:r w:rsidRPr="00536F9C">
        <w:rPr>
          <w:rFonts w:ascii="Times New Roman" w:hAnsi="Times New Roman" w:hint="default"/>
          <w:sz w:val="24"/>
          <w:szCs w:val="24"/>
        </w:rPr>
        <w:t>odvodové</w:t>
      </w:r>
      <w:r w:rsidRPr="00536F9C">
        <w:rPr>
          <w:rFonts w:ascii="Times New Roman" w:hAnsi="Times New Roman" w:hint="default"/>
          <w:sz w:val="24"/>
          <w:szCs w:val="24"/>
        </w:rPr>
        <w:t>ho zať</w:t>
      </w:r>
      <w:r w:rsidRPr="00536F9C">
        <w:rPr>
          <w:rFonts w:ascii="Times New Roman" w:hAnsi="Times New Roman" w:hint="default"/>
          <w:sz w:val="24"/>
          <w:szCs w:val="24"/>
        </w:rPr>
        <w:t>a</w:t>
      </w:r>
      <w:r w:rsidRPr="00536F9C">
        <w:rPr>
          <w:rFonts w:ascii="Times New Roman" w:hAnsi="Times New Roman" w:hint="default"/>
          <w:sz w:val="24"/>
          <w:szCs w:val="24"/>
        </w:rPr>
        <w:t>ž</w:t>
      </w:r>
      <w:r w:rsidRPr="00536F9C">
        <w:rPr>
          <w:rFonts w:ascii="Times New Roman" w:hAnsi="Times New Roman" w:hint="default"/>
          <w:sz w:val="24"/>
          <w:szCs w:val="24"/>
        </w:rPr>
        <w:t>enia umelecký</w:t>
      </w:r>
      <w:r w:rsidRPr="00536F9C">
        <w:rPr>
          <w:rFonts w:ascii="Times New Roman" w:hAnsi="Times New Roman" w:hint="default"/>
          <w:sz w:val="24"/>
          <w:szCs w:val="24"/>
        </w:rPr>
        <w:t>ch pracovní</w:t>
      </w:r>
      <w:r w:rsidRPr="00536F9C">
        <w:rPr>
          <w:rFonts w:ascii="Times New Roman" w:hAnsi="Times New Roman" w:hint="default"/>
          <w:sz w:val="24"/>
          <w:szCs w:val="24"/>
        </w:rPr>
        <w:t>kov vzhľ</w:t>
      </w:r>
      <w:r w:rsidRPr="00536F9C">
        <w:rPr>
          <w:rFonts w:ascii="Times New Roman" w:hAnsi="Times New Roman" w:hint="default"/>
          <w:sz w:val="24"/>
          <w:szCs w:val="24"/>
        </w:rPr>
        <w:t>adom na š</w:t>
      </w:r>
      <w:r w:rsidRPr="00536F9C">
        <w:rPr>
          <w:rFonts w:ascii="Times New Roman" w:hAnsi="Times New Roman" w:hint="default"/>
          <w:sz w:val="24"/>
          <w:szCs w:val="24"/>
        </w:rPr>
        <w:t>pecifickosť</w:t>
      </w:r>
      <w:r w:rsidRPr="00536F9C">
        <w:rPr>
          <w:rFonts w:ascii="Times New Roman" w:hAnsi="Times New Roman" w:hint="default"/>
          <w:sz w:val="24"/>
          <w:szCs w:val="24"/>
        </w:rPr>
        <w:t xml:space="preserve"> ich č</w:t>
      </w:r>
      <w:r w:rsidRPr="00536F9C">
        <w:rPr>
          <w:rFonts w:ascii="Times New Roman" w:hAnsi="Times New Roman" w:hint="default"/>
          <w:sz w:val="24"/>
          <w:szCs w:val="24"/>
        </w:rPr>
        <w:t>innosti. Z </w:t>
      </w:r>
      <w:r w:rsidRPr="00536F9C">
        <w:rPr>
          <w:rFonts w:ascii="Times New Roman" w:hAnsi="Times New Roman" w:hint="default"/>
          <w:sz w:val="24"/>
          <w:szCs w:val="24"/>
        </w:rPr>
        <w:t>uvedené</w:t>
      </w:r>
      <w:r w:rsidRPr="00536F9C">
        <w:rPr>
          <w:rFonts w:ascii="Times New Roman" w:hAnsi="Times New Roman" w:hint="default"/>
          <w:sz w:val="24"/>
          <w:szCs w:val="24"/>
        </w:rPr>
        <w:t>ho zá</w:t>
      </w:r>
      <w:r w:rsidRPr="00536F9C">
        <w:rPr>
          <w:rFonts w:ascii="Times New Roman" w:hAnsi="Times New Roman" w:hint="default"/>
          <w:sz w:val="24"/>
          <w:szCs w:val="24"/>
        </w:rPr>
        <w:t>vä</w:t>
      </w:r>
      <w:r w:rsidRPr="00536F9C">
        <w:rPr>
          <w:rFonts w:ascii="Times New Roman" w:hAnsi="Times New Roman" w:hint="default"/>
          <w:sz w:val="24"/>
          <w:szCs w:val="24"/>
        </w:rPr>
        <w:t>zku vlá</w:t>
      </w:r>
      <w:r w:rsidRPr="00536F9C">
        <w:rPr>
          <w:rFonts w:ascii="Times New Roman" w:hAnsi="Times New Roman" w:hint="default"/>
          <w:sz w:val="24"/>
          <w:szCs w:val="24"/>
        </w:rPr>
        <w:t>dy a v </w:t>
      </w:r>
      <w:r w:rsidRPr="00536F9C">
        <w:rPr>
          <w:rFonts w:ascii="Times New Roman" w:hAnsi="Times New Roman" w:hint="default"/>
          <w:sz w:val="24"/>
          <w:szCs w:val="24"/>
        </w:rPr>
        <w:t>nadvä</w:t>
      </w:r>
      <w:r w:rsidRPr="00536F9C">
        <w:rPr>
          <w:rFonts w:ascii="Times New Roman" w:hAnsi="Times New Roman" w:hint="default"/>
          <w:sz w:val="24"/>
          <w:szCs w:val="24"/>
        </w:rPr>
        <w:t>znosti na zá</w:t>
      </w:r>
      <w:r w:rsidRPr="00536F9C">
        <w:rPr>
          <w:rFonts w:ascii="Times New Roman" w:hAnsi="Times New Roman" w:hint="default"/>
          <w:sz w:val="24"/>
          <w:szCs w:val="24"/>
        </w:rPr>
        <w:t>vä</w:t>
      </w:r>
      <w:r w:rsidRPr="00536F9C">
        <w:rPr>
          <w:rFonts w:ascii="Times New Roman" w:hAnsi="Times New Roman" w:hint="default"/>
          <w:sz w:val="24"/>
          <w:szCs w:val="24"/>
        </w:rPr>
        <w:t>zky, ktoré</w:t>
      </w:r>
      <w:r w:rsidRPr="00536F9C">
        <w:rPr>
          <w:rFonts w:ascii="Times New Roman" w:hAnsi="Times New Roman" w:hint="default"/>
          <w:sz w:val="24"/>
          <w:szCs w:val="24"/>
        </w:rPr>
        <w:t xml:space="preserve"> Slovenská</w:t>
      </w:r>
      <w:r w:rsidRPr="00536F9C">
        <w:rPr>
          <w:rFonts w:ascii="Times New Roman" w:hAnsi="Times New Roman" w:hint="default"/>
          <w:sz w:val="24"/>
          <w:szCs w:val="24"/>
        </w:rPr>
        <w:t xml:space="preserve"> republika prevzala ratifiká</w:t>
      </w:r>
      <w:r w:rsidRPr="00536F9C">
        <w:rPr>
          <w:rFonts w:ascii="Times New Roman" w:hAnsi="Times New Roman" w:hint="default"/>
          <w:sz w:val="24"/>
          <w:szCs w:val="24"/>
        </w:rPr>
        <w:t xml:space="preserve">ciou </w:t>
      </w:r>
      <w:r>
        <w:rPr>
          <w:rFonts w:ascii="Times New Roman" w:hAnsi="Times New Roman"/>
          <w:sz w:val="24"/>
          <w:szCs w:val="24"/>
        </w:rPr>
        <w:t>Dohovoru o ochrane a podpore</w:t>
      </w:r>
      <w:r w:rsidRPr="00536F9C">
        <w:rPr>
          <w:rFonts w:ascii="Times New Roman" w:hAnsi="Times New Roman" w:hint="default"/>
          <w:sz w:val="24"/>
          <w:szCs w:val="24"/>
        </w:rPr>
        <w:t xml:space="preserve"> rozmanitosti kultú</w:t>
      </w:r>
      <w:r w:rsidRPr="00536F9C">
        <w:rPr>
          <w:rFonts w:ascii="Times New Roman" w:hAnsi="Times New Roman" w:hint="default"/>
          <w:sz w:val="24"/>
          <w:szCs w:val="24"/>
        </w:rPr>
        <w:t>rnych prejavov,</w:t>
      </w:r>
      <w:r>
        <w:rPr>
          <w:rFonts w:ascii="Times New Roman" w:hAnsi="Times New Roman"/>
          <w:sz w:val="24"/>
          <w:szCs w:val="24"/>
        </w:rPr>
        <w:t xml:space="preserve"> </w:t>
      </w:r>
      <w:r w:rsidRPr="00536F9C">
        <w:rPr>
          <w:rFonts w:ascii="Times New Roman" w:hAnsi="Times New Roman" w:hint="default"/>
          <w:sz w:val="24"/>
          <w:szCs w:val="24"/>
        </w:rPr>
        <w:t>vyplý</w:t>
      </w:r>
      <w:r w:rsidRPr="00536F9C">
        <w:rPr>
          <w:rFonts w:ascii="Times New Roman" w:hAnsi="Times New Roman" w:hint="default"/>
          <w:sz w:val="24"/>
          <w:szCs w:val="24"/>
        </w:rPr>
        <w:t>va potreba legisla</w:t>
      </w:r>
      <w:r w:rsidRPr="00536F9C">
        <w:rPr>
          <w:rFonts w:ascii="Times New Roman" w:hAnsi="Times New Roman" w:hint="default"/>
          <w:sz w:val="24"/>
          <w:szCs w:val="24"/>
        </w:rPr>
        <w:t>tí</w:t>
      </w:r>
      <w:r w:rsidRPr="00536F9C">
        <w:rPr>
          <w:rFonts w:ascii="Times New Roman" w:hAnsi="Times New Roman" w:hint="default"/>
          <w:sz w:val="24"/>
          <w:szCs w:val="24"/>
        </w:rPr>
        <w:t>vneho rieš</w:t>
      </w:r>
      <w:r w:rsidRPr="00536F9C">
        <w:rPr>
          <w:rFonts w:ascii="Times New Roman" w:hAnsi="Times New Roman" w:hint="default"/>
          <w:sz w:val="24"/>
          <w:szCs w:val="24"/>
        </w:rPr>
        <w:t>enia statusu umelcov. Keďž</w:t>
      </w:r>
      <w:r w:rsidRPr="00536F9C">
        <w:rPr>
          <w:rFonts w:ascii="Times New Roman" w:hAnsi="Times New Roman" w:hint="default"/>
          <w:sz w:val="24"/>
          <w:szCs w:val="24"/>
        </w:rPr>
        <w:t>e novozriadený</w:t>
      </w:r>
      <w:r w:rsidRPr="00536F9C">
        <w:rPr>
          <w:rFonts w:ascii="Times New Roman" w:hAnsi="Times New Roman" w:hint="default"/>
          <w:sz w:val="24"/>
          <w:szCs w:val="24"/>
        </w:rPr>
        <w:t xml:space="preserve"> fond je inš</w:t>
      </w:r>
      <w:r w:rsidRPr="00536F9C">
        <w:rPr>
          <w:rFonts w:ascii="Times New Roman" w:hAnsi="Times New Roman" w:hint="default"/>
          <w:sz w:val="24"/>
          <w:szCs w:val="24"/>
        </w:rPr>
        <w:t>titú</w:t>
      </w:r>
      <w:r w:rsidRPr="00536F9C">
        <w:rPr>
          <w:rFonts w:ascii="Times New Roman" w:hAnsi="Times New Roman" w:hint="default"/>
          <w:sz w:val="24"/>
          <w:szCs w:val="24"/>
        </w:rPr>
        <w:t>ciou na podporu umenia, navrhuje sa, aby niektoré</w:t>
      </w:r>
      <w:r w:rsidRPr="00536F9C">
        <w:rPr>
          <w:rFonts w:ascii="Times New Roman" w:hAnsi="Times New Roman" w:hint="default"/>
          <w:sz w:val="24"/>
          <w:szCs w:val="24"/>
        </w:rPr>
        <w:t xml:space="preserve"> podporné</w:t>
      </w:r>
      <w:r w:rsidRPr="00536F9C">
        <w:rPr>
          <w:rFonts w:ascii="Times New Roman" w:hAnsi="Times New Roman" w:hint="default"/>
          <w:sz w:val="24"/>
          <w:szCs w:val="24"/>
        </w:rPr>
        <w:t xml:space="preserve"> aktivity voč</w:t>
      </w:r>
      <w:r w:rsidRPr="00536F9C">
        <w:rPr>
          <w:rFonts w:ascii="Times New Roman" w:hAnsi="Times New Roman" w:hint="default"/>
          <w:sz w:val="24"/>
          <w:szCs w:val="24"/>
        </w:rPr>
        <w:t>i umelcom</w:t>
      </w:r>
      <w:r>
        <w:rPr>
          <w:rFonts w:ascii="Times New Roman" w:hAnsi="Times New Roman"/>
          <w:sz w:val="24"/>
          <w:szCs w:val="24"/>
        </w:rPr>
        <w:t xml:space="preserve"> prevzal tento fond. Z </w:t>
      </w:r>
      <w:r>
        <w:rPr>
          <w:rFonts w:ascii="Times New Roman" w:hAnsi="Times New Roman" w:hint="default"/>
          <w:sz w:val="24"/>
          <w:szCs w:val="24"/>
        </w:rPr>
        <w:t>toho vyplý</w:t>
      </w:r>
      <w:r>
        <w:rPr>
          <w:rFonts w:ascii="Times New Roman" w:hAnsi="Times New Roman" w:hint="default"/>
          <w:sz w:val="24"/>
          <w:szCs w:val="24"/>
        </w:rPr>
        <w:t>va potreba novelizá</w:t>
      </w:r>
      <w:r>
        <w:rPr>
          <w:rFonts w:ascii="Times New Roman" w:hAnsi="Times New Roman" w:hint="default"/>
          <w:sz w:val="24"/>
          <w:szCs w:val="24"/>
        </w:rPr>
        <w:t>cie</w:t>
      </w:r>
      <w:r w:rsidRPr="00381DEA">
        <w:rPr>
          <w:rFonts w:ascii="Times New Roman" w:hAnsi="Times New Roman" w:hint="default"/>
          <w:sz w:val="24"/>
          <w:szCs w:val="24"/>
        </w:rPr>
        <w:t xml:space="preserve"> zá</w:t>
      </w:r>
      <w:r w:rsidRPr="00381DEA">
        <w:rPr>
          <w:rFonts w:ascii="Times New Roman" w:hAnsi="Times New Roman" w:hint="default"/>
          <w:sz w:val="24"/>
          <w:szCs w:val="24"/>
        </w:rPr>
        <w:t>kona č</w:t>
      </w:r>
      <w:r w:rsidRPr="00381DEA">
        <w:rPr>
          <w:rFonts w:ascii="Times New Roman" w:hAnsi="Times New Roman" w:hint="default"/>
          <w:sz w:val="24"/>
          <w:szCs w:val="24"/>
        </w:rPr>
        <w:t>. 284/2014 Z. z. o Fonde na podporu umenia a</w:t>
      </w:r>
      <w:r w:rsidRPr="00381DEA">
        <w:rPr>
          <w:rFonts w:ascii="Times New Roman" w:hAnsi="Times New Roman" w:hint="default"/>
          <w:sz w:val="24"/>
          <w:szCs w:val="24"/>
        </w:rPr>
        <w:t xml:space="preserve"> o </w:t>
      </w:r>
      <w:r w:rsidRPr="00381DEA">
        <w:rPr>
          <w:rFonts w:ascii="Times New Roman" w:hAnsi="Times New Roman" w:hint="default"/>
          <w:sz w:val="24"/>
          <w:szCs w:val="24"/>
        </w:rPr>
        <w:t>zmene a doplnení</w:t>
      </w:r>
      <w:r w:rsidRPr="00381DEA">
        <w:rPr>
          <w:rFonts w:ascii="Times New Roman" w:hAnsi="Times New Roman" w:hint="default"/>
          <w:sz w:val="24"/>
          <w:szCs w:val="24"/>
        </w:rPr>
        <w:t xml:space="preserve"> zá</w:t>
      </w:r>
      <w:r w:rsidRPr="00381DEA">
        <w:rPr>
          <w:rFonts w:ascii="Times New Roman" w:hAnsi="Times New Roman" w:hint="default"/>
          <w:sz w:val="24"/>
          <w:szCs w:val="24"/>
        </w:rPr>
        <w:t>kona č. </w:t>
      </w:r>
      <w:r w:rsidRPr="00381DEA">
        <w:rPr>
          <w:rFonts w:ascii="Times New Roman" w:hAnsi="Times New Roman" w:hint="default"/>
          <w:sz w:val="24"/>
          <w:szCs w:val="24"/>
        </w:rPr>
        <w:t>434/2010 Z. z. o </w:t>
      </w:r>
      <w:r w:rsidRPr="00381DEA">
        <w:rPr>
          <w:rFonts w:ascii="Times New Roman" w:hAnsi="Times New Roman" w:hint="default"/>
          <w:sz w:val="24"/>
          <w:szCs w:val="24"/>
        </w:rPr>
        <w:t>poskytovaní</w:t>
      </w:r>
      <w:r w:rsidRPr="00381DEA">
        <w:rPr>
          <w:rFonts w:ascii="Times New Roman" w:hAnsi="Times New Roman" w:hint="default"/>
          <w:sz w:val="24"/>
          <w:szCs w:val="24"/>
        </w:rPr>
        <w:t xml:space="preserve"> dotá</w:t>
      </w:r>
      <w:r w:rsidRPr="00381DEA">
        <w:rPr>
          <w:rFonts w:ascii="Times New Roman" w:hAnsi="Times New Roman" w:hint="default"/>
          <w:sz w:val="24"/>
          <w:szCs w:val="24"/>
        </w:rPr>
        <w:t>cií</w:t>
      </w:r>
      <w:r w:rsidRPr="00381DEA">
        <w:rPr>
          <w:rFonts w:ascii="Times New Roman" w:hAnsi="Times New Roman" w:hint="default"/>
          <w:sz w:val="24"/>
          <w:szCs w:val="24"/>
        </w:rPr>
        <w:t xml:space="preserve"> v </w:t>
      </w:r>
      <w:r w:rsidRPr="00381DEA">
        <w:rPr>
          <w:rFonts w:ascii="Times New Roman" w:hAnsi="Times New Roman" w:hint="default"/>
          <w:sz w:val="24"/>
          <w:szCs w:val="24"/>
        </w:rPr>
        <w:t>pô</w:t>
      </w:r>
      <w:r w:rsidRPr="00381DEA">
        <w:rPr>
          <w:rFonts w:ascii="Times New Roman" w:hAnsi="Times New Roman" w:hint="default"/>
          <w:sz w:val="24"/>
          <w:szCs w:val="24"/>
        </w:rPr>
        <w:t>sobnosti Ministerstva kultú</w:t>
      </w:r>
      <w:r w:rsidRPr="00381DEA">
        <w:rPr>
          <w:rFonts w:ascii="Times New Roman" w:hAnsi="Times New Roman" w:hint="default"/>
          <w:sz w:val="24"/>
          <w:szCs w:val="24"/>
        </w:rPr>
        <w:t>ry Slovenskej republiky v </w:t>
      </w:r>
      <w:r w:rsidRPr="00381DEA">
        <w:rPr>
          <w:rFonts w:ascii="Times New Roman" w:hAnsi="Times New Roman" w:hint="default"/>
          <w:sz w:val="24"/>
          <w:szCs w:val="24"/>
        </w:rPr>
        <w:t>znení</w:t>
      </w:r>
      <w:r w:rsidRPr="00381DEA">
        <w:rPr>
          <w:rFonts w:ascii="Times New Roman" w:hAnsi="Times New Roman" w:hint="default"/>
          <w:sz w:val="24"/>
          <w:szCs w:val="24"/>
        </w:rPr>
        <w:t xml:space="preserve"> zá</w:t>
      </w:r>
      <w:r w:rsidRPr="00381DEA">
        <w:rPr>
          <w:rFonts w:ascii="Times New Roman" w:hAnsi="Times New Roman" w:hint="default"/>
          <w:sz w:val="24"/>
          <w:szCs w:val="24"/>
        </w:rPr>
        <w:t>kona č</w:t>
      </w:r>
      <w:r w:rsidRPr="00381DEA">
        <w:rPr>
          <w:rFonts w:ascii="Times New Roman" w:hAnsi="Times New Roman" w:hint="default"/>
          <w:sz w:val="24"/>
          <w:szCs w:val="24"/>
        </w:rPr>
        <w:t>. 79/2013 Z. z.</w:t>
      </w:r>
      <w:r>
        <w:rPr>
          <w:rFonts w:ascii="Times New Roman" w:hAnsi="Times New Roman" w:hint="default"/>
          <w:sz w:val="24"/>
          <w:szCs w:val="24"/>
        </w:rPr>
        <w:t xml:space="preserve"> (Č</w:t>
      </w:r>
      <w:r>
        <w:rPr>
          <w:rFonts w:ascii="Times New Roman" w:hAnsi="Times New Roman" w:hint="default"/>
          <w:sz w:val="24"/>
          <w:szCs w:val="24"/>
        </w:rPr>
        <w:t>l. II)</w:t>
      </w:r>
      <w:r w:rsidRPr="00381DEA">
        <w:rPr>
          <w:rFonts w:ascii="Times New Roman" w:hAnsi="Times New Roman"/>
          <w:sz w:val="24"/>
          <w:szCs w:val="24"/>
        </w:rPr>
        <w:t>.</w:t>
      </w:r>
    </w:p>
    <w:p w:rsidR="006D7DB2" w:rsidP="006D7DB2">
      <w:pPr>
        <w:bidi w:val="0"/>
        <w:ind w:firstLine="708"/>
        <w:jc w:val="both"/>
        <w:rPr>
          <w:rFonts w:ascii="Times New Roman" w:hAnsi="Times New Roman"/>
        </w:rPr>
      </w:pPr>
    </w:p>
    <w:p w:rsidR="006D7DB2" w:rsidP="006D7DB2">
      <w:pPr>
        <w:bidi w:val="0"/>
        <w:ind w:firstLine="708"/>
        <w:jc w:val="both"/>
        <w:rPr>
          <w:rFonts w:ascii="Times New Roman" w:hAnsi="Times New Roman"/>
        </w:rPr>
      </w:pPr>
      <w:r>
        <w:rPr>
          <w:rFonts w:ascii="Times New Roman" w:hAnsi="Times New Roman"/>
        </w:rPr>
        <w:t xml:space="preserve">Odhaduje sa, že asi 5 000 až 6 000 umelcov vykonáva profesionálnu umeleckú činnosť v slobodnom povolaní. Exaktné údaje nie sú k dispozícii, pretože od roku 1993 neexistuje evidencia, či registrácia profesionálnych umelcov vykonávajúcich umeleckú činnosť v slobodnom povolaní (ďalej len „profesionálny slobodný umelec“). Profesionálni slobodní umelci vykonávajú umeleckú </w:t>
      </w:r>
      <w:r w:rsidRPr="004E702D">
        <w:rPr>
          <w:rFonts w:ascii="Times New Roman" w:hAnsi="Times New Roman"/>
        </w:rPr>
        <w:t xml:space="preserve">činnosť spravidla individuálne, vo vlastnom mene a na svoju zodpovednosť. Základnou charakteristikou umeleckej činnosti je jej jedinečnosť a neopakovateľnosť, podmienená vysokou mierou </w:t>
      </w:r>
      <w:r>
        <w:rPr>
          <w:rFonts w:ascii="Times New Roman" w:hAnsi="Times New Roman"/>
        </w:rPr>
        <w:t xml:space="preserve">tvorivosti a </w:t>
      </w:r>
      <w:r w:rsidRPr="004E702D">
        <w:rPr>
          <w:rFonts w:ascii="Times New Roman" w:hAnsi="Times New Roman"/>
        </w:rPr>
        <w:t>talentu. Umelecká činnosť je založená na ľudskom výkone, na tvorivej duševnej činnosti a nedá sa nahradiť robotmi</w:t>
      </w:r>
      <w:r>
        <w:rPr>
          <w:rFonts w:ascii="Times New Roman" w:hAnsi="Times New Roman"/>
        </w:rPr>
        <w:t>,</w:t>
      </w:r>
      <w:r w:rsidRPr="004E702D">
        <w:rPr>
          <w:rFonts w:ascii="Times New Roman" w:hAnsi="Times New Roman"/>
        </w:rPr>
        <w:t xml:space="preserve"> či inými technickými prostriedkami, ktoré – aj keď sa v umení často vyžívajú - plnia výlučne funkciu inštrumentálnu. Výsledkom umeleckej činnosti je dielo alebo umelecký výkon, ktoré sú pojmovo vymedzené v Autorskom zákone</w:t>
      </w:r>
      <w:r>
        <w:rPr>
          <w:rFonts w:ascii="Times New Roman" w:hAnsi="Times New Roman"/>
        </w:rPr>
        <w:t>.</w:t>
      </w:r>
      <w:r>
        <w:rPr>
          <w:rStyle w:val="FootnoteReference"/>
          <w:rFonts w:ascii="Times New Roman" w:hAnsi="Times New Roman"/>
          <w:rtl w:val="0"/>
        </w:rPr>
        <w:footnoteReference w:id="2"/>
      </w:r>
      <w:r>
        <w:rPr>
          <w:rFonts w:ascii="Times New Roman" w:hAnsi="Times New Roman"/>
          <w:vertAlign w:val="superscript"/>
        </w:rPr>
        <w:t>)</w:t>
      </w:r>
      <w:r w:rsidRPr="004E702D">
        <w:rPr>
          <w:rFonts w:ascii="Times New Roman" w:hAnsi="Times New Roman"/>
        </w:rPr>
        <w:t xml:space="preserve"> Za umelecké dielo sa </w:t>
      </w:r>
      <w:r>
        <w:rPr>
          <w:rFonts w:ascii="Times New Roman" w:hAnsi="Times New Roman"/>
        </w:rPr>
        <w:t>podľa</w:t>
      </w:r>
      <w:r w:rsidRPr="004E702D">
        <w:rPr>
          <w:rFonts w:ascii="Times New Roman" w:hAnsi="Times New Roman"/>
        </w:rPr>
        <w:t xml:space="preserve"> Autorského zákona</w:t>
      </w:r>
      <w:r>
        <w:rPr>
          <w:rFonts w:ascii="Times New Roman" w:hAnsi="Times New Roman"/>
        </w:rPr>
        <w:t xml:space="preserve"> </w:t>
      </w:r>
      <w:r w:rsidRPr="004E702D">
        <w:rPr>
          <w:rFonts w:ascii="Times New Roman" w:hAnsi="Times New Roman"/>
        </w:rPr>
        <w:t xml:space="preserve">považuje literárne dielo, slovesné dielo, divadelné dielo, hudobné dielo, audiovizuálne dielo, dielo výtvarného umenia, architektonické dielo, dielo úžitkového umenia, alebo iný druh umeleckého diela. Umelecký výkon je podľa Autorského zákona predvedenie, prednes alebo iné tvorivé vykonanie umeleckého diela alebo </w:t>
      </w:r>
      <w:r w:rsidRPr="003302CC">
        <w:rPr>
          <w:rFonts w:ascii="Times New Roman" w:hAnsi="Times New Roman"/>
        </w:rPr>
        <w:t>diela tradičnej ľudovej kultúry spevom, hraním, recitáciou, tancom alebo iným spôsobom</w:t>
      </w:r>
      <w:r>
        <w:rPr>
          <w:rFonts w:ascii="Times New Roman" w:hAnsi="Times New Roman"/>
        </w:rPr>
        <w:t xml:space="preserve">. Tieto výsledky ľudskej činnosti sú súčasťou nášho národného kultúrneho dedičstva. </w:t>
      </w:r>
    </w:p>
    <w:p w:rsidR="006D7DB2" w:rsidP="006D7DB2">
      <w:pPr>
        <w:bidi w:val="0"/>
        <w:ind w:firstLine="708"/>
        <w:jc w:val="both"/>
        <w:rPr>
          <w:rFonts w:ascii="Times New Roman" w:hAnsi="Times New Roman"/>
        </w:rPr>
      </w:pPr>
    </w:p>
    <w:p w:rsidR="004403FA" w:rsidP="006D7DB2">
      <w:pPr>
        <w:bidi w:val="0"/>
        <w:ind w:firstLine="708"/>
        <w:jc w:val="both"/>
        <w:rPr>
          <w:rFonts w:ascii="Times New Roman" w:hAnsi="Times New Roman"/>
        </w:rPr>
      </w:pPr>
    </w:p>
    <w:p w:rsidR="006D7DB2" w:rsidP="006D7DB2">
      <w:pPr>
        <w:autoSpaceDE w:val="0"/>
        <w:autoSpaceDN w:val="0"/>
        <w:bidi w:val="0"/>
        <w:ind w:firstLine="708"/>
        <w:jc w:val="both"/>
        <w:rPr>
          <w:rFonts w:ascii="Times New Roman" w:hAnsi="Times New Roman"/>
        </w:rPr>
      </w:pPr>
      <w:r>
        <w:rPr>
          <w:rFonts w:ascii="Times New Roman" w:hAnsi="Times New Roman"/>
        </w:rPr>
        <w:t xml:space="preserve">Autorský zákon chráni výsledok tvorivej duševnej činnosti (autora a </w:t>
      </w:r>
      <w:r w:rsidRPr="003302CC">
        <w:rPr>
          <w:rFonts w:ascii="Times New Roman" w:hAnsi="Times New Roman"/>
        </w:rPr>
        <w:t>výkonného umelca</w:t>
      </w:r>
      <w:r>
        <w:rPr>
          <w:rFonts w:ascii="Times New Roman" w:hAnsi="Times New Roman"/>
        </w:rPr>
        <w:t>) a priznáva jej</w:t>
      </w:r>
      <w:r w:rsidRPr="003302CC">
        <w:rPr>
          <w:rFonts w:ascii="Times New Roman" w:hAnsi="Times New Roman"/>
        </w:rPr>
        <w:t xml:space="preserve"> výhradné osobnostné práva a výhradné majetkové práva. </w:t>
      </w:r>
      <w:r>
        <w:rPr>
          <w:rFonts w:ascii="Times New Roman" w:hAnsi="Times New Roman"/>
        </w:rPr>
        <w:t xml:space="preserve">Ide tu však výlučne o ochranu diela, či umeleckého výkonu ako výsledku umeleckej činnosti; zákon neupravuje samotnú umeleckú činnosť, podmienky jej vykonávania. </w:t>
      </w:r>
    </w:p>
    <w:p w:rsidR="006D7DB2" w:rsidP="006D7DB2">
      <w:pPr>
        <w:autoSpaceDE w:val="0"/>
        <w:autoSpaceDN w:val="0"/>
        <w:bidi w:val="0"/>
        <w:ind w:firstLine="708"/>
        <w:jc w:val="both"/>
        <w:rPr>
          <w:rFonts w:ascii="Times New Roman" w:hAnsi="Times New Roman"/>
        </w:rPr>
      </w:pPr>
    </w:p>
    <w:p w:rsidR="004403FA" w:rsidRPr="0054223E" w:rsidP="006D7DB2">
      <w:pPr>
        <w:autoSpaceDE w:val="0"/>
        <w:autoSpaceDN w:val="0"/>
        <w:bidi w:val="0"/>
        <w:ind w:firstLine="708"/>
        <w:jc w:val="both"/>
        <w:rPr>
          <w:rFonts w:ascii="Times New Roman" w:hAnsi="Times New Roman"/>
        </w:rPr>
      </w:pPr>
    </w:p>
    <w:p w:rsidR="006D7DB2" w:rsidP="006D7DB2">
      <w:pPr>
        <w:autoSpaceDE w:val="0"/>
        <w:autoSpaceDN w:val="0"/>
        <w:bidi w:val="0"/>
        <w:ind w:firstLine="708"/>
        <w:jc w:val="both"/>
        <w:rPr>
          <w:rFonts w:ascii="Times New Roman" w:hAnsi="Times New Roman"/>
          <w:i/>
        </w:rPr>
      </w:pPr>
      <w:r>
        <w:rPr>
          <w:rFonts w:ascii="Times New Roman" w:hAnsi="Times New Roman"/>
        </w:rPr>
        <w:t xml:space="preserve">Aj keď Autorský zákon vymedzuje pojem „autor“, „výkonný umelec“ a umelecký výkon, pojem „profesionálny slobodný umelec“ ani „umelecká činnosť“ v právnom poriadku nie je vymedzený. Rovnako nie sú v právnom poriadku upravené podmienky umeleckej činnosti. Na prvý pohľad je to aj logické, keďže ide o slobodnú, často spontánnu činnosť, no na druhej strane dôsledkom tohto právneho vákua je to, že vo viacerých právnych predpisoch (napr. daňové a odvodové predpisy) sú profesionálni slobodní umelci včleňovaní medzi ostatné samostatne zárobkovo činné osoby a orgány štátnej správy ich považujú za živnostníkov. Takéto chápanie umeleckej činnosti je nesprávne, a to nielen preto, že umelecká činnosť nie je a ani nemôže byť z hľadiska samotných obchodnoprávnych predpisov (Obchodný zákonník, Živnostenský zákon) považovaná za predmet živnostenského podnikania, ale predovšetkým preto, že na rozdiel od </w:t>
      </w:r>
      <w:r w:rsidRPr="002526C9">
        <w:rPr>
          <w:rFonts w:ascii="Times New Roman" w:hAnsi="Times New Roman"/>
        </w:rPr>
        <w:t>živnostenského</w:t>
      </w:r>
      <w:r>
        <w:rPr>
          <w:rFonts w:ascii="Times New Roman" w:hAnsi="Times New Roman"/>
        </w:rPr>
        <w:t>,</w:t>
      </w:r>
      <w:r w:rsidRPr="002526C9">
        <w:rPr>
          <w:rFonts w:ascii="Times New Roman" w:hAnsi="Times New Roman"/>
        </w:rPr>
        <w:t xml:space="preserve"> či iného druhu podnikania – umelecká činnosť nie je prioritne vykonávaná za účelom zisku, ale za účelom </w:t>
      </w:r>
      <w:r>
        <w:rPr>
          <w:rFonts w:ascii="Times New Roman" w:hAnsi="Times New Roman"/>
        </w:rPr>
        <w:t xml:space="preserve">vyjadrenia umelcovho vnútorného prežívania a tvorivosti,  teda za účelom vzniku  a šírenia diela, či umeleckých výkonov </w:t>
      </w:r>
      <w:r w:rsidRPr="002526C9">
        <w:rPr>
          <w:rFonts w:ascii="Times New Roman" w:hAnsi="Times New Roman"/>
        </w:rPr>
        <w:t>nezávisle od ich obchodnej hodnoty. Posudzovanie umeleckej činnosti rovnakým spôsobom ako činnosti podnikateľskej je aj v rozpore s Dohovorom o ochrane a podpore rozmanitosti kultúrnych prejavov, ktorým je Slovenská republika viazaná</w:t>
      </w:r>
      <w:r>
        <w:rPr>
          <w:rStyle w:val="FootnoteReference"/>
          <w:rFonts w:ascii="Times New Roman" w:hAnsi="Times New Roman"/>
          <w:rtl w:val="0"/>
        </w:rPr>
        <w:footnoteReference w:id="3"/>
      </w:r>
      <w:r w:rsidRPr="002526C9">
        <w:rPr>
          <w:rFonts w:ascii="Times New Roman" w:hAnsi="Times New Roman"/>
          <w:vertAlign w:val="superscript"/>
        </w:rPr>
        <w:t>)</w:t>
      </w:r>
      <w:r w:rsidRPr="002526C9">
        <w:rPr>
          <w:rFonts w:ascii="Times New Roman" w:hAnsi="Times New Roman"/>
        </w:rPr>
        <w:t xml:space="preserve"> (</w:t>
      </w:r>
      <w:r>
        <w:rPr>
          <w:rFonts w:ascii="Times New Roman" w:hAnsi="Times New Roman"/>
        </w:rPr>
        <w:t xml:space="preserve">Členské štáty </w:t>
      </w:r>
      <w:r w:rsidRPr="002526C9">
        <w:rPr>
          <w:rFonts w:ascii="Times New Roman" w:hAnsi="Times New Roman"/>
        </w:rPr>
        <w:t xml:space="preserve">„... </w:t>
      </w:r>
      <w:r w:rsidRPr="002526C9">
        <w:rPr>
          <w:rFonts w:ascii="Times New Roman" w:hAnsi="Times New Roman"/>
          <w:i/>
          <w:iCs/>
        </w:rPr>
        <w:t>v presvedčení</w:t>
      </w:r>
      <w:r w:rsidRPr="002526C9">
        <w:rPr>
          <w:rFonts w:ascii="Times New Roman" w:hAnsi="Times New Roman"/>
          <w:i/>
        </w:rPr>
        <w:t>, že kultúrne aktivity, tovary a služby, ktoré sú nositeľmi identít, hodnôt a zmyslu, majú dvojakú povahu, ekonomickú a kultúrnu, a nemalo by sa teda s nimi zaobchádzať, akoby mali len obchodnú hodnotu;...</w:t>
      </w:r>
      <w:r w:rsidRPr="002526C9">
        <w:rPr>
          <w:rFonts w:ascii="Times New Roman" w:hAnsi="Times New Roman"/>
          <w:i/>
          <w:iCs/>
        </w:rPr>
        <w:t xml:space="preserve"> uznať osobitný charakter kultúrnych aktivít, tovarov a služieb ako nositeľov identít, hodnôt a významov ... stelesňujú alebo odovzdávajú kultúrne prejavy nezávisle od obchodnej hodnoty, ktorú môžu mať. Kultúrne aktivity môžu mať účel samy osebe alebo môžu prispievať na produkciu kultúrnych tovarov a služieb...“</w:t>
      </w:r>
      <w:r>
        <w:rPr>
          <w:rStyle w:val="FootnoteReference"/>
          <w:rFonts w:ascii="Times New Roman" w:hAnsi="Times New Roman"/>
          <w:i/>
          <w:rtl w:val="0"/>
        </w:rPr>
        <w:footnoteReference w:id="4"/>
      </w:r>
      <w:r w:rsidRPr="002526C9">
        <w:rPr>
          <w:rFonts w:ascii="Times New Roman" w:hAnsi="Times New Roman"/>
          <w:i/>
          <w:vertAlign w:val="superscript"/>
        </w:rPr>
        <w:t>)</w:t>
      </w:r>
      <w:r w:rsidRPr="002526C9">
        <w:rPr>
          <w:rFonts w:ascii="Times New Roman" w:hAnsi="Times New Roman"/>
          <w:i/>
        </w:rPr>
        <w:t>).</w:t>
      </w:r>
    </w:p>
    <w:p w:rsidR="006D7DB2" w:rsidRPr="00BF16DF" w:rsidP="006D7DB2">
      <w:pPr>
        <w:autoSpaceDE w:val="0"/>
        <w:autoSpaceDN w:val="0"/>
        <w:bidi w:val="0"/>
        <w:ind w:firstLine="708"/>
        <w:jc w:val="both"/>
        <w:rPr>
          <w:rFonts w:ascii="Times New Roman" w:hAnsi="Times New Roman"/>
          <w:i/>
        </w:rPr>
      </w:pPr>
    </w:p>
    <w:p w:rsidR="006D7DB2" w:rsidRPr="00624B7E" w:rsidP="006D7DB2">
      <w:pPr>
        <w:bidi w:val="0"/>
        <w:ind w:firstLine="708"/>
        <w:jc w:val="both"/>
        <w:rPr>
          <w:rFonts w:ascii="Times New Roman" w:hAnsi="Times New Roman"/>
        </w:rPr>
      </w:pPr>
      <w:r w:rsidRPr="00624B7E">
        <w:rPr>
          <w:rFonts w:ascii="Times New Roman" w:hAnsi="Times New Roman"/>
        </w:rPr>
        <w:t xml:space="preserve">So zreteľom na </w:t>
      </w:r>
      <w:r>
        <w:rPr>
          <w:rFonts w:ascii="Times New Roman" w:hAnsi="Times New Roman"/>
        </w:rPr>
        <w:t xml:space="preserve">jedinečnosť, </w:t>
      </w:r>
      <w:r w:rsidRPr="00624B7E">
        <w:rPr>
          <w:rFonts w:ascii="Times New Roman" w:hAnsi="Times New Roman"/>
        </w:rPr>
        <w:t>originalitu, spontánnosť a  charakter umeleckej činnosti</w:t>
      </w:r>
      <w:r>
        <w:rPr>
          <w:rFonts w:ascii="Times New Roman" w:hAnsi="Times New Roman"/>
        </w:rPr>
        <w:t xml:space="preserve">, ktorá nie je prioritne vykonávaná za účelom zisku, </w:t>
      </w:r>
      <w:r w:rsidRPr="00624B7E">
        <w:rPr>
          <w:rFonts w:ascii="Times New Roman" w:hAnsi="Times New Roman"/>
        </w:rPr>
        <w:t xml:space="preserve"> sú aj podmienky vykonávania umeleckej činnosti </w:t>
      </w:r>
      <w:r>
        <w:rPr>
          <w:rFonts w:ascii="Times New Roman" w:hAnsi="Times New Roman"/>
        </w:rPr>
        <w:t xml:space="preserve">profesionálnych </w:t>
      </w:r>
      <w:r w:rsidRPr="00624B7E">
        <w:rPr>
          <w:rFonts w:ascii="Times New Roman" w:hAnsi="Times New Roman"/>
        </w:rPr>
        <w:t xml:space="preserve">slobodných umelcov zásadne odlišné od iných činností, či už ide o podnikanie (živnostníci) alebo o činnosť vykonávanú  v zamestnaneckom pomere alebo obdobnom pomere. </w:t>
      </w:r>
      <w:r>
        <w:rPr>
          <w:rFonts w:ascii="Times New Roman" w:hAnsi="Times New Roman"/>
        </w:rPr>
        <w:t>P</w:t>
      </w:r>
      <w:r w:rsidRPr="00624B7E">
        <w:rPr>
          <w:rFonts w:ascii="Times New Roman" w:hAnsi="Times New Roman"/>
        </w:rPr>
        <w:t xml:space="preserve">re podnikanie je základným </w:t>
      </w:r>
      <w:r>
        <w:rPr>
          <w:rFonts w:ascii="Times New Roman" w:hAnsi="Times New Roman"/>
        </w:rPr>
        <w:t xml:space="preserve">zákonným </w:t>
      </w:r>
      <w:r w:rsidRPr="00624B7E">
        <w:rPr>
          <w:rFonts w:ascii="Times New Roman" w:hAnsi="Times New Roman"/>
        </w:rPr>
        <w:t xml:space="preserve">znakom sústavnosť </w:t>
      </w:r>
      <w:r>
        <w:rPr>
          <w:rFonts w:ascii="Times New Roman" w:hAnsi="Times New Roman"/>
        </w:rPr>
        <w:t>činnosti a účel, ktorým je zisk. N</w:t>
      </w:r>
      <w:r w:rsidRPr="00624B7E">
        <w:rPr>
          <w:rFonts w:ascii="Times New Roman" w:hAnsi="Times New Roman"/>
        </w:rPr>
        <w:t xml:space="preserve">aproti tomu umelecká činnosť je často závislá nielen od aktuálnej miery nápadu, či </w:t>
      </w:r>
      <w:r>
        <w:rPr>
          <w:rFonts w:ascii="Times New Roman" w:hAnsi="Times New Roman"/>
        </w:rPr>
        <w:t>miery inej tvorivosti</w:t>
      </w:r>
      <w:r w:rsidRPr="00624B7E">
        <w:rPr>
          <w:rFonts w:ascii="Times New Roman" w:hAnsi="Times New Roman"/>
        </w:rPr>
        <w:t xml:space="preserve">, ktorá sa nedá vždy vôľovo ovplyvniť, ale </w:t>
      </w:r>
      <w:r>
        <w:rPr>
          <w:rFonts w:ascii="Times New Roman" w:hAnsi="Times New Roman"/>
        </w:rPr>
        <w:t xml:space="preserve">aj </w:t>
      </w:r>
      <w:r w:rsidRPr="00624B7E">
        <w:rPr>
          <w:rFonts w:ascii="Times New Roman" w:hAnsi="Times New Roman"/>
        </w:rPr>
        <w:t xml:space="preserve">od meniacich sa vonkajších podmienok mimo dosahu umelca </w:t>
      </w:r>
      <w:r>
        <w:rPr>
          <w:rFonts w:ascii="Times New Roman" w:hAnsi="Times New Roman"/>
        </w:rPr>
        <w:t xml:space="preserve">- </w:t>
      </w:r>
      <w:r w:rsidRPr="00624B7E">
        <w:rPr>
          <w:rFonts w:ascii="Times New Roman" w:hAnsi="Times New Roman"/>
        </w:rPr>
        <w:t>kolísavosť požiadaviek trhu, meniaci sa vkus, uprednostňovanie priemernosti pred náročnejšími formami umenia, neochota</w:t>
      </w:r>
      <w:r>
        <w:rPr>
          <w:rFonts w:ascii="Times New Roman" w:hAnsi="Times New Roman"/>
        </w:rPr>
        <w:t>,</w:t>
      </w:r>
      <w:r w:rsidRPr="00624B7E">
        <w:rPr>
          <w:rFonts w:ascii="Times New Roman" w:hAnsi="Times New Roman"/>
        </w:rPr>
        <w:t xml:space="preserve"> či neschopnosť prijať nové formy umeleckého vyjadrenia a ich akceptovanie neraz až s výrazným časovým posunom, či limitovanosť obdobia, počas ktorého sa dá umelecká činnosť vykonávať na špičkovej úrovni. To všetko spôsobuje aj prirodzenú nepravidelnosť umeleckej tvorby, najmä u umeleckej činnosti, ktorej výsledkom je dielo, kde vakančné obdobie, spôsobené prechodnou a neraz vonkajšími vplyvmi vynútenou absenciou tvorivosti, </w:t>
      </w:r>
      <w:r>
        <w:rPr>
          <w:rFonts w:ascii="Times New Roman" w:hAnsi="Times New Roman"/>
        </w:rPr>
        <w:t>môže trvať aj niekoľko mesiacov alebo rokov.</w:t>
      </w:r>
      <w:r w:rsidRPr="00624B7E">
        <w:rPr>
          <w:rFonts w:ascii="Times New Roman" w:hAnsi="Times New Roman"/>
        </w:rPr>
        <w:t xml:space="preserve"> Okrem toho u slobodných umelcov je odlišný aj cieľ činnosti, ktorý nie je prioritne komerčný. Slobodný umelec tvorí spontánne (keď dostane „nápad“), väčšinou však nie s cieľom speňažiť dielo, prioritným zámerom je vytvoriť</w:t>
      </w:r>
      <w:r>
        <w:rPr>
          <w:rFonts w:ascii="Times New Roman" w:hAnsi="Times New Roman"/>
        </w:rPr>
        <w:t xml:space="preserve"> dielo. Primárnym c</w:t>
      </w:r>
      <w:r w:rsidRPr="00624B7E">
        <w:rPr>
          <w:rFonts w:ascii="Times New Roman" w:hAnsi="Times New Roman"/>
        </w:rPr>
        <w:t xml:space="preserve">ieľom umeleckej tvorby teda nie je dosiahnutie zisku, ale vytvorenie diela, </w:t>
      </w:r>
      <w:r>
        <w:rPr>
          <w:rFonts w:ascii="Times New Roman" w:hAnsi="Times New Roman"/>
        </w:rPr>
        <w:t xml:space="preserve">či umeleckého výkonu a tým vyjadrenie svojej osobnosti a vnútorného prežívania, </w:t>
      </w:r>
      <w:r w:rsidRPr="00624B7E">
        <w:rPr>
          <w:rFonts w:ascii="Times New Roman" w:hAnsi="Times New Roman"/>
        </w:rPr>
        <w:t xml:space="preserve">ktoré často ani nie je obchodne realizované. Z uvedených dôvodov nenapĺňa umelecká činnosť dva základné </w:t>
      </w:r>
      <w:r>
        <w:rPr>
          <w:rFonts w:ascii="Times New Roman" w:hAnsi="Times New Roman"/>
        </w:rPr>
        <w:t xml:space="preserve">zákonné </w:t>
      </w:r>
      <w:r w:rsidRPr="00624B7E">
        <w:rPr>
          <w:rFonts w:ascii="Times New Roman" w:hAnsi="Times New Roman"/>
        </w:rPr>
        <w:t>pojmové znaky podnikania</w:t>
      </w:r>
      <w:r>
        <w:rPr>
          <w:rFonts w:ascii="Times New Roman" w:hAnsi="Times New Roman"/>
        </w:rPr>
        <w:t>,</w:t>
      </w:r>
      <w:r>
        <w:rPr>
          <w:rStyle w:val="FootnoteReference"/>
          <w:rFonts w:ascii="Times New Roman" w:hAnsi="Times New Roman"/>
          <w:rtl w:val="0"/>
        </w:rPr>
        <w:footnoteReference w:id="5"/>
      </w:r>
      <w:r w:rsidRPr="00624B7E">
        <w:rPr>
          <w:rFonts w:ascii="Times New Roman" w:hAnsi="Times New Roman"/>
          <w:vertAlign w:val="superscript"/>
        </w:rPr>
        <w:t>)</w:t>
      </w:r>
      <w:r w:rsidRPr="00624B7E">
        <w:rPr>
          <w:rFonts w:ascii="Times New Roman" w:hAnsi="Times New Roman"/>
        </w:rPr>
        <w:t xml:space="preserve"> a preto aj z týchto dôvodov nemôže byť považovaná za podnikateľskú činnosť (živnosť), resp. kladená na jej úroveň.</w:t>
      </w:r>
    </w:p>
    <w:p w:rsidR="006D7DB2" w:rsidP="006D7DB2">
      <w:pPr>
        <w:bidi w:val="0"/>
        <w:ind w:firstLine="708"/>
        <w:jc w:val="both"/>
        <w:rPr>
          <w:rFonts w:ascii="Times New Roman" w:hAnsi="Times New Roman"/>
        </w:rPr>
      </w:pPr>
    </w:p>
    <w:p w:rsidR="004403FA" w:rsidP="006D7DB2">
      <w:pPr>
        <w:bidi w:val="0"/>
        <w:ind w:firstLine="708"/>
        <w:jc w:val="both"/>
        <w:rPr>
          <w:rFonts w:ascii="Times New Roman" w:hAnsi="Times New Roman"/>
        </w:rPr>
      </w:pPr>
    </w:p>
    <w:p w:rsidR="006D7DB2" w:rsidP="006D7DB2">
      <w:pPr>
        <w:bidi w:val="0"/>
        <w:ind w:firstLine="708"/>
        <w:jc w:val="both"/>
        <w:rPr>
          <w:rFonts w:ascii="Times New Roman" w:hAnsi="Times New Roman"/>
        </w:rPr>
      </w:pPr>
      <w:r w:rsidRPr="002526C9">
        <w:rPr>
          <w:rFonts w:ascii="Times New Roman" w:hAnsi="Times New Roman"/>
        </w:rPr>
        <w:t xml:space="preserve">Zo špecifickej povahy umeleckej činnosti vyplýva potom aj potreba osobitného prístupu k  </w:t>
      </w:r>
      <w:r w:rsidRPr="002526C9">
        <w:rPr>
          <w:rFonts w:ascii="Times New Roman" w:hAnsi="Times New Roman"/>
          <w:iCs/>
        </w:rPr>
        <w:t>opatren</w:t>
      </w:r>
      <w:r>
        <w:rPr>
          <w:rFonts w:ascii="Times New Roman" w:hAnsi="Times New Roman"/>
          <w:iCs/>
        </w:rPr>
        <w:t>iam</w:t>
      </w:r>
      <w:r w:rsidRPr="002526C9">
        <w:rPr>
          <w:rFonts w:ascii="Times New Roman" w:hAnsi="Times New Roman"/>
          <w:iCs/>
        </w:rPr>
        <w:t xml:space="preserve">, ktoré majú za cieľ poskytovanie </w:t>
      </w:r>
      <w:r>
        <w:rPr>
          <w:rFonts w:ascii="Times New Roman" w:hAnsi="Times New Roman"/>
          <w:iCs/>
        </w:rPr>
        <w:t xml:space="preserve">priamej a nepriamej </w:t>
      </w:r>
      <w:r w:rsidRPr="002526C9">
        <w:rPr>
          <w:rFonts w:ascii="Times New Roman" w:hAnsi="Times New Roman"/>
          <w:iCs/>
        </w:rPr>
        <w:t xml:space="preserve">finančnej podpory </w:t>
      </w:r>
      <w:r>
        <w:rPr>
          <w:rFonts w:ascii="Times New Roman" w:hAnsi="Times New Roman"/>
          <w:iCs/>
        </w:rPr>
        <w:t xml:space="preserve">umelcov </w:t>
      </w:r>
      <w:r w:rsidRPr="002526C9">
        <w:rPr>
          <w:rFonts w:ascii="Times New Roman" w:hAnsi="Times New Roman"/>
          <w:iCs/>
        </w:rPr>
        <w:t>z verejných zdrojov</w:t>
      </w:r>
      <w:r w:rsidRPr="002526C9">
        <w:rPr>
          <w:rFonts w:ascii="Times New Roman" w:hAnsi="Times New Roman"/>
        </w:rPr>
        <w:t>, na ktoré sa Slovenská republika zaviazala.</w:t>
      </w:r>
      <w:r>
        <w:rPr>
          <w:rStyle w:val="FootnoteReference"/>
          <w:rFonts w:ascii="Times New Roman" w:hAnsi="Times New Roman"/>
          <w:rtl w:val="0"/>
        </w:rPr>
        <w:footnoteReference w:id="6"/>
      </w:r>
      <w:r w:rsidRPr="002526C9">
        <w:rPr>
          <w:rFonts w:ascii="Times New Roman" w:hAnsi="Times New Roman"/>
          <w:vertAlign w:val="superscript"/>
        </w:rPr>
        <w:t>)</w:t>
      </w:r>
      <w:r w:rsidRPr="002526C9">
        <w:rPr>
          <w:rFonts w:ascii="Times New Roman" w:hAnsi="Times New Roman"/>
        </w:rPr>
        <w:t xml:space="preserve"> Do roku 1991 boli </w:t>
      </w:r>
      <w:r>
        <w:rPr>
          <w:rFonts w:ascii="Times New Roman" w:hAnsi="Times New Roman"/>
        </w:rPr>
        <w:t xml:space="preserve">profesionálni </w:t>
      </w:r>
      <w:r w:rsidRPr="002526C9">
        <w:rPr>
          <w:rFonts w:ascii="Times New Roman" w:hAnsi="Times New Roman"/>
        </w:rPr>
        <w:t xml:space="preserve">slobodní umelci evidovaní pri umeleckých fondoch a požívali viaceré výnimky v daňovom systéme ako výraz </w:t>
      </w:r>
      <w:r>
        <w:rPr>
          <w:rFonts w:ascii="Times New Roman" w:hAnsi="Times New Roman"/>
        </w:rPr>
        <w:t xml:space="preserve">nepriamej finančnej </w:t>
      </w:r>
      <w:r w:rsidRPr="002526C9">
        <w:rPr>
          <w:rFonts w:ascii="Times New Roman" w:hAnsi="Times New Roman"/>
        </w:rPr>
        <w:t xml:space="preserve">podpory štátu na umeleckej tvorbe. Tieto výnimky boli postupne likvidované a dnes sú </w:t>
      </w:r>
      <w:r>
        <w:rPr>
          <w:rFonts w:ascii="Times New Roman" w:hAnsi="Times New Roman"/>
        </w:rPr>
        <w:t xml:space="preserve">profesionálni slobodní </w:t>
      </w:r>
      <w:r w:rsidRPr="002526C9">
        <w:rPr>
          <w:rFonts w:ascii="Times New Roman" w:hAnsi="Times New Roman"/>
        </w:rPr>
        <w:t xml:space="preserve">umelci z hľadiska daňových a odvodových povinností </w:t>
      </w:r>
      <w:r>
        <w:rPr>
          <w:rFonts w:ascii="Times New Roman" w:hAnsi="Times New Roman"/>
        </w:rPr>
        <w:t xml:space="preserve">postavení na roveň živnostníkov. </w:t>
      </w:r>
      <w:r w:rsidRPr="002526C9">
        <w:rPr>
          <w:rFonts w:ascii="Times New Roman" w:hAnsi="Times New Roman"/>
        </w:rPr>
        <w:t xml:space="preserve">Doterajšie dlhoročné úsilie umeleckej obce o akékoľvek zmiernenie daňových povinností zlyhalo </w:t>
      </w:r>
      <w:r>
        <w:rPr>
          <w:rFonts w:ascii="Times New Roman" w:hAnsi="Times New Roman"/>
        </w:rPr>
        <w:t xml:space="preserve">okrem iného aj </w:t>
      </w:r>
      <w:r w:rsidRPr="002526C9">
        <w:rPr>
          <w:rFonts w:ascii="Times New Roman" w:hAnsi="Times New Roman"/>
        </w:rPr>
        <w:t xml:space="preserve">na absencii právneho vymedzenia pojmu „profesionálny umelec v slobodnom povolaní“. Okrem toho </w:t>
      </w:r>
      <w:r>
        <w:rPr>
          <w:rFonts w:ascii="Times New Roman" w:hAnsi="Times New Roman"/>
        </w:rPr>
        <w:t>profesionálni</w:t>
      </w:r>
      <w:r w:rsidRPr="002526C9">
        <w:rPr>
          <w:rFonts w:ascii="Times New Roman" w:hAnsi="Times New Roman"/>
        </w:rPr>
        <w:t xml:space="preserve"> slobodní u</w:t>
      </w:r>
      <w:r w:rsidRPr="009B2EE2">
        <w:rPr>
          <w:rFonts w:ascii="Times New Roman" w:hAnsi="Times New Roman"/>
          <w:color w:val="000000"/>
        </w:rPr>
        <w:t>melci sa neexistenciou právneho riešenia svojho statusu cítia byť „bezprizorní“. Pri poskytovaní dotácií na podporu profesionálnej umeleckej tvorby je zaznamenaný problém, najmä u</w:t>
      </w:r>
      <w:r w:rsidR="004403FA">
        <w:rPr>
          <w:rFonts w:ascii="Times New Roman" w:hAnsi="Times New Roman"/>
          <w:color w:val="000000"/>
        </w:rPr>
        <w:t> </w:t>
      </w:r>
      <w:r w:rsidRPr="009B2EE2">
        <w:rPr>
          <w:rFonts w:ascii="Times New Roman" w:hAnsi="Times New Roman"/>
          <w:color w:val="000000"/>
        </w:rPr>
        <w:t>začínajúcich</w:t>
      </w:r>
      <w:r w:rsidR="004403FA">
        <w:rPr>
          <w:rFonts w:ascii="Times New Roman" w:hAnsi="Times New Roman"/>
          <w:color w:val="000000"/>
        </w:rPr>
        <w:t xml:space="preserve"> </w:t>
      </w:r>
      <w:r>
        <w:rPr>
          <w:rFonts w:ascii="Times New Roman" w:hAnsi="Times New Roman"/>
        </w:rPr>
        <w:t>umelcov</w:t>
      </w:r>
      <w:r w:rsidRPr="009002C5">
        <w:rPr>
          <w:rFonts w:ascii="Times New Roman" w:hAnsi="Times New Roman"/>
        </w:rPr>
        <w:t>, identifikovať, či ide o profesionálneho umelca alebo o umelca - amatéra. Práve z týchto dôvodov umelecká obec volá po právnom vymedzení štatútu umelca. Úsilie o zlepšenie právneho a sociálneho postavenia slobodných umelcov zaznamenávame už viac ako dve desaťročia.</w:t>
      </w:r>
      <w:r>
        <w:rPr>
          <w:rFonts w:ascii="Times New Roman" w:hAnsi="Times New Roman"/>
        </w:rPr>
        <w:t xml:space="preserve"> </w:t>
      </w:r>
    </w:p>
    <w:p w:rsidR="006D7DB2" w:rsidP="006D7DB2">
      <w:pPr>
        <w:bidi w:val="0"/>
        <w:ind w:firstLine="708"/>
        <w:jc w:val="both"/>
        <w:rPr>
          <w:rFonts w:ascii="Times New Roman" w:hAnsi="Times New Roman"/>
        </w:rPr>
      </w:pPr>
    </w:p>
    <w:p w:rsidR="004403FA" w:rsidP="006D7DB2">
      <w:pPr>
        <w:bidi w:val="0"/>
        <w:ind w:firstLine="708"/>
        <w:jc w:val="both"/>
        <w:rPr>
          <w:rFonts w:ascii="Times New Roman" w:hAnsi="Times New Roman"/>
        </w:rPr>
      </w:pPr>
    </w:p>
    <w:p w:rsidR="006D7DB2" w:rsidRPr="009002C5" w:rsidP="006D7DB2">
      <w:pPr>
        <w:bidi w:val="0"/>
        <w:ind w:firstLine="708"/>
        <w:jc w:val="both"/>
        <w:rPr>
          <w:rFonts w:ascii="Times New Roman" w:hAnsi="Times New Roman"/>
        </w:rPr>
      </w:pPr>
      <w:r w:rsidRPr="009002C5">
        <w:rPr>
          <w:rFonts w:ascii="Times New Roman" w:hAnsi="Times New Roman"/>
        </w:rPr>
        <w:t xml:space="preserve">Na </w:t>
      </w:r>
      <w:r w:rsidRPr="009B2EE2">
        <w:rPr>
          <w:rFonts w:ascii="Times New Roman" w:hAnsi="Times New Roman"/>
          <w:color w:val="000000"/>
        </w:rPr>
        <w:t>základe požiadavky umeleckej obce, tlmočenej Slovenskou koalíciou pre kultúrnu diverzitu, ktorá zastupuje profesionálnych umelcov aktívnych vo všetkých žánro</w:t>
      </w:r>
      <w:r>
        <w:rPr>
          <w:rFonts w:ascii="Times New Roman" w:hAnsi="Times New Roman"/>
          <w:color w:val="000000"/>
        </w:rPr>
        <w:t>ch</w:t>
      </w:r>
      <w:r w:rsidRPr="009B2EE2">
        <w:rPr>
          <w:rFonts w:ascii="Times New Roman" w:hAnsi="Times New Roman"/>
          <w:color w:val="000000"/>
        </w:rPr>
        <w:t xml:space="preserve"> umenia a  je z hľadiska počtu zastupovaných profesionálnych umelcov ich najreprezentatívnejšou profesionálnou asociáciou, pristúpilo ministerstvo k riešeniu uvedených problémov tak, že v prvej etape je potrebné zakotviť do právneho poriadku pojem „profesionálny umelec v slobodnom povolaní“, na základe čoho bude možná evidencia profesionálnych </w:t>
      </w:r>
      <w:r w:rsidRPr="009002C5">
        <w:rPr>
          <w:rFonts w:ascii="Times New Roman" w:hAnsi="Times New Roman"/>
        </w:rPr>
        <w:t>umelcov</w:t>
      </w:r>
      <w:r>
        <w:rPr>
          <w:rFonts w:ascii="Times New Roman" w:hAnsi="Times New Roman"/>
        </w:rPr>
        <w:t xml:space="preserve"> </w:t>
      </w:r>
      <w:r w:rsidRPr="009002C5">
        <w:rPr>
          <w:rFonts w:ascii="Times New Roman" w:hAnsi="Times New Roman"/>
        </w:rPr>
        <w:t>s pridelením „</w:t>
      </w:r>
      <w:r>
        <w:rPr>
          <w:rFonts w:ascii="Times New Roman" w:hAnsi="Times New Roman"/>
        </w:rPr>
        <w:t>š</w:t>
      </w:r>
      <w:r w:rsidRPr="009002C5">
        <w:rPr>
          <w:rFonts w:ascii="Times New Roman" w:hAnsi="Times New Roman"/>
        </w:rPr>
        <w:t xml:space="preserve">tatusového“ preukazu evidovanému slobodnému umelcovi a v ďalšej etape sa </w:t>
      </w:r>
      <w:r>
        <w:rPr>
          <w:rFonts w:ascii="Times New Roman" w:hAnsi="Times New Roman"/>
        </w:rPr>
        <w:t xml:space="preserve">môže </w:t>
      </w:r>
      <w:r w:rsidRPr="009002C5">
        <w:rPr>
          <w:rFonts w:ascii="Times New Roman" w:hAnsi="Times New Roman"/>
        </w:rPr>
        <w:t>pristúpi</w:t>
      </w:r>
      <w:r>
        <w:rPr>
          <w:rFonts w:ascii="Times New Roman" w:hAnsi="Times New Roman"/>
        </w:rPr>
        <w:t>ť</w:t>
      </w:r>
      <w:r w:rsidRPr="009002C5">
        <w:rPr>
          <w:rFonts w:ascii="Times New Roman" w:hAnsi="Times New Roman"/>
        </w:rPr>
        <w:t xml:space="preserve"> k samotnému naplneniu statusu </w:t>
      </w:r>
      <w:r>
        <w:rPr>
          <w:rFonts w:ascii="Times New Roman" w:hAnsi="Times New Roman"/>
        </w:rPr>
        <w:t xml:space="preserve">profesionálneho slobodného </w:t>
      </w:r>
      <w:r w:rsidRPr="009002C5">
        <w:rPr>
          <w:rFonts w:ascii="Times New Roman" w:hAnsi="Times New Roman"/>
        </w:rPr>
        <w:t xml:space="preserve">umelca v jeho obsahovej forme. Navrhované riešenie vychádza z medzinárodného výskumu uskutočneného Slovenskou koalíciou pre kultúrnu diverzitu (skúmaných bolo 23 štátov z celého sveta) a je konsenzuálnym výsledkom práce </w:t>
      </w:r>
      <w:r>
        <w:rPr>
          <w:rFonts w:ascii="Times New Roman" w:hAnsi="Times New Roman"/>
        </w:rPr>
        <w:t xml:space="preserve">dočasnej </w:t>
      </w:r>
      <w:r w:rsidRPr="009002C5">
        <w:rPr>
          <w:rFonts w:ascii="Times New Roman" w:hAnsi="Times New Roman"/>
        </w:rPr>
        <w:t>pracovnej komisie k štatútu umelca Rady vlády Slovenskej republiky</w:t>
      </w:r>
      <w:r>
        <w:rPr>
          <w:rFonts w:ascii="Times New Roman" w:hAnsi="Times New Roman"/>
        </w:rPr>
        <w:t xml:space="preserve"> pre kultúru, v ktorej majú </w:t>
      </w:r>
      <w:r w:rsidRPr="009002C5">
        <w:rPr>
          <w:rFonts w:ascii="Times New Roman" w:hAnsi="Times New Roman"/>
        </w:rPr>
        <w:t xml:space="preserve">popri odborníkoch </w:t>
      </w:r>
      <w:r>
        <w:rPr>
          <w:rFonts w:ascii="Times New Roman" w:hAnsi="Times New Roman"/>
        </w:rPr>
        <w:t xml:space="preserve">ministerstva </w:t>
      </w:r>
      <w:r w:rsidRPr="009002C5">
        <w:rPr>
          <w:rFonts w:ascii="Times New Roman" w:hAnsi="Times New Roman"/>
        </w:rPr>
        <w:t xml:space="preserve">a Ministerstva financií Slovenskej republiky zastúpenie aj </w:t>
      </w:r>
      <w:r>
        <w:rPr>
          <w:rFonts w:ascii="Times New Roman" w:hAnsi="Times New Roman"/>
        </w:rPr>
        <w:t>odborníci Slovenskej koalície</w:t>
      </w:r>
      <w:r w:rsidRPr="009002C5">
        <w:rPr>
          <w:rFonts w:ascii="Times New Roman" w:hAnsi="Times New Roman"/>
        </w:rPr>
        <w:t xml:space="preserve"> pre kultúrnu diverzitu.</w:t>
      </w:r>
    </w:p>
    <w:p w:rsidR="006D7DB2" w:rsidP="006D7DB2">
      <w:pPr>
        <w:bidi w:val="0"/>
        <w:ind w:firstLine="708"/>
        <w:jc w:val="both"/>
        <w:rPr>
          <w:rFonts w:ascii="Times New Roman" w:hAnsi="Times New Roman"/>
        </w:rPr>
      </w:pPr>
    </w:p>
    <w:p w:rsidR="004403FA" w:rsidP="006D7DB2">
      <w:pPr>
        <w:bidi w:val="0"/>
        <w:ind w:firstLine="708"/>
        <w:jc w:val="both"/>
        <w:rPr>
          <w:rFonts w:ascii="Times New Roman" w:hAnsi="Times New Roman"/>
        </w:rPr>
      </w:pPr>
    </w:p>
    <w:p w:rsidR="006D7DB2" w:rsidP="006D7DB2">
      <w:pPr>
        <w:bidi w:val="0"/>
        <w:ind w:firstLine="708"/>
        <w:jc w:val="both"/>
        <w:rPr>
          <w:rFonts w:ascii="Times New Roman" w:hAnsi="Times New Roman"/>
        </w:rPr>
      </w:pPr>
      <w:r w:rsidRPr="005B00AA">
        <w:rPr>
          <w:rFonts w:ascii="Times New Roman" w:hAnsi="Times New Roman"/>
        </w:rPr>
        <w:t xml:space="preserve">Navrhovaným zákonom, ktorým sa </w:t>
      </w:r>
      <w:r>
        <w:rPr>
          <w:rFonts w:ascii="Times New Roman" w:hAnsi="Times New Roman"/>
        </w:rPr>
        <w:t xml:space="preserve">v čl. II </w:t>
      </w:r>
      <w:r w:rsidRPr="005B00AA">
        <w:rPr>
          <w:rFonts w:ascii="Times New Roman" w:hAnsi="Times New Roman"/>
        </w:rPr>
        <w:t>mení a dopĺňa zákon č. 284/2014 Z. z. o</w:t>
      </w:r>
      <w:r>
        <w:rPr>
          <w:rFonts w:ascii="Times New Roman" w:hAnsi="Times New Roman"/>
        </w:rPr>
        <w:t> </w:t>
      </w:r>
      <w:r w:rsidRPr="005B00AA">
        <w:rPr>
          <w:rFonts w:ascii="Times New Roman" w:hAnsi="Times New Roman"/>
        </w:rPr>
        <w:t>Fonde na podporu umenia a o zmene a doplnení zákona č. 434/2010 Z. z. o poskytovaní dotácií v pôsobnosti Ministerstva kultúry Slovenskej republiky v znení zákona č. 79/2013 Z. z.</w:t>
      </w:r>
      <w:r>
        <w:rPr>
          <w:rFonts w:ascii="Times New Roman" w:hAnsi="Times New Roman"/>
        </w:rPr>
        <w:t xml:space="preserve">, </w:t>
      </w:r>
      <w:r w:rsidRPr="009002C5">
        <w:rPr>
          <w:rFonts w:ascii="Times New Roman" w:hAnsi="Times New Roman"/>
        </w:rPr>
        <w:t xml:space="preserve">sa utvára východiskový predpoklad riešenia načrtnutého problému tak, že </w:t>
      </w:r>
      <w:r>
        <w:rPr>
          <w:rFonts w:ascii="Times New Roman" w:hAnsi="Times New Roman"/>
        </w:rPr>
        <w:t xml:space="preserve">sa </w:t>
      </w:r>
      <w:r w:rsidRPr="009002C5">
        <w:rPr>
          <w:rFonts w:ascii="Times New Roman" w:hAnsi="Times New Roman"/>
        </w:rPr>
        <w:t xml:space="preserve">vymedzuje pojem „profesionálny umelec v slobodnom povolaní“ a upravujú sa </w:t>
      </w:r>
      <w:r>
        <w:rPr>
          <w:rFonts w:ascii="Times New Roman" w:hAnsi="Times New Roman"/>
        </w:rPr>
        <w:t xml:space="preserve">podmienky evidencie profesionálnych umelcov. Evidencia nie je povinná a nie je ani podmienkou vykonávania umeleckej činnosti. Avšak zápisom v evidencii profesionálnych umelcov v slobodnom povolaní získava umelec oficiálne status profesionálneho umelca, čo môže byť v budúcnosti rozhodujúce pre udelenie rôznych bonusov pre umelcov. </w:t>
      </w:r>
      <w:r w:rsidRPr="00543E13">
        <w:rPr>
          <w:rFonts w:ascii="Times New Roman" w:hAnsi="Times New Roman"/>
        </w:rPr>
        <w:t xml:space="preserve">Zároveň sa vytvorí nástroj, ktorí vytvorí predpoklady na riešenie špecifických problémov umenia zo strany štátu. </w:t>
      </w:r>
    </w:p>
    <w:p w:rsidR="006D7DB2" w:rsidP="006D7DB2">
      <w:pPr>
        <w:bidi w:val="0"/>
        <w:ind w:firstLine="708"/>
        <w:jc w:val="both"/>
        <w:rPr>
          <w:rFonts w:ascii="Times New Roman" w:hAnsi="Times New Roman"/>
        </w:rPr>
      </w:pPr>
    </w:p>
    <w:p w:rsidR="004403FA" w:rsidRPr="00543E13" w:rsidP="006D7DB2">
      <w:pPr>
        <w:bidi w:val="0"/>
        <w:ind w:firstLine="708"/>
        <w:jc w:val="both"/>
        <w:rPr>
          <w:rFonts w:ascii="Times New Roman" w:hAnsi="Times New Roman"/>
        </w:rPr>
      </w:pPr>
    </w:p>
    <w:p w:rsidR="006D7DB2" w:rsidP="006D7DB2">
      <w:pPr>
        <w:pStyle w:val="ListParagraph"/>
        <w:bidi w:val="0"/>
        <w:spacing w:line="240" w:lineRule="auto"/>
        <w:ind w:left="0" w:firstLine="708"/>
        <w:jc w:val="both"/>
        <w:rPr>
          <w:rFonts w:ascii="Times New Roman" w:hAnsi="Times New Roman"/>
          <w:sz w:val="24"/>
          <w:szCs w:val="24"/>
        </w:rPr>
      </w:pPr>
      <w:r w:rsidRPr="00600BDC">
        <w:rPr>
          <w:rFonts w:ascii="Times New Roman" w:hAnsi="Times New Roman"/>
          <w:sz w:val="24"/>
          <w:szCs w:val="24"/>
        </w:rPr>
        <w:t xml:space="preserve">Navrhuje sa, aby evidenciu </w:t>
      </w:r>
      <w:r>
        <w:rPr>
          <w:rFonts w:ascii="Times New Roman" w:hAnsi="Times New Roman"/>
          <w:sz w:val="24"/>
          <w:szCs w:val="24"/>
        </w:rPr>
        <w:t xml:space="preserve">profesionálnych </w:t>
      </w:r>
      <w:r w:rsidRPr="00600BDC">
        <w:rPr>
          <w:rFonts w:ascii="Times New Roman" w:hAnsi="Times New Roman"/>
          <w:sz w:val="24"/>
          <w:szCs w:val="24"/>
        </w:rPr>
        <w:t xml:space="preserve">umelcov viedol novozriadený Fond na podporu umenia. </w:t>
      </w:r>
      <w:r>
        <w:rPr>
          <w:rFonts w:ascii="Times New Roman" w:hAnsi="Times New Roman"/>
          <w:sz w:val="24"/>
          <w:szCs w:val="24"/>
        </w:rPr>
        <w:t xml:space="preserve">Stanovujú sa kritériá pre posudzovanie profesionality umelca. </w:t>
      </w:r>
      <w:r w:rsidRPr="00600BDC">
        <w:rPr>
          <w:rFonts w:ascii="Times New Roman" w:hAnsi="Times New Roman"/>
          <w:sz w:val="24"/>
          <w:szCs w:val="24"/>
        </w:rPr>
        <w:t xml:space="preserve"> O zápise do evidencie rozhodne riaditeľ fondu na základe odporučenia odbornej komisie, zloženej z externých odborníkov z príslušného žánru umeleckej činnosti, ktorá preskúma podmienky zápisu do evidencie. Týchto odborníkov nominujú profesionálne umelecké združenia. </w:t>
      </w:r>
    </w:p>
    <w:p w:rsidR="006D7DB2" w:rsidP="006D7DB2">
      <w:pPr>
        <w:pStyle w:val="NoSpacing"/>
        <w:bidi w:val="0"/>
        <w:ind w:firstLine="708"/>
        <w:jc w:val="both"/>
        <w:rPr>
          <w:rFonts w:ascii="Times New Roman" w:hAnsi="Times New Roman"/>
          <w:color w:val="800080"/>
        </w:rPr>
      </w:pPr>
    </w:p>
    <w:p w:rsidR="004403FA" w:rsidP="006D7DB2">
      <w:pPr>
        <w:pStyle w:val="NoSpacing"/>
        <w:bidi w:val="0"/>
        <w:ind w:firstLine="708"/>
        <w:jc w:val="both"/>
        <w:rPr>
          <w:rFonts w:ascii="Times New Roman" w:hAnsi="Times New Roman"/>
          <w:color w:val="800080"/>
        </w:rPr>
      </w:pPr>
    </w:p>
    <w:p w:rsidR="006D7DB2" w:rsidP="006D7DB2">
      <w:pPr>
        <w:pStyle w:val="NoSpacing"/>
        <w:bidi w:val="0"/>
        <w:ind w:firstLine="708"/>
        <w:jc w:val="both"/>
        <w:rPr>
          <w:rFonts w:ascii="Times New Roman" w:hAnsi="Times New Roman"/>
        </w:rPr>
      </w:pPr>
      <w:r w:rsidRPr="006818EB">
        <w:rPr>
          <w:rFonts w:ascii="Times New Roman" w:hAnsi="Times New Roman"/>
        </w:rPr>
        <w:t>Navrhovaným zákonom sa súčasne v Čl. III dopĺňa zákon č. 213/1997 Z. z. o</w:t>
      </w:r>
      <w:r>
        <w:rPr>
          <w:rFonts w:ascii="Times New Roman" w:hAnsi="Times New Roman"/>
        </w:rPr>
        <w:t> </w:t>
      </w:r>
      <w:r w:rsidRPr="006818EB">
        <w:rPr>
          <w:rFonts w:ascii="Times New Roman" w:hAnsi="Times New Roman"/>
        </w:rPr>
        <w:t xml:space="preserve">neziskových organizáciách poskytujúcich všeobecne prospešné služby v znení </w:t>
      </w:r>
      <w:r>
        <w:rPr>
          <w:rFonts w:ascii="Times New Roman" w:hAnsi="Times New Roman"/>
        </w:rPr>
        <w:t>neskorších predpisov.</w:t>
      </w:r>
    </w:p>
    <w:p w:rsidR="006D7DB2" w:rsidP="006D7DB2">
      <w:pPr>
        <w:pStyle w:val="NoSpacing"/>
        <w:bidi w:val="0"/>
        <w:ind w:firstLine="708"/>
        <w:jc w:val="both"/>
        <w:rPr>
          <w:rFonts w:ascii="Times New Roman" w:hAnsi="Times New Roman"/>
        </w:rPr>
      </w:pPr>
    </w:p>
    <w:p w:rsidR="004403FA" w:rsidP="006D7DB2">
      <w:pPr>
        <w:pStyle w:val="NoSpacing"/>
        <w:bidi w:val="0"/>
        <w:ind w:firstLine="708"/>
        <w:jc w:val="both"/>
        <w:rPr>
          <w:rFonts w:ascii="Times New Roman" w:hAnsi="Times New Roman"/>
        </w:rPr>
      </w:pPr>
    </w:p>
    <w:p w:rsidR="006D7DB2" w:rsidRPr="006818EB" w:rsidP="006D7DB2">
      <w:pPr>
        <w:pStyle w:val="NoSpacing"/>
        <w:bidi w:val="0"/>
        <w:ind w:firstLine="708"/>
        <w:jc w:val="both"/>
        <w:rPr>
          <w:rFonts w:ascii="Times New Roman" w:hAnsi="Times New Roman"/>
        </w:rPr>
      </w:pPr>
      <w:r w:rsidRPr="006818EB">
        <w:rPr>
          <w:rFonts w:ascii="Times New Roman" w:hAnsi="Times New Roman"/>
        </w:rPr>
        <w:t xml:space="preserve">Podľa doterajšej právnej úpravy zákona o neziskových organizáciách poskytujúcich všeobecne prospešné služby nemožno z dotácií zo štátneho rozpočtu, rozpočtu štátneho fondu a rozpočtu obce uhrádzať výdavky (náklady) na správu neziskovej organizácie. Navrhovaná právna úprava vytvára legislatívny priestor na možnosť poskytnúť neziskovej organizácii finančnú podporu z rozpočtu jej zakladateľa na prevádzkovú činnosť vo forme príspevku zakladateľa. </w:t>
      </w:r>
    </w:p>
    <w:p w:rsidR="006D7DB2" w:rsidP="006D7DB2">
      <w:pPr>
        <w:pStyle w:val="NoSpacing"/>
        <w:bidi w:val="0"/>
        <w:jc w:val="both"/>
        <w:rPr>
          <w:rFonts w:ascii="Times New Roman" w:hAnsi="Times New Roman"/>
          <w:color w:val="800080"/>
        </w:rPr>
      </w:pPr>
    </w:p>
    <w:p w:rsidR="004403FA" w:rsidRPr="00381DEA" w:rsidP="006D7DB2">
      <w:pPr>
        <w:pStyle w:val="NoSpacing"/>
        <w:bidi w:val="0"/>
        <w:jc w:val="both"/>
        <w:rPr>
          <w:rFonts w:ascii="Times New Roman" w:hAnsi="Times New Roman"/>
          <w:color w:val="800080"/>
        </w:rPr>
      </w:pPr>
    </w:p>
    <w:p w:rsidR="006D7DB2" w:rsidP="006D7DB2">
      <w:pPr>
        <w:pStyle w:val="NoSpacing"/>
        <w:bidi w:val="0"/>
        <w:ind w:firstLine="708"/>
        <w:jc w:val="both"/>
        <w:rPr>
          <w:rFonts w:ascii="Times New Roman" w:hAnsi="Times New Roman"/>
        </w:rPr>
      </w:pPr>
      <w:r w:rsidRPr="006818EB">
        <w:rPr>
          <w:rFonts w:ascii="Times New Roman" w:hAnsi="Times New Roman"/>
        </w:rPr>
        <w:t>Tento postup je v súlade s § 8 ods. 1 písm. i) zákona č. 52</w:t>
      </w:r>
      <w:r>
        <w:rPr>
          <w:rFonts w:ascii="Times New Roman" w:hAnsi="Times New Roman"/>
        </w:rPr>
        <w:t>3</w:t>
      </w:r>
      <w:r w:rsidRPr="006818EB">
        <w:rPr>
          <w:rFonts w:ascii="Times New Roman" w:hAnsi="Times New Roman"/>
        </w:rPr>
        <w:t>/2004 Z. z. o rozpočtových pravidlách verejnej správy a o zmene a doplnení niektorých zákonov v znení neskorších predpisov.</w:t>
      </w:r>
    </w:p>
    <w:p w:rsidR="006D7DB2" w:rsidP="006D7DB2">
      <w:pPr>
        <w:widowControl/>
        <w:bidi w:val="0"/>
        <w:spacing w:after="280" w:afterAutospacing="1" w:line="240" w:lineRule="atLeast"/>
        <w:ind w:firstLine="708"/>
        <w:jc w:val="both"/>
        <w:rPr>
          <w:rStyle w:val="PlaceholderText"/>
          <w:color w:val="000000"/>
        </w:rPr>
      </w:pPr>
      <w:r>
        <w:rPr>
          <w:rStyle w:val="PlaceholderText"/>
          <w:color w:val="000000"/>
        </w:rPr>
        <w:t>Návrh zákona je v súlade s Ústavou Slovenskej republiky, ústavnými zákonmi, zákonmi a ostatnými všeobecne záväznými právnymi predpismi, ako aj s medzinárodnými zmluvami a medzinárodnými dokumentmi, ktorými je Slovenská republika viazaná. Predložený návrh zákona je v súlade s právom Európskej únie.</w:t>
      </w:r>
    </w:p>
    <w:p w:rsidR="006D7DB2" w:rsidP="006D7DB2">
      <w:pPr>
        <w:widowControl/>
        <w:bidi w:val="0"/>
        <w:spacing w:after="280" w:afterAutospacing="1" w:line="240" w:lineRule="atLeast"/>
        <w:jc w:val="both"/>
        <w:rPr>
          <w:rStyle w:val="PlaceholderText"/>
          <w:color w:val="000000"/>
        </w:rPr>
      </w:pPr>
      <w:r>
        <w:rPr>
          <w:rFonts w:ascii="Times New Roman" w:hAnsi="Times New Roman"/>
          <w:b/>
          <w:color w:val="000000"/>
        </w:rPr>
        <w:tab/>
      </w:r>
      <w:r>
        <w:rPr>
          <w:rStyle w:val="PlaceholderText"/>
          <w:color w:val="000000"/>
        </w:rPr>
        <w:t>Návrh zákona podľa priloženej doložky vplyvov predpokladá negatívny vplyv na rozpočet verejnej správy, nepredpokladá negatívny vplyv na sociálne, na životné prostredie ani na podnikateľské prostredie a bude mať pozitívny vplyv na informatizáciu spoločnosti.</w:t>
      </w:r>
    </w:p>
    <w:p w:rsidR="006D7DB2" w:rsidP="006D7DB2">
      <w:pPr>
        <w:widowControl/>
        <w:bidi w:val="0"/>
        <w:jc w:val="both"/>
        <w:rPr>
          <w:rFonts w:ascii="Times New Roman" w:hAnsi="Times New Roman"/>
          <w:b/>
          <w:color w:val="000000"/>
        </w:rPr>
      </w:pPr>
    </w:p>
    <w:p w:rsidR="004403FA" w:rsidRPr="00A64D2D" w:rsidP="006D7DB2">
      <w:pPr>
        <w:widowControl/>
        <w:bidi w:val="0"/>
        <w:jc w:val="both"/>
        <w:rPr>
          <w:rFonts w:ascii="Times New Roman" w:hAnsi="Times New Roman"/>
          <w:b/>
          <w:color w:val="000000"/>
        </w:rPr>
      </w:pPr>
    </w:p>
    <w:p w:rsidR="006D7DB2" w:rsidP="006D7DB2">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Doložka vybraných vplyvov</w:t>
      </w:r>
    </w:p>
    <w:p w:rsidR="006D7DB2" w:rsidP="006D7DB2">
      <w:pPr>
        <w:pStyle w:val="NormalWeb"/>
        <w:bidi w:val="0"/>
        <w:spacing w:before="0" w:beforeAutospacing="0" w:after="0" w:afterAutospacing="0"/>
        <w:ind w:right="-108"/>
        <w:jc w:val="center"/>
        <w:rPr>
          <w:rFonts w:ascii="Times New Roman" w:hAnsi="Times New Roman"/>
          <w:b/>
          <w:bCs/>
          <w:sz w:val="28"/>
          <w:szCs w:val="28"/>
        </w:rPr>
      </w:pPr>
      <w:r>
        <w:rPr>
          <w:rFonts w:ascii="Times New Roman" w:hAnsi="Times New Roman"/>
          <w:b/>
          <w:bCs/>
          <w:sz w:val="28"/>
          <w:szCs w:val="28"/>
        </w:rPr>
        <w:t> </w:t>
      </w:r>
    </w:p>
    <w:p w:rsidR="006D7DB2" w:rsidP="006D7DB2">
      <w:pPr>
        <w:pStyle w:val="NormalWeb"/>
        <w:bidi w:val="0"/>
        <w:spacing w:before="0" w:beforeAutospacing="0" w:after="0" w:afterAutospacing="0"/>
        <w:ind w:right="-108"/>
        <w:rPr>
          <w:rFonts w:ascii="Times New Roman" w:hAnsi="Times New Roman"/>
          <w:b/>
          <w:bCs/>
        </w:rPr>
      </w:pPr>
      <w:r>
        <w:rPr>
          <w:rFonts w:ascii="Times New Roman" w:hAnsi="Times New Roman"/>
          <w:b/>
          <w:bCs/>
        </w:rPr>
        <w:t>A.1.</w:t>
      </w:r>
    </w:p>
    <w:p w:rsidR="006D7DB2" w:rsidRPr="00A1013C" w:rsidP="006D7DB2">
      <w:pPr>
        <w:tabs>
          <w:tab w:val="left" w:pos="5387"/>
        </w:tabs>
        <w:autoSpaceDE w:val="0"/>
        <w:autoSpaceDN w:val="0"/>
        <w:bidi w:val="0"/>
        <w:jc w:val="both"/>
        <w:rPr>
          <w:rFonts w:ascii="Times New Roman" w:hAnsi="Times New Roman"/>
          <w:color w:val="000000"/>
        </w:rPr>
      </w:pPr>
      <w:r>
        <w:rPr>
          <w:rFonts w:ascii="Times New Roman" w:hAnsi="Times New Roman"/>
        </w:rPr>
        <w:t xml:space="preserve">Návrh zákona z……2015, </w:t>
      </w:r>
      <w:r w:rsidRPr="00A1013C">
        <w:rPr>
          <w:rFonts w:ascii="Times New Roman" w:hAnsi="Times New Roman"/>
        </w:rPr>
        <w:t>ktorým sa mení zákon č. 434/2010 Z. z. o poskytovaní dotácií v pôsobnosti Ministerstva kultúry Slovenskej republiky v znení neskorších predpisov a ktorým sa menia a dopĺňajú niektoré zákony</w:t>
      </w:r>
    </w:p>
    <w:p w:rsidR="006D7DB2" w:rsidP="006D7DB2">
      <w:pPr>
        <w:pStyle w:val="NormalWeb"/>
        <w:bidi w:val="0"/>
        <w:spacing w:before="0" w:beforeAutospacing="0" w:after="0" w:afterAutospacing="0"/>
        <w:rPr>
          <w:rFonts w:ascii="Times New Roman" w:hAnsi="Times New Roman"/>
          <w:b/>
          <w:bCs/>
        </w:rPr>
      </w:pPr>
      <w:r w:rsidRPr="009D041F">
        <w:rPr>
          <w:rFonts w:ascii="Times New Roman" w:hAnsi="Times New Roman"/>
          <w:b/>
          <w:bCs/>
        </w:rPr>
        <w:t>Termín začatia a ukončenia P</w:t>
      </w:r>
      <w:r>
        <w:rPr>
          <w:rFonts w:ascii="Times New Roman" w:hAnsi="Times New Roman"/>
          <w:b/>
          <w:bCs/>
        </w:rPr>
        <w:t>P</w:t>
      </w:r>
      <w:r w:rsidRPr="009D041F">
        <w:rPr>
          <w:rFonts w:ascii="Times New Roman" w:hAnsi="Times New Roman"/>
          <w:b/>
          <w:bCs/>
        </w:rPr>
        <w:t>K:</w:t>
      </w:r>
    </w:p>
    <w:p w:rsidR="006D7DB2" w:rsidP="006D7DB2">
      <w:pPr>
        <w:pStyle w:val="NormalWeb"/>
        <w:bidi w:val="0"/>
        <w:spacing w:before="0" w:beforeAutospacing="0" w:after="0" w:afterAutospacing="0"/>
        <w:rPr>
          <w:rFonts w:ascii="Times New Roman" w:hAnsi="Times New Roman"/>
        </w:rPr>
      </w:pPr>
      <w:r>
        <w:rPr>
          <w:rFonts w:ascii="Times New Roman" w:hAnsi="Times New Roman"/>
          <w:b/>
          <w:bCs/>
        </w:rPr>
        <w:t> </w:t>
      </w:r>
    </w:p>
    <w:p w:rsidR="006D7DB2" w:rsidP="006D7DB2">
      <w:pPr>
        <w:pStyle w:val="NormalWeb"/>
        <w:bidi w:val="0"/>
        <w:spacing w:before="0" w:beforeAutospacing="0" w:after="0" w:afterAutospacing="0"/>
        <w:rPr>
          <w:rFonts w:ascii="Times New Roman" w:hAnsi="Times New Roman"/>
        </w:rPr>
      </w:pPr>
      <w:r>
        <w:rPr>
          <w:rFonts w:ascii="Times New Roman" w:hAnsi="Times New Roman"/>
          <w:b/>
          <w:bCs/>
        </w:rPr>
        <w:t> A.2. Vplyvy:</w:t>
      </w:r>
    </w:p>
    <w:p w:rsidR="006D7DB2" w:rsidP="006D7DB2">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1. Vplyvy na rozpočet verejnej správy</w:t>
            </w:r>
          </w:p>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xml:space="preserve">3, Sociálne vplyvy </w:t>
            </w:r>
          </w:p>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vplyvy  na hospodárenie obyvateľstva,</w:t>
            </w:r>
          </w:p>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sociálnu exklúziu,</w:t>
            </w:r>
          </w:p>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bl>
    <w:p w:rsidR="006D7DB2" w:rsidP="006D7DB2">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6D7DB2" w:rsidP="006D7DB2">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6D7DB2" w:rsidP="006D7DB2">
      <w:pPr>
        <w:pStyle w:val="NormalWeb"/>
        <w:bidi w:val="0"/>
        <w:spacing w:before="0" w:beforeAutospacing="0" w:after="0" w:afterAutospacing="0"/>
        <w:jc w:val="both"/>
        <w:rPr>
          <w:rFonts w:ascii="Times New Roman" w:hAnsi="Times New Roman"/>
        </w:rPr>
      </w:pPr>
      <w:r>
        <w:rPr>
          <w:rFonts w:ascii="Times New Roman" w:hAnsi="Times New Roman"/>
        </w:rPr>
        <w:t> </w:t>
      </w:r>
      <w:r>
        <w:rPr>
          <w:rFonts w:ascii="Times New Roman" w:hAnsi="Times New Roman"/>
          <w:b/>
          <w:bCs/>
        </w:rPr>
        <w:t> </w:t>
      </w:r>
    </w:p>
    <w:p w:rsidR="006D7DB2" w:rsidRPr="00D654F4" w:rsidP="006D7DB2">
      <w:pPr>
        <w:bidi w:val="0"/>
        <w:rPr>
          <w:rFonts w:ascii="Times New Roman" w:hAnsi="Times New Roman"/>
          <w:b/>
        </w:rPr>
      </w:pPr>
      <w:r w:rsidRPr="00D654F4">
        <w:rPr>
          <w:rFonts w:ascii="Times New Roman" w:hAnsi="Times New Roman"/>
          <w:b/>
        </w:rPr>
        <w:t>A.3. Poznámky</w:t>
      </w:r>
    </w:p>
    <w:p w:rsidR="006D7DB2" w:rsidP="006D7DB2">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rPr>
        <w:t xml:space="preserve"> Materiál má negatívny vplyv na rozpočet verejnej správy a zároveň sú  finančné prostriedky zabezpečené v rámci schválených výdavkov kapitoly Ministerstva kultúry Slovenskej republiky na príslušný rozpočtový rok  bez zvýšených požiadaviek na prostriedky štátneho rozpočtu 2015 a nasledujúce tri roky. </w:t>
      </w:r>
      <w:r>
        <w:rPr>
          <w:rFonts w:ascii="Times New Roman" w:hAnsi="Times New Roman"/>
          <w:color w:val="000000"/>
        </w:rPr>
        <w:t xml:space="preserve">Materiál má pozitívny vplyv na informatizáciu spoločnosti a nemá sociálne vplyvy a tiež  vplyv na životné a podnikateľské prostredie. </w:t>
      </w:r>
    </w:p>
    <w:p w:rsidR="006D7DB2" w:rsidP="006D7DB2">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Návrh zákona zakladá predpoklady na vedenie evidencie profesionálneho umelca v slobodnom povolaní prostredníctvom Fondu na podporu umenia (ďalej len fond), ktorá v súčasnosti nevytvára možnosti na zákonné nároky, ktoré by boli viazané na vymedzenie tohto pojmu. Výdavky na vydávanie preukazov a evidenciu budú hradené z rozpočtu fondu bez dodatočných požiadaviek na štátny rozpočet. Sumu príjmov z administratívnych poplatkov za spracovanie žiadostí a zápis do evidencie profesionálnych umelcov, ktoré budú príjmom fondu, nie je možné v súčasnosti objektívne kvantifikovať, nakoľko štatút profesionálneho umelca má fakultatívny charakter.  </w:t>
      </w:r>
    </w:p>
    <w:p w:rsidR="006D7DB2" w:rsidRPr="004B0993" w:rsidP="006D7DB2">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V súvislosti s prechodným zvýšením prevádzkových výdavkov (nákladov) fondu v roku 2016 o 1% sa vytvoria podmienky na zabezpečenie  materiálno-technických predpokladov na plné fundovanie fondu. Predmetné zvýšenie nezakladá vplyv na rozpočet verejnej správy, nakoľko bude hradené v rámci  rozpočtu výdavkov Fondu na podporu umenia.      </w:t>
      </w:r>
    </w:p>
    <w:p w:rsidR="006D7DB2" w:rsidRPr="004B0993" w:rsidP="006D7DB2">
      <w:pPr>
        <w:pStyle w:val="NormalWeb"/>
        <w:bidi w:val="0"/>
        <w:spacing w:before="0" w:beforeAutospacing="0" w:after="0" w:afterAutospacing="0"/>
        <w:ind w:firstLine="708"/>
        <w:jc w:val="both"/>
        <w:rPr>
          <w:rFonts w:ascii="Times New Roman" w:hAnsi="Times New Roman"/>
        </w:rPr>
      </w:pPr>
    </w:p>
    <w:p w:rsidR="006D7DB2" w:rsidRPr="00812F6A" w:rsidP="006D7DB2">
      <w:pPr>
        <w:pStyle w:val="NormalWeb"/>
        <w:bidi w:val="0"/>
        <w:spacing w:before="0" w:beforeAutospacing="0" w:after="0" w:afterAutospacing="0"/>
        <w:ind w:firstLine="708"/>
        <w:jc w:val="both"/>
        <w:rPr>
          <w:rFonts w:ascii="Times New Roman" w:hAnsi="Times New Roman"/>
        </w:rPr>
      </w:pPr>
      <w:r>
        <w:rPr>
          <w:rFonts w:ascii="Times New Roman" w:hAnsi="Times New Roman"/>
          <w:color w:val="000000"/>
        </w:rPr>
        <w:t xml:space="preserve"> </w:t>
      </w:r>
    </w:p>
    <w:p w:rsidR="006D7DB2" w:rsidP="006D7DB2">
      <w:pPr>
        <w:pStyle w:val="NormalWeb"/>
        <w:bidi w:val="0"/>
        <w:spacing w:before="0" w:beforeAutospacing="0" w:after="0" w:afterAutospacing="0"/>
        <w:jc w:val="both"/>
        <w:rPr>
          <w:rFonts w:ascii="Times New Roman" w:hAnsi="Times New Roman"/>
        </w:rPr>
      </w:pPr>
      <w:r>
        <w:rPr>
          <w:rFonts w:ascii="Times New Roman" w:hAnsi="Times New Roman"/>
        </w:rPr>
        <w:t> </w:t>
      </w:r>
    </w:p>
    <w:p w:rsidR="006D7DB2" w:rsidRPr="00E34980" w:rsidP="006D7DB2">
      <w:pPr>
        <w:pStyle w:val="NormalWeb"/>
        <w:bidi w:val="0"/>
        <w:spacing w:before="0" w:beforeAutospacing="0" w:after="0" w:afterAutospacing="0"/>
        <w:jc w:val="both"/>
        <w:rPr>
          <w:rFonts w:ascii="Times New Roman" w:hAnsi="Times New Roman"/>
        </w:rPr>
      </w:pPr>
      <w:r>
        <w:rPr>
          <w:rFonts w:ascii="Times New Roman" w:hAnsi="Times New Roman"/>
          <w:b/>
          <w:bCs/>
        </w:rPr>
        <w:t xml:space="preserve">A.4. Alternatívne riešenia </w:t>
      </w:r>
      <w:r w:rsidRPr="00E34980">
        <w:rPr>
          <w:rFonts w:ascii="Times New Roman" w:hAnsi="Times New Roman"/>
          <w:bCs/>
        </w:rPr>
        <w:t>bezpredmetné</w:t>
      </w:r>
    </w:p>
    <w:p w:rsidR="006D7DB2" w:rsidP="006D7DB2">
      <w:pPr>
        <w:pStyle w:val="NormalWeb"/>
        <w:bidi w:val="0"/>
        <w:spacing w:before="0" w:beforeAutospacing="0" w:after="0" w:afterAutospacing="0"/>
        <w:jc w:val="both"/>
        <w:rPr>
          <w:rFonts w:ascii="Times New Roman" w:hAnsi="Times New Roman"/>
        </w:rPr>
      </w:pPr>
    </w:p>
    <w:p w:rsidR="006D7DB2" w:rsidP="006D7DB2">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 A.5. Stanovisko gestorov </w:t>
      </w:r>
    </w:p>
    <w:p w:rsidR="006D7DB2" w:rsidP="006D7DB2">
      <w:pPr>
        <w:pStyle w:val="NormalWeb"/>
        <w:bidi w:val="0"/>
        <w:spacing w:before="0" w:beforeAutospacing="0" w:after="0" w:afterAutospacing="0"/>
        <w:jc w:val="both"/>
        <w:rPr>
          <w:rFonts w:ascii="Times New Roman" w:hAnsi="Times New Roman"/>
        </w:rPr>
      </w:pPr>
      <w:r>
        <w:rPr>
          <w:rFonts w:ascii="Times New Roman" w:hAnsi="Times New Roman"/>
        </w:rPr>
        <w:t>.</w:t>
      </w:r>
    </w:p>
    <w:p w:rsidR="006D7DB2" w:rsidP="006D7DB2">
      <w:pPr>
        <w:pStyle w:val="NormalWeb"/>
        <w:bidi w:val="0"/>
        <w:spacing w:before="0" w:beforeAutospacing="0" w:after="0" w:afterAutospacing="0"/>
        <w:jc w:val="both"/>
        <w:rPr>
          <w:rFonts w:ascii="Times New Roman" w:hAnsi="Times New Roman"/>
          <w:b/>
          <w:bCs/>
          <w:sz w:val="28"/>
          <w:szCs w:val="28"/>
        </w:rPr>
      </w:pPr>
    </w:p>
    <w:p w:rsidR="006D7DB2" w:rsidRPr="00541BD0" w:rsidP="006D7DB2">
      <w:pPr>
        <w:pStyle w:val="NormalWeb"/>
        <w:bidi w:val="0"/>
        <w:spacing w:before="0" w:beforeAutospacing="0" w:after="0" w:afterAutospacing="0"/>
        <w:jc w:val="center"/>
        <w:rPr>
          <w:rFonts w:ascii="Times New Roman" w:hAnsi="Times New Roman"/>
          <w:b/>
          <w:bCs/>
          <w:sz w:val="28"/>
          <w:szCs w:val="28"/>
        </w:rPr>
      </w:pPr>
      <w:r w:rsidRPr="00541BD0">
        <w:rPr>
          <w:rFonts w:ascii="Times New Roman" w:hAnsi="Times New Roman"/>
          <w:b/>
          <w:bCs/>
          <w:sz w:val="28"/>
          <w:szCs w:val="28"/>
        </w:rPr>
        <w:t>Vplyvy na rozpočet verejnej správy,</w:t>
      </w:r>
    </w:p>
    <w:p w:rsidR="006D7DB2" w:rsidP="006D7DB2">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6D7DB2" w:rsidP="006D7DB2">
      <w:pPr>
        <w:bidi w:val="0"/>
        <w:rPr>
          <w:rFonts w:ascii="Times New Roman" w:hAnsi="Times New Roman"/>
        </w:rPr>
      </w:pPr>
      <w:r>
        <w:rPr>
          <w:rFonts w:ascii="Times New Roman" w:hAnsi="Times New Roman"/>
        </w:rPr>
        <w:t> </w:t>
      </w:r>
    </w:p>
    <w:p w:rsidR="006D7DB2" w:rsidP="006D7DB2">
      <w:pPr>
        <w:bidi w:val="0"/>
        <w:rPr>
          <w:rFonts w:ascii="Times New Roman" w:hAnsi="Times New Roman"/>
        </w:rPr>
      </w:pPr>
      <w:r w:rsidRPr="004161A1">
        <w:rPr>
          <w:rFonts w:ascii="Times New Roman" w:hAnsi="Times New Roman"/>
          <w:b/>
          <w:bCs/>
        </w:rPr>
        <w:t>2.1. Zhrnutie vplyvov na rozpočet verejnej správy v návrhu</w:t>
      </w:r>
      <w:r w:rsidRPr="00020F5A">
        <w:rPr>
          <w:rFonts w:ascii="Times New Roman" w:hAnsi="Times New Roman"/>
          <w:b/>
          <w:bCs/>
          <w:color w:val="FFFFFF"/>
        </w:rPr>
        <w:t xml:space="preserve"> </w:t>
      </w:r>
      <w:r w:rsidRPr="004161A1">
        <w:rPr>
          <w:rFonts w:ascii="Times New Roman" w:hAnsi="Times New Roman"/>
          <w:b/>
          <w:bCs/>
          <w:color w:val="FFFFFF"/>
        </w:rPr>
        <w:t>r</w:t>
      </w:r>
    </w:p>
    <w:p w:rsidR="006D7DB2" w:rsidP="006D7DB2">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9729" w:type="dxa"/>
        <w:tblLayout w:type="fixed"/>
        <w:tblCellMar>
          <w:left w:w="0" w:type="dxa"/>
          <w:right w:w="0" w:type="dxa"/>
        </w:tblCellMar>
      </w:tblPr>
      <w:tblGrid>
        <w:gridCol w:w="3898"/>
        <w:gridCol w:w="1275"/>
        <w:gridCol w:w="1418"/>
        <w:gridCol w:w="1559"/>
        <w:gridCol w:w="1579"/>
      </w:tblGrid>
      <w:tr>
        <w:tblPrEx>
          <w:tblW w:w="9729" w:type="dxa"/>
          <w:tblLayout w:type="fixed"/>
          <w:tblCellMar>
            <w:left w:w="0" w:type="dxa"/>
            <w:right w:w="0" w:type="dxa"/>
          </w:tblCellMar>
        </w:tblPrEx>
        <w:trPr>
          <w:trHeight w:val="194"/>
        </w:trPr>
        <w:tc>
          <w:tcPr>
            <w:tcW w:w="389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5831"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729" w:type="dxa"/>
          <w:tblLayout w:type="fixed"/>
          <w:tblCellMar>
            <w:left w:w="0" w:type="dxa"/>
            <w:right w:w="0" w:type="dxa"/>
          </w:tblCellMar>
        </w:tblPrEx>
        <w:trPr>
          <w:trHeight w:val="70"/>
        </w:trPr>
        <w:tc>
          <w:tcPr>
            <w:tcW w:w="3898" w:type="dxa"/>
            <w:vMerge/>
            <w:tcBorders>
              <w:top w:val="single" w:sz="4" w:space="0" w:color="000000"/>
              <w:left w:val="single" w:sz="4" w:space="0" w:color="000000"/>
              <w:bottom w:val="single" w:sz="4" w:space="0" w:color="000000"/>
              <w:right w:val="single" w:sz="4" w:space="0" w:color="000000"/>
            </w:tcBorders>
            <w:textDirection w:val="lrTb"/>
            <w:vAlign w:val="center"/>
          </w:tcPr>
          <w:p w:rsidR="006D7DB2" w:rsidRPr="004161A1" w:rsidP="00157D07">
            <w:pPr>
              <w:bidi w:val="0"/>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2015</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2016</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2017</w:t>
            </w:r>
          </w:p>
        </w:tc>
        <w:tc>
          <w:tcPr>
            <w:tcW w:w="157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2018</w:t>
            </w:r>
          </w:p>
        </w:tc>
      </w:tr>
      <w:tr>
        <w:tblPrEx>
          <w:tblW w:w="9729" w:type="dxa"/>
          <w:tblLayout w:type="fixed"/>
          <w:tblCellMar>
            <w:left w:w="0" w:type="dxa"/>
            <w:right w:w="0" w:type="dxa"/>
          </w:tblCellMar>
        </w:tblPrEx>
        <w:trPr>
          <w:trHeight w:val="70"/>
        </w:trPr>
        <w:tc>
          <w:tcPr>
            <w:tcW w:w="3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r w:rsidRPr="004161A1">
              <w:rPr>
                <w:rFonts w:ascii="Times New Roman" w:hAnsi="Times New Roman"/>
                <w:b/>
                <w:bCs/>
              </w:rPr>
              <w:t>Príjmy verejnej správy celkom</w:t>
            </w:r>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rPr>
              <w:t>0</w:t>
            </w:r>
          </w:p>
        </w:tc>
        <w:tc>
          <w:tcPr>
            <w:tcW w:w="157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rPr>
              <w:t>0</w:t>
            </w:r>
          </w:p>
        </w:tc>
      </w:tr>
      <w:tr>
        <w:tblPrEx>
          <w:tblW w:w="9729" w:type="dxa"/>
          <w:tblLayout w:type="fixed"/>
          <w:tblCellMar>
            <w:left w:w="0" w:type="dxa"/>
            <w:right w:w="0" w:type="dxa"/>
          </w:tblCellMar>
        </w:tblPrEx>
        <w:trPr>
          <w:trHeight w:val="132"/>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2" w:lineRule="atLeast"/>
              <w:rPr>
                <w:rFonts w:ascii="Times New Roman" w:hAnsi="Times New Roman"/>
              </w:rPr>
            </w:pPr>
            <w:r>
              <w:rPr>
                <w:rFonts w:ascii="Times New Roman" w:hAnsi="Times New Roman"/>
              </w:rPr>
              <w:t xml:space="preserve">v tom: </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2" w:lineRule="atLeast"/>
              <w:jc w:val="right"/>
              <w:rPr>
                <w:rFonts w:ascii="Times New Roman" w:hAnsi="Times New Roman"/>
              </w:rPr>
            </w:pPr>
            <w:r>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2" w:lineRule="atLeast"/>
              <w:jc w:val="right"/>
              <w:rPr>
                <w:rFonts w:ascii="Times New Roman" w:hAnsi="Times New Roman"/>
              </w:rPr>
            </w:pPr>
            <w:r>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2" w:lineRule="atLeast"/>
              <w:jc w:val="right"/>
              <w:rPr>
                <w:rFonts w:ascii="Times New Roman" w:hAnsi="Times New Roman"/>
              </w:rPr>
            </w:pPr>
            <w:r>
              <w:rPr>
                <w:rFonts w:ascii="Times New Roman" w:hAnsi="Times New Roman"/>
              </w:rPr>
              <w:t>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2" w:lineRule="atLeast"/>
              <w:jc w:val="right"/>
              <w:rPr>
                <w:rFonts w:ascii="Times New Roman" w:hAnsi="Times New Roman"/>
              </w:rPr>
            </w:pPr>
            <w:r>
              <w:rPr>
                <w:rFonts w:ascii="Times New Roman" w:hAnsi="Times New Roman"/>
              </w:rPr>
              <w:t>0</w:t>
            </w:r>
          </w:p>
        </w:tc>
      </w:tr>
      <w:tr>
        <w:tblPrEx>
          <w:tblW w:w="9729" w:type="dxa"/>
          <w:tblLayout w:type="fixed"/>
          <w:tblCellMar>
            <w:left w:w="0" w:type="dxa"/>
            <w:right w:w="0" w:type="dxa"/>
          </w:tblCellMar>
        </w:tblPrEx>
        <w:trPr>
          <w:trHeight w:val="70"/>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r w:rsidRPr="004161A1">
              <w:rPr>
                <w:rFonts w:ascii="Times New Roman" w:hAnsi="Times New Roman"/>
                <w:b/>
                <w:bCs/>
                <w:i/>
                <w:iCs/>
              </w:rPr>
              <w:t xml:space="preserve">z toho: </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i/>
                <w:iCs/>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i/>
                <w:iCs/>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i/>
                <w:iCs/>
              </w:rPr>
              <w:t> </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r w:rsidRPr="004161A1">
              <w:rPr>
                <w:rFonts w:ascii="Times New Roman" w:hAnsi="Times New Roman"/>
                <w:b/>
                <w:bCs/>
                <w:i/>
                <w:iCs/>
              </w:rPr>
              <w:t> </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25" w:lineRule="atLeast"/>
              <w:rPr>
                <w:rFonts w:ascii="Times New Roman" w:hAnsi="Times New Roman"/>
              </w:rPr>
            </w:pPr>
            <w:r w:rsidRPr="004161A1">
              <w:rPr>
                <w:rFonts w:ascii="Times New Roman" w:hAnsi="Times New Roman"/>
                <w:b/>
                <w:bCs/>
                <w:i/>
                <w:iCs/>
              </w:rPr>
              <w:t>- vplyv na ŠR</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25" w:lineRule="atLeast"/>
              <w:rPr>
                <w:rFonts w:ascii="Times New Roman" w:hAnsi="Times New Roman"/>
              </w:rPr>
            </w:pPr>
            <w:r w:rsidRPr="004161A1">
              <w:rPr>
                <w:rFonts w:ascii="Times New Roman" w:hAnsi="Times New Roman"/>
                <w:b/>
                <w:bCs/>
                <w:i/>
                <w:iCs/>
              </w:rPr>
              <w:t>- vplyv na územnú samosprávu</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125" w:lineRule="atLeast"/>
              <w:jc w:val="right"/>
              <w:rPr>
                <w:rFonts w:ascii="Times New Roman" w:hAnsi="Times New Roman"/>
              </w:rPr>
            </w:pPr>
            <w:r w:rsidRPr="006C121A">
              <w:rPr>
                <w:rFonts w:ascii="Times New Roman" w:hAnsi="Times New Roman"/>
                <w:b/>
                <w:bCs/>
              </w:rPr>
              <w:t>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rPr>
                <w:rFonts w:ascii="Times New Roman" w:hAnsi="Times New Roman"/>
                <w:b/>
                <w:bCs/>
                <w:iCs/>
              </w:rPr>
            </w:pPr>
            <w:r w:rsidRPr="00020F5A">
              <w:rPr>
                <w:rFonts w:ascii="Times New Roman" w:hAnsi="Times New Roman"/>
                <w:b/>
                <w:bCs/>
                <w:iCs/>
              </w:rPr>
              <w:t>Výdavky verejnej správy celkom</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Pr>
                <w:rFonts w:ascii="Times New Roman" w:hAnsi="Times New Roman"/>
                <w:b/>
                <w:bCs/>
              </w:rPr>
              <w:t>200 000,00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71709B">
              <w:rPr>
                <w:rFonts w:ascii="Times New Roman" w:hAnsi="Times New Roman"/>
                <w:b/>
                <w:bCs/>
                <w:sz w:val="22"/>
                <w:szCs w:val="22"/>
              </w:rPr>
              <w:t>14 500 000,00</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71709B">
              <w:rPr>
                <w:rFonts w:ascii="Times New Roman" w:hAnsi="Times New Roman"/>
                <w:b/>
                <w:bCs/>
                <w:sz w:val="22"/>
                <w:szCs w:val="22"/>
              </w:rPr>
              <w:t>14 500 000,00</w:t>
            </w:r>
          </w:p>
        </w:tc>
        <w:tc>
          <w:tcPr>
            <w:tcW w:w="157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71709B">
              <w:rPr>
                <w:rFonts w:ascii="Times New Roman" w:hAnsi="Times New Roman"/>
                <w:b/>
                <w:bCs/>
                <w:sz w:val="22"/>
                <w:szCs w:val="22"/>
              </w:rPr>
              <w:t>14 500 000,00</w:t>
            </w:r>
          </w:p>
        </w:tc>
      </w:tr>
      <w:tr>
        <w:tblPrEx>
          <w:tblW w:w="9729" w:type="dxa"/>
          <w:tblLayout w:type="fixed"/>
          <w:tblCellMar>
            <w:left w:w="0" w:type="dxa"/>
            <w:right w:w="0" w:type="dxa"/>
          </w:tblCellMar>
        </w:tblPrEx>
        <w:trPr>
          <w:trHeight w:val="357"/>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125" w:lineRule="atLeast"/>
              <w:rPr>
                <w:rFonts w:ascii="Times New Roman" w:hAnsi="Times New Roman"/>
              </w:rPr>
            </w:pPr>
            <w:r>
              <w:rPr>
                <w:rFonts w:ascii="Times New Roman" w:hAnsi="Times New Roman"/>
              </w:rPr>
              <w:t xml:space="preserve">v tom: MK SR/08S spolu       </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70" w:lineRule="atLeast"/>
              <w:jc w:val="right"/>
              <w:rPr>
                <w:rFonts w:ascii="Times New Roman" w:hAnsi="Times New Roman"/>
              </w:rPr>
            </w:pPr>
            <w:r>
              <w:rPr>
                <w:rFonts w:ascii="Times New Roman" w:hAnsi="Times New Roman"/>
              </w:rPr>
              <w:t>200 000,00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2C0D7E" w:rsidP="00157D07">
            <w:pPr>
              <w:bidi w:val="0"/>
              <w:spacing w:after="0" w:line="125" w:lineRule="atLeast"/>
              <w:ind w:left="709"/>
              <w:rPr>
                <w:rFonts w:ascii="Times New Roman" w:hAnsi="Times New Roman"/>
                <w:b/>
                <w:bCs/>
                <w:iCs/>
              </w:rPr>
            </w:pPr>
            <w:r w:rsidRPr="00020F5A">
              <w:rPr>
                <w:rFonts w:ascii="Times New Roman" w:hAnsi="Times New Roman"/>
                <w:b/>
                <w:bCs/>
                <w:iCs/>
              </w:rPr>
              <w:t xml:space="preserve">z toho: </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C23507" w:rsidP="00157D07">
            <w:pPr>
              <w:pStyle w:val="ListParagraph"/>
              <w:bidi w:val="0"/>
              <w:spacing w:line="125" w:lineRule="atLeast"/>
              <w:jc w:val="right"/>
              <w:rPr>
                <w:bCs/>
              </w:rPr>
            </w:pPr>
            <w:r w:rsidRPr="00020F5A">
              <w:rPr>
                <w:b/>
                <w:bCs/>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3A7439" w:rsidP="00157D07">
            <w:pPr>
              <w:bidi w:val="0"/>
              <w:spacing w:after="0" w:line="70" w:lineRule="atLeast"/>
              <w:jc w:val="right"/>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3A7439" w:rsidP="00157D07">
            <w:pPr>
              <w:bidi w:val="0"/>
              <w:spacing w:after="0" w:line="70" w:lineRule="atLeast"/>
              <w:jc w:val="right"/>
              <w:rPr>
                <w:rFonts w:ascii="Times New Roman" w:hAnsi="Times New Roman"/>
              </w:rPr>
            </w:pP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3A7439" w:rsidP="00157D07">
            <w:pPr>
              <w:bidi w:val="0"/>
              <w:spacing w:after="0" w:line="70" w:lineRule="atLeast"/>
              <w:jc w:val="right"/>
              <w:rPr>
                <w:rFonts w:ascii="Times New Roman" w:hAnsi="Times New Roman"/>
              </w:rPr>
            </w:pP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2C0D7E" w:rsidP="00157D07">
            <w:pPr>
              <w:bidi w:val="0"/>
              <w:spacing w:after="0" w:line="125" w:lineRule="atLeast"/>
              <w:ind w:left="709"/>
              <w:rPr>
                <w:rFonts w:ascii="Times New Roman" w:hAnsi="Times New Roman"/>
                <w:b/>
                <w:bCs/>
                <w:iCs/>
              </w:rPr>
            </w:pPr>
            <w:r w:rsidRPr="00020F5A">
              <w:rPr>
                <w:rFonts w:ascii="Times New Roman" w:hAnsi="Times New Roman"/>
                <w:b/>
                <w:bCs/>
                <w:iCs/>
              </w:rPr>
              <w:t>- vplyv na ŠR</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3A7439" w:rsidP="00157D07">
            <w:pPr>
              <w:bidi w:val="0"/>
              <w:spacing w:after="0" w:line="70" w:lineRule="atLeast"/>
              <w:jc w:val="right"/>
              <w:rPr>
                <w:rFonts w:ascii="Times New Roman" w:hAnsi="Times New Roman"/>
              </w:rPr>
            </w:pPr>
            <w:r>
              <w:rPr>
                <w:rFonts w:ascii="Times New Roman" w:hAnsi="Times New Roman"/>
              </w:rPr>
              <w:t>200 000,00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EE27D2" w:rsidP="00157D07">
            <w:pPr>
              <w:bidi w:val="0"/>
              <w:spacing w:after="0" w:line="125" w:lineRule="atLeast"/>
              <w:rPr>
                <w:rFonts w:ascii="Times New Roman" w:hAnsi="Times New Roman"/>
                <w:b/>
                <w:bCs/>
                <w:iCs/>
              </w:rPr>
            </w:pPr>
            <w:r w:rsidRPr="00020F5A">
              <w:rPr>
                <w:rFonts w:ascii="Times New Roman" w:hAnsi="Times New Roman"/>
                <w:b/>
                <w:bCs/>
                <w:iCs/>
              </w:rPr>
              <w:t>- vplyv na územnú samosprávu</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EE27D2" w:rsidP="00157D07">
            <w:pPr>
              <w:bidi w:val="0"/>
              <w:spacing w:after="0" w:line="125" w:lineRule="atLeast"/>
              <w:jc w:val="right"/>
              <w:rPr>
                <w:rFonts w:ascii="Times New Roman" w:hAnsi="Times New Roman"/>
                <w:bCs/>
              </w:rPr>
            </w:pPr>
            <w:r w:rsidRPr="00020F5A">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125" w:lineRule="atLeast"/>
              <w:jc w:val="right"/>
              <w:rPr>
                <w:rFonts w:ascii="Times New Roman" w:hAnsi="Times New Roman"/>
                <w:b/>
                <w:bCs/>
              </w:rPr>
            </w:pPr>
            <w:r w:rsidRPr="00020F5A">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125" w:lineRule="atLeast"/>
              <w:jc w:val="right"/>
              <w:rPr>
                <w:rFonts w:ascii="Times New Roman" w:hAnsi="Times New Roman"/>
                <w:b/>
                <w:bCs/>
              </w:rPr>
            </w:pPr>
            <w:r w:rsidRPr="00020F5A">
              <w:rPr>
                <w:rFonts w:ascii="Times New Roman" w:hAnsi="Times New Roman"/>
                <w:b/>
                <w:bCs/>
              </w:rPr>
              <w:t>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125" w:lineRule="atLeast"/>
              <w:jc w:val="right"/>
              <w:rPr>
                <w:rFonts w:ascii="Times New Roman" w:hAnsi="Times New Roman"/>
                <w:b/>
                <w:bCs/>
              </w:rPr>
            </w:pPr>
            <w:r w:rsidRPr="00020F5A">
              <w:rPr>
                <w:rFonts w:ascii="Times New Roman" w:hAnsi="Times New Roman"/>
                <w:b/>
                <w:bCs/>
              </w:rPr>
              <w:t>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020F5A" w:rsidP="00157D07">
            <w:pPr>
              <w:bidi w:val="0"/>
              <w:spacing w:after="0" w:line="125" w:lineRule="atLeast"/>
              <w:rPr>
                <w:rFonts w:ascii="Times New Roman" w:hAnsi="Times New Roman"/>
                <w:b/>
                <w:bCs/>
                <w:iCs/>
              </w:rPr>
            </w:pPr>
            <w:r w:rsidRPr="004161A1">
              <w:rPr>
                <w:rFonts w:ascii="Times New Roman" w:hAnsi="Times New Roman"/>
                <w:b/>
                <w:bCs/>
              </w:rPr>
              <w:t xml:space="preserve">Celková zamestnanosť </w:t>
            </w:r>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b/>
                <w:bCs/>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b/>
                <w:bCs/>
              </w:rPr>
              <w:t>0</w:t>
            </w:r>
          </w:p>
        </w:tc>
        <w:tc>
          <w:tcPr>
            <w:tcW w:w="157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b/>
                <w:bCs/>
              </w:rPr>
              <w:t>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020F5A" w:rsidP="00157D07">
            <w:pPr>
              <w:bidi w:val="0"/>
              <w:spacing w:after="0" w:line="125" w:lineRule="atLeast"/>
              <w:rPr>
                <w:rFonts w:ascii="Times New Roman" w:hAnsi="Times New Roman"/>
                <w:b/>
                <w:bCs/>
                <w:iCs/>
              </w:rPr>
            </w:pPr>
            <w:r w:rsidRPr="004161A1">
              <w:rPr>
                <w:rFonts w:ascii="Times New Roman" w:hAnsi="Times New Roman"/>
                <w:b/>
                <w:bCs/>
                <w:i/>
                <w:iCs/>
              </w:rPr>
              <w:t>- z toho vplyv na ŠR</w:t>
            </w:r>
            <w:r>
              <w:rPr>
                <w:rFonts w:ascii="Times New Roman" w:hAnsi="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C0240" w:rsidP="00157D07">
            <w:pPr>
              <w:bidi w:val="0"/>
              <w:spacing w:after="0" w:line="125" w:lineRule="atLeast"/>
              <w:jc w:val="right"/>
              <w:rPr>
                <w:rFonts w:ascii="Times New Roman" w:hAnsi="Times New Roman"/>
                <w:b/>
                <w:bCs/>
              </w:rPr>
            </w:pPr>
            <w:r w:rsidRPr="006C121A">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rPr>
              <w:t>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6C121A">
              <w:rPr>
                <w:rFonts w:ascii="Times New Roman" w:hAnsi="Times New Roman"/>
              </w:rPr>
              <w:t>0</w:t>
            </w:r>
          </w:p>
        </w:tc>
      </w:tr>
      <w:tr>
        <w:tblPrEx>
          <w:tblW w:w="9729" w:type="dxa"/>
          <w:tblLayout w:type="fixed"/>
          <w:tblCellMar>
            <w:left w:w="0" w:type="dxa"/>
            <w:right w:w="0" w:type="dxa"/>
          </w:tblCellMar>
        </w:tblPrEx>
        <w:trPr>
          <w:trHeight w:val="125"/>
        </w:trPr>
        <w:tc>
          <w:tcPr>
            <w:tcW w:w="389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rPr>
                <w:rFonts w:ascii="Times New Roman" w:hAnsi="Times New Roman"/>
                <w:b/>
                <w:bCs/>
                <w:iCs/>
              </w:rPr>
            </w:pPr>
            <w:r w:rsidRPr="00020F5A">
              <w:rPr>
                <w:rFonts w:ascii="Times New Roman" w:hAnsi="Times New Roman"/>
                <w:b/>
                <w:bCs/>
                <w:iCs/>
              </w:rPr>
              <w:t>Financovanie zabezpečené v rozpočte</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Pr>
                <w:rFonts w:ascii="Times New Roman" w:hAnsi="Times New Roman"/>
                <w:b/>
                <w:bCs/>
              </w:rPr>
              <w:t>200 000,00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2"/>
                <w:szCs w:val="22"/>
              </w:rPr>
            </w:pPr>
            <w:r w:rsidRPr="0071709B">
              <w:rPr>
                <w:rFonts w:ascii="Times New Roman" w:hAnsi="Times New Roman"/>
                <w:b/>
                <w:bCs/>
                <w:sz w:val="22"/>
                <w:szCs w:val="22"/>
              </w:rPr>
              <w:t>14 500 000,00</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71709B">
              <w:rPr>
                <w:rFonts w:ascii="Times New Roman" w:hAnsi="Times New Roman"/>
                <w:b/>
                <w:bCs/>
                <w:sz w:val="22"/>
                <w:szCs w:val="22"/>
              </w:rPr>
              <w:t>14 500 000,00</w:t>
            </w:r>
          </w:p>
        </w:tc>
        <w:tc>
          <w:tcPr>
            <w:tcW w:w="157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r w:rsidRPr="0071709B">
              <w:rPr>
                <w:rFonts w:ascii="Times New Roman" w:hAnsi="Times New Roman"/>
                <w:b/>
                <w:bCs/>
                <w:sz w:val="22"/>
                <w:szCs w:val="22"/>
              </w:rPr>
              <w:t>14 500 000,00</w:t>
            </w:r>
          </w:p>
        </w:tc>
      </w:tr>
      <w:tr>
        <w:tblPrEx>
          <w:tblW w:w="9729" w:type="dxa"/>
          <w:tblLayout w:type="fixed"/>
          <w:tblCellMar>
            <w:left w:w="0" w:type="dxa"/>
            <w:right w:w="0" w:type="dxa"/>
          </w:tblCellMar>
        </w:tblPrEx>
        <w:trPr>
          <w:trHeight w:val="70"/>
        </w:trPr>
        <w:tc>
          <w:tcPr>
            <w:tcW w:w="38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P="00157D07">
            <w:pPr>
              <w:bidi w:val="0"/>
              <w:spacing w:after="0" w:line="125" w:lineRule="atLeast"/>
              <w:rPr>
                <w:rFonts w:ascii="Times New Roman" w:hAnsi="Times New Roman"/>
                <w:bCs/>
                <w:iCs/>
              </w:rPr>
            </w:pPr>
            <w:r w:rsidRPr="00020F5A">
              <w:rPr>
                <w:rFonts w:ascii="Times New Roman" w:hAnsi="Times New Roman"/>
                <w:bCs/>
                <w:iCs/>
              </w:rPr>
              <w:t xml:space="preserve">v tom: </w:t>
            </w:r>
            <w:r>
              <w:rPr>
                <w:rFonts w:ascii="Times New Roman" w:hAnsi="Times New Roman"/>
                <w:bCs/>
                <w:iCs/>
              </w:rPr>
              <w:t xml:space="preserve"> MK SR/08S- Tvorba, šírenie, ochrana a prezentácia kultúrnych hodnô</w:t>
            </w:r>
            <w:r w:rsidR="004403FA">
              <w:rPr>
                <w:rFonts w:ascii="Times New Roman" w:hAnsi="Times New Roman"/>
                <w:bCs/>
                <w:iCs/>
              </w:rPr>
              <w:t>t</w:t>
            </w:r>
            <w:r>
              <w:rPr>
                <w:rFonts w:ascii="Times New Roman" w:hAnsi="Times New Roman"/>
                <w:bCs/>
                <w:iCs/>
              </w:rPr>
              <w:t xml:space="preserve"> </w:t>
            </w:r>
          </w:p>
          <w:p w:rsidR="006D7DB2" w:rsidRPr="004161A1" w:rsidP="00157D07">
            <w:pPr>
              <w:bidi w:val="0"/>
              <w:spacing w:after="0" w:line="125" w:lineRule="atLeast"/>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70" w:lineRule="atLeast"/>
              <w:jc w:val="center"/>
              <w:rPr>
                <w:rFonts w:ascii="Times New Roman" w:hAnsi="Times New Roman"/>
              </w:rPr>
            </w:pPr>
            <w:r>
              <w:rPr>
                <w:rFonts w:ascii="Times New Roman" w:hAnsi="Times New Roman"/>
              </w:rPr>
              <w:t>200 000,00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c>
          <w:tcPr>
            <w:tcW w:w="15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14 500 000,00</w:t>
            </w:r>
          </w:p>
        </w:tc>
      </w:tr>
      <w:tr>
        <w:tblPrEx>
          <w:tblW w:w="9729" w:type="dxa"/>
          <w:tblLayout w:type="fixed"/>
          <w:tblCellMar>
            <w:left w:w="0" w:type="dxa"/>
            <w:right w:w="0" w:type="dxa"/>
          </w:tblCellMar>
        </w:tblPrEx>
        <w:trPr>
          <w:trHeight w:val="70"/>
        </w:trPr>
        <w:tc>
          <w:tcPr>
            <w:tcW w:w="3898" w:type="dxa"/>
            <w:tcBorders>
              <w:top w:val="nil"/>
              <w:left w:val="nil"/>
              <w:bottom w:val="nil"/>
              <w:right w:val="nil"/>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p>
        </w:tc>
        <w:tc>
          <w:tcPr>
            <w:tcW w:w="1275" w:type="dxa"/>
            <w:tcBorders>
              <w:top w:val="nil"/>
              <w:left w:val="nil"/>
              <w:bottom w:val="nil"/>
              <w:right w:val="nil"/>
            </w:tcBorders>
            <w:tcMar>
              <w:top w:w="0" w:type="dxa"/>
              <w:left w:w="70" w:type="dxa"/>
              <w:bottom w:w="0" w:type="dxa"/>
              <w:right w:w="70" w:type="dxa"/>
            </w:tcMar>
            <w:textDirection w:val="lrTb"/>
            <w:vAlign w:val="center"/>
          </w:tcPr>
          <w:p w:rsidR="006D7DB2" w:rsidRPr="006C121A" w:rsidP="00157D07">
            <w:pPr>
              <w:bidi w:val="0"/>
              <w:spacing w:after="0" w:line="70" w:lineRule="atLeast"/>
              <w:jc w:val="right"/>
              <w:rPr>
                <w:rFonts w:ascii="Times New Roman" w:hAnsi="Times New Roman"/>
              </w:rPr>
            </w:pPr>
          </w:p>
        </w:tc>
        <w:tc>
          <w:tcPr>
            <w:tcW w:w="1418" w:type="dxa"/>
            <w:tcBorders>
              <w:top w:val="nil"/>
              <w:left w:val="nil"/>
              <w:bottom w:val="nil"/>
              <w:right w:val="nil"/>
            </w:tcBorders>
            <w:tcMar>
              <w:top w:w="0" w:type="dxa"/>
              <w:left w:w="70" w:type="dxa"/>
              <w:bottom w:w="0" w:type="dxa"/>
              <w:right w:w="70" w:type="dxa"/>
            </w:tcMar>
            <w:textDirection w:val="lrTb"/>
            <w:vAlign w:val="center"/>
          </w:tcPr>
          <w:p w:rsidR="006D7DB2" w:rsidRPr="006C121A" w:rsidP="00157D07">
            <w:pPr>
              <w:bidi w:val="0"/>
              <w:spacing w:after="0" w:line="70" w:lineRule="atLeast"/>
              <w:jc w:val="right"/>
              <w:rPr>
                <w:rFonts w:ascii="Times New Roman" w:hAnsi="Times New Roman"/>
              </w:rPr>
            </w:pPr>
          </w:p>
        </w:tc>
        <w:tc>
          <w:tcPr>
            <w:tcW w:w="1559" w:type="dxa"/>
            <w:tcBorders>
              <w:top w:val="nil"/>
              <w:left w:val="nil"/>
              <w:bottom w:val="nil"/>
              <w:right w:val="nil"/>
            </w:tcBorders>
            <w:tcMar>
              <w:top w:w="0" w:type="dxa"/>
              <w:left w:w="70" w:type="dxa"/>
              <w:bottom w:w="0" w:type="dxa"/>
              <w:right w:w="70" w:type="dxa"/>
            </w:tcMar>
            <w:textDirection w:val="lrTb"/>
            <w:vAlign w:val="center"/>
          </w:tcPr>
          <w:p w:rsidR="006D7DB2" w:rsidRPr="006C121A" w:rsidP="00157D07">
            <w:pPr>
              <w:bidi w:val="0"/>
              <w:spacing w:after="0" w:line="70" w:lineRule="atLeast"/>
              <w:jc w:val="right"/>
              <w:rPr>
                <w:rFonts w:ascii="Times New Roman" w:hAnsi="Times New Roman"/>
              </w:rPr>
            </w:pPr>
          </w:p>
        </w:tc>
        <w:tc>
          <w:tcPr>
            <w:tcW w:w="1579" w:type="dxa"/>
            <w:tcBorders>
              <w:top w:val="nil"/>
              <w:left w:val="nil"/>
              <w:bottom w:val="nil"/>
              <w:right w:val="nil"/>
            </w:tcBorders>
            <w:tcMar>
              <w:top w:w="0" w:type="dxa"/>
              <w:left w:w="70" w:type="dxa"/>
              <w:bottom w:w="0" w:type="dxa"/>
              <w:right w:w="70" w:type="dxa"/>
            </w:tcMar>
            <w:textDirection w:val="lrTb"/>
            <w:vAlign w:val="center"/>
          </w:tcPr>
          <w:p w:rsidR="006D7DB2" w:rsidRPr="006C121A" w:rsidP="00157D07">
            <w:pPr>
              <w:bidi w:val="0"/>
              <w:spacing w:after="0" w:line="70" w:lineRule="atLeast"/>
              <w:jc w:val="right"/>
              <w:rPr>
                <w:rFonts w:ascii="Times New Roman" w:hAnsi="Times New Roman"/>
              </w:rPr>
            </w:pPr>
          </w:p>
        </w:tc>
      </w:tr>
      <w:tr>
        <w:tblPrEx>
          <w:tblW w:w="9729" w:type="dxa"/>
          <w:tblLayout w:type="fixed"/>
          <w:tblCellMar>
            <w:left w:w="0" w:type="dxa"/>
            <w:right w:w="0" w:type="dxa"/>
          </w:tblCellMar>
        </w:tblPrEx>
        <w:trPr>
          <w:trHeight w:val="550"/>
        </w:trPr>
        <w:tc>
          <w:tcPr>
            <w:tcW w:w="3898" w:type="dxa"/>
            <w:tcBorders>
              <w:top w:val="nil"/>
              <w:left w:val="nil"/>
              <w:bottom w:val="nil"/>
              <w:right w:val="nil"/>
            </w:tcBorders>
            <w:tcMar>
              <w:top w:w="0" w:type="dxa"/>
              <w:left w:w="70" w:type="dxa"/>
              <w:bottom w:w="0" w:type="dxa"/>
              <w:right w:w="70" w:type="dxa"/>
            </w:tcMar>
            <w:textDirection w:val="lrTb"/>
            <w:vAlign w:val="center"/>
          </w:tcPr>
          <w:p w:rsidR="006D7DB2" w:rsidRPr="00020F5A" w:rsidP="00157D07">
            <w:pPr>
              <w:bidi w:val="0"/>
              <w:spacing w:after="0" w:line="125" w:lineRule="atLeast"/>
              <w:rPr>
                <w:rFonts w:ascii="Times New Roman" w:hAnsi="Times New Roman"/>
                <w:b/>
                <w:bCs/>
                <w:iCs/>
              </w:rPr>
            </w:pPr>
          </w:p>
        </w:tc>
        <w:tc>
          <w:tcPr>
            <w:tcW w:w="1275" w:type="dxa"/>
            <w:tcBorders>
              <w:top w:val="nil"/>
              <w:left w:val="nil"/>
              <w:bottom w:val="nil"/>
              <w:right w:val="nil"/>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p>
        </w:tc>
        <w:tc>
          <w:tcPr>
            <w:tcW w:w="1418" w:type="dxa"/>
            <w:tcBorders>
              <w:top w:val="nil"/>
              <w:left w:val="nil"/>
              <w:bottom w:val="nil"/>
              <w:right w:val="nil"/>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p>
        </w:tc>
        <w:tc>
          <w:tcPr>
            <w:tcW w:w="1559" w:type="dxa"/>
            <w:tcBorders>
              <w:top w:val="nil"/>
              <w:left w:val="nil"/>
              <w:bottom w:val="nil"/>
              <w:right w:val="nil"/>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p>
        </w:tc>
        <w:tc>
          <w:tcPr>
            <w:tcW w:w="1579" w:type="dxa"/>
            <w:tcBorders>
              <w:top w:val="nil"/>
              <w:left w:val="nil"/>
              <w:bottom w:val="nil"/>
              <w:right w:val="nil"/>
            </w:tcBorders>
            <w:tcMar>
              <w:top w:w="0" w:type="dxa"/>
              <w:left w:w="70" w:type="dxa"/>
              <w:bottom w:w="0" w:type="dxa"/>
              <w:right w:w="70" w:type="dxa"/>
            </w:tcMar>
            <w:textDirection w:val="lrTb"/>
            <w:vAlign w:val="center"/>
          </w:tcPr>
          <w:p w:rsidR="006D7DB2" w:rsidRPr="00020F5A" w:rsidP="00157D07">
            <w:pPr>
              <w:bidi w:val="0"/>
              <w:spacing w:after="0" w:line="125" w:lineRule="atLeast"/>
              <w:jc w:val="right"/>
              <w:rPr>
                <w:rFonts w:ascii="Times New Roman" w:hAnsi="Times New Roman"/>
                <w:b/>
                <w:bCs/>
              </w:rPr>
            </w:pPr>
          </w:p>
        </w:tc>
      </w:tr>
      <w:tr>
        <w:tblPrEx>
          <w:tblW w:w="9729" w:type="dxa"/>
          <w:tblLayout w:type="fixed"/>
          <w:tblCellMar>
            <w:left w:w="0" w:type="dxa"/>
            <w:right w:w="0" w:type="dxa"/>
          </w:tblCellMar>
        </w:tblPrEx>
        <w:trPr>
          <w:trHeight w:val="70"/>
        </w:trPr>
        <w:tc>
          <w:tcPr>
            <w:tcW w:w="3898" w:type="dxa"/>
            <w:tcBorders>
              <w:top w:val="nil"/>
              <w:left w:val="nil"/>
              <w:bottom w:val="nil"/>
              <w:right w:val="nil"/>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p>
        </w:tc>
        <w:tc>
          <w:tcPr>
            <w:tcW w:w="1275" w:type="dxa"/>
            <w:tcBorders>
              <w:top w:val="nil"/>
              <w:left w:val="nil"/>
              <w:bottom w:val="nil"/>
              <w:right w:val="nil"/>
            </w:tcBorders>
            <w:tcMar>
              <w:top w:w="0" w:type="dxa"/>
              <w:left w:w="70" w:type="dxa"/>
              <w:bottom w:w="0" w:type="dxa"/>
              <w:right w:w="70" w:type="dxa"/>
            </w:tcMar>
            <w:textDirection w:val="lrTb"/>
            <w:vAlign w:val="center"/>
          </w:tcPr>
          <w:p w:rsidR="006D7DB2" w:rsidRPr="00344498" w:rsidP="00157D07">
            <w:pPr>
              <w:bidi w:val="0"/>
              <w:spacing w:after="0" w:line="125" w:lineRule="atLeast"/>
              <w:jc w:val="right"/>
              <w:rPr>
                <w:rFonts w:ascii="Times New Roman" w:hAnsi="Times New Roman"/>
                <w:bCs/>
              </w:rPr>
            </w:pPr>
          </w:p>
        </w:tc>
        <w:tc>
          <w:tcPr>
            <w:tcW w:w="1418" w:type="dxa"/>
            <w:tcBorders>
              <w:top w:val="nil"/>
              <w:left w:val="nil"/>
              <w:bottom w:val="nil"/>
              <w:right w:val="nil"/>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p>
        </w:tc>
        <w:tc>
          <w:tcPr>
            <w:tcW w:w="1559" w:type="dxa"/>
            <w:tcBorders>
              <w:top w:val="nil"/>
              <w:left w:val="nil"/>
              <w:bottom w:val="nil"/>
              <w:right w:val="nil"/>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p>
        </w:tc>
        <w:tc>
          <w:tcPr>
            <w:tcW w:w="1579" w:type="dxa"/>
            <w:tcBorders>
              <w:top w:val="nil"/>
              <w:left w:val="nil"/>
              <w:bottom w:val="nil"/>
              <w:right w:val="nil"/>
            </w:tcBorders>
            <w:tcMar>
              <w:top w:w="0" w:type="dxa"/>
              <w:left w:w="70" w:type="dxa"/>
              <w:bottom w:w="0" w:type="dxa"/>
              <w:right w:w="70" w:type="dxa"/>
            </w:tcMar>
            <w:textDirection w:val="lrTb"/>
            <w:vAlign w:val="center"/>
          </w:tcPr>
          <w:p w:rsidR="006D7DB2" w:rsidRPr="004161A1" w:rsidP="00157D07">
            <w:pPr>
              <w:bidi w:val="0"/>
              <w:spacing w:after="0" w:line="70" w:lineRule="atLeast"/>
              <w:jc w:val="right"/>
              <w:rPr>
                <w:rFonts w:ascii="Times New Roman" w:hAnsi="Times New Roman"/>
              </w:rPr>
            </w:pPr>
          </w:p>
        </w:tc>
      </w:tr>
      <w:tr>
        <w:tblPrEx>
          <w:tblW w:w="9729" w:type="dxa"/>
          <w:tblLayout w:type="fixed"/>
          <w:tblCellMar>
            <w:left w:w="0" w:type="dxa"/>
            <w:right w:w="0" w:type="dxa"/>
          </w:tblCellMar>
        </w:tblPrEx>
        <w:tc>
          <w:tcPr>
            <w:tcW w:w="3898"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275"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418"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559"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579"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r>
    </w:tbl>
    <w:p w:rsidR="006D7DB2" w:rsidP="006D7DB2">
      <w:pPr>
        <w:bidi w:val="0"/>
        <w:rPr>
          <w:rFonts w:ascii="Times New Roman" w:hAnsi="Times New Roman"/>
        </w:rPr>
      </w:pPr>
      <w:r w:rsidRPr="004161A1">
        <w:rPr>
          <w:rFonts w:ascii="Times New Roman" w:hAnsi="Times New Roman"/>
          <w:b/>
          <w:bCs/>
        </w:rPr>
        <w:t>2.2. Financovanie návrhu</w:t>
      </w:r>
    </w:p>
    <w:p w:rsidR="006D7DB2" w:rsidP="006D7DB2">
      <w:pPr>
        <w:bidi w:val="0"/>
        <w:jc w:val="right"/>
        <w:rPr>
          <w:rFonts w:ascii="Times New Roman" w:hAnsi="Times New Roman"/>
        </w:rPr>
      </w:pPr>
      <w:r w:rsidRPr="004161A1">
        <w:rPr>
          <w:rFonts w:ascii="Times New Roman" w:hAnsi="Times New Roman"/>
          <w:sz w:val="20"/>
          <w:szCs w:val="20"/>
        </w:rPr>
        <w:t>Tabuľka č. 2</w:t>
      </w:r>
    </w:p>
    <w:tbl>
      <w:tblPr>
        <w:tblStyle w:val="TableNormal"/>
        <w:tblW w:w="9360" w:type="dxa"/>
        <w:tblCellMar>
          <w:left w:w="0" w:type="dxa"/>
          <w:right w:w="0" w:type="dxa"/>
        </w:tblCellMar>
      </w:tblPr>
      <w:tblGrid>
        <w:gridCol w:w="3789"/>
        <w:gridCol w:w="1371"/>
        <w:gridCol w:w="1400"/>
        <w:gridCol w:w="1400"/>
        <w:gridCol w:w="1400"/>
      </w:tblGrid>
      <w:tr>
        <w:tblPrEx>
          <w:tblW w:w="9360" w:type="dxa"/>
          <w:tblCellMar>
            <w:left w:w="0" w:type="dxa"/>
            <w:right w:w="0" w:type="dxa"/>
          </w:tblCellMar>
        </w:tblPrEx>
        <w:trPr>
          <w:trHeight w:val="70"/>
        </w:trPr>
        <w:tc>
          <w:tcPr>
            <w:tcW w:w="378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sidRPr="004161A1">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6D7DB2" w:rsidRPr="004161A1" w:rsidP="00157D07">
            <w:pPr>
              <w:bidi w:val="0"/>
              <w:spacing w:after="0" w:line="240" w:lineRule="auto"/>
              <w:rPr>
                <w:rFonts w:ascii="Times New Roman" w:hAnsi="Times New Roman"/>
              </w:rPr>
            </w:pPr>
          </w:p>
        </w:tc>
        <w:tc>
          <w:tcPr>
            <w:tcW w:w="137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2015</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2016</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2017</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4161A1" w:rsidP="00157D07">
            <w:pPr>
              <w:bidi w:val="0"/>
              <w:spacing w:after="0" w:line="70" w:lineRule="atLeast"/>
              <w:jc w:val="center"/>
              <w:rPr>
                <w:rFonts w:ascii="Times New Roman" w:hAnsi="Times New Roman"/>
              </w:rPr>
            </w:pPr>
            <w:r>
              <w:rPr>
                <w:rFonts w:ascii="Times New Roman" w:hAnsi="Times New Roman"/>
                <w:b/>
                <w:bCs/>
                <w:color w:val="FFFFFF"/>
              </w:rPr>
              <w:t>2018</w:t>
            </w:r>
          </w:p>
        </w:tc>
      </w:tr>
      <w:tr>
        <w:tblPrEx>
          <w:tblW w:w="9360" w:type="dxa"/>
          <w:tblCellMar>
            <w:left w:w="0" w:type="dxa"/>
            <w:right w:w="0" w:type="dxa"/>
          </w:tblCellMar>
        </w:tblPrEx>
        <w:trPr>
          <w:trHeight w:val="70"/>
        </w:trPr>
        <w:tc>
          <w:tcPr>
            <w:tcW w:w="3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200 000,00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r>
      <w:tr>
        <w:tblPrEx>
          <w:tblW w:w="9360" w:type="dxa"/>
          <w:tblCellMar>
            <w:left w:w="0" w:type="dxa"/>
            <w:right w:w="0" w:type="dxa"/>
          </w:tblCellMar>
        </w:tblPrEx>
        <w:trPr>
          <w:trHeight w:val="70"/>
        </w:trPr>
        <w:tc>
          <w:tcPr>
            <w:tcW w:w="3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r>
              <w:rPr>
                <w:rFonts w:ascii="Times New Roman" w:hAnsi="Times New Roman"/>
              </w:rPr>
              <w:t>  z toho vplyv na ŠR</w:t>
            </w:r>
          </w:p>
        </w:tc>
        <w:tc>
          <w:tcPr>
            <w:tcW w:w="1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200 000,00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r>
      <w:tr>
        <w:tblPrEx>
          <w:tblW w:w="9360" w:type="dxa"/>
          <w:tblCellMar>
            <w:left w:w="0" w:type="dxa"/>
            <w:right w:w="0" w:type="dxa"/>
          </w:tblCellMar>
        </w:tblPrEx>
        <w:trPr>
          <w:trHeight w:val="151"/>
        </w:trPr>
        <w:tc>
          <w:tcPr>
            <w:tcW w:w="3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51" w:lineRule="atLeast"/>
              <w:rPr>
                <w:rFonts w:ascii="Times New Roman" w:hAnsi="Times New Roman"/>
              </w:rPr>
            </w:pPr>
            <w:r>
              <w:rPr>
                <w:rFonts w:ascii="Times New Roman" w:hAnsi="Times New Roman"/>
              </w:rPr>
              <w:t>  financovanie zabezpečené v rozpočte</w:t>
            </w:r>
          </w:p>
        </w:tc>
        <w:tc>
          <w:tcPr>
            <w:tcW w:w="1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200 000,00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r>
      <w:tr>
        <w:tblPrEx>
          <w:tblW w:w="9360" w:type="dxa"/>
          <w:tblCellMar>
            <w:left w:w="0" w:type="dxa"/>
            <w:right w:w="0" w:type="dxa"/>
          </w:tblCellMar>
        </w:tblPrEx>
        <w:trPr>
          <w:trHeight w:val="135"/>
        </w:trPr>
        <w:tc>
          <w:tcPr>
            <w:tcW w:w="3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135" w:lineRule="atLeast"/>
              <w:rPr>
                <w:rFonts w:ascii="Times New Roman" w:hAnsi="Times New Roman"/>
              </w:rPr>
            </w:pPr>
            <w:r>
              <w:rPr>
                <w:rFonts w:ascii="Times New Roman" w:hAnsi="Times New Roman"/>
              </w:rPr>
              <w:t>  ostatné zdroje financovania</w:t>
            </w:r>
          </w:p>
        </w:tc>
        <w:tc>
          <w:tcPr>
            <w:tcW w:w="1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35" w:lineRule="atLeast"/>
              <w:jc w:val="right"/>
              <w:rPr>
                <w:rFonts w:ascii="Times New Roman" w:hAnsi="Times New Roman"/>
                <w:b/>
                <w:sz w:val="20"/>
                <w:szCs w:val="20"/>
              </w:rPr>
            </w:pPr>
            <w:r w:rsidRPr="0071709B">
              <w:rPr>
                <w:rFonts w:ascii="Times New Roman" w:hAnsi="Times New Roman"/>
                <w:b/>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35" w:lineRule="atLeast"/>
              <w:jc w:val="right"/>
              <w:rPr>
                <w:rFonts w:ascii="Times New Roman" w:hAnsi="Times New Roman"/>
                <w:b/>
                <w:sz w:val="20"/>
                <w:szCs w:val="20"/>
              </w:rPr>
            </w:pPr>
            <w:r w:rsidRPr="0071709B">
              <w:rPr>
                <w:rFonts w:ascii="Times New Roman" w:hAnsi="Times New Roman"/>
                <w:b/>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35" w:lineRule="atLeast"/>
              <w:jc w:val="right"/>
              <w:rPr>
                <w:rFonts w:ascii="Times New Roman" w:hAnsi="Times New Roman"/>
                <w:b/>
                <w:sz w:val="20"/>
                <w:szCs w:val="20"/>
              </w:rPr>
            </w:pPr>
            <w:r w:rsidRPr="0071709B">
              <w:rPr>
                <w:rFonts w:ascii="Times New Roman" w:hAnsi="Times New Roman"/>
                <w:b/>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135" w:lineRule="atLeast"/>
              <w:jc w:val="right"/>
              <w:rPr>
                <w:rFonts w:ascii="Times New Roman" w:hAnsi="Times New Roman"/>
                <w:b/>
                <w:sz w:val="20"/>
                <w:szCs w:val="20"/>
              </w:rPr>
            </w:pPr>
            <w:r w:rsidRPr="0071709B">
              <w:rPr>
                <w:rFonts w:ascii="Times New Roman" w:hAnsi="Times New Roman"/>
                <w:b/>
                <w:sz w:val="20"/>
                <w:szCs w:val="20"/>
              </w:rPr>
              <w:t>0</w:t>
            </w:r>
          </w:p>
        </w:tc>
      </w:tr>
      <w:tr>
        <w:tblPrEx>
          <w:tblW w:w="9360" w:type="dxa"/>
          <w:tblCellMar>
            <w:left w:w="0" w:type="dxa"/>
            <w:right w:w="0" w:type="dxa"/>
          </w:tblCellMar>
        </w:tblPrEx>
        <w:trPr>
          <w:trHeight w:val="70"/>
        </w:trPr>
        <w:tc>
          <w:tcPr>
            <w:tcW w:w="37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4161A1" w:rsidP="00157D07">
            <w:pPr>
              <w:bidi w:val="0"/>
              <w:spacing w:after="0" w:line="70" w:lineRule="atLeast"/>
              <w:rPr>
                <w:rFonts w:ascii="Times New Roman" w:hAnsi="Times New Roman"/>
              </w:rPr>
            </w:pPr>
            <w:r w:rsidRPr="004161A1">
              <w:rPr>
                <w:rFonts w:ascii="Times New Roman" w:hAnsi="Times New Roman"/>
                <w:b/>
                <w:bCs/>
              </w:rPr>
              <w:t>Rozpočtovo nekrytý vplyv / úspora</w:t>
            </w:r>
          </w:p>
        </w:tc>
        <w:tc>
          <w:tcPr>
            <w:tcW w:w="13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70" w:lineRule="atLeast"/>
              <w:jc w:val="right"/>
              <w:rPr>
                <w:rFonts w:ascii="Times New Roman" w:hAnsi="Times New Roman"/>
                <w:sz w:val="20"/>
                <w:szCs w:val="20"/>
              </w:rPr>
            </w:pPr>
            <w:r w:rsidRPr="0071709B">
              <w:rPr>
                <w:rFonts w:ascii="Times New Roman" w:hAnsi="Times New Roman"/>
                <w:b/>
                <w:bCs/>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70" w:lineRule="atLeast"/>
              <w:jc w:val="right"/>
              <w:rPr>
                <w:rFonts w:ascii="Times New Roman" w:hAnsi="Times New Roman"/>
                <w:sz w:val="20"/>
                <w:szCs w:val="20"/>
              </w:rPr>
            </w:pPr>
            <w:r w:rsidRPr="0071709B">
              <w:rPr>
                <w:rFonts w:ascii="Times New Roman" w:hAnsi="Times New Roman"/>
                <w:b/>
                <w:bCs/>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70" w:lineRule="atLeast"/>
              <w:jc w:val="right"/>
              <w:rPr>
                <w:rFonts w:ascii="Times New Roman" w:hAnsi="Times New Roman"/>
                <w:sz w:val="20"/>
                <w:szCs w:val="20"/>
              </w:rPr>
            </w:pPr>
            <w:r w:rsidRPr="0071709B">
              <w:rPr>
                <w:rFonts w:ascii="Times New Roman" w:hAnsi="Times New Roman"/>
                <w:b/>
                <w:bCs/>
                <w:sz w:val="20"/>
                <w:szCs w:val="20"/>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RPr="0071709B" w:rsidP="00157D07">
            <w:pPr>
              <w:bidi w:val="0"/>
              <w:spacing w:after="0" w:line="70" w:lineRule="atLeast"/>
              <w:jc w:val="right"/>
              <w:rPr>
                <w:rFonts w:ascii="Times New Roman" w:hAnsi="Times New Roman"/>
                <w:sz w:val="20"/>
                <w:szCs w:val="20"/>
              </w:rPr>
            </w:pPr>
            <w:r w:rsidRPr="0071709B">
              <w:rPr>
                <w:rFonts w:ascii="Times New Roman" w:hAnsi="Times New Roman"/>
                <w:b/>
                <w:bCs/>
                <w:sz w:val="20"/>
                <w:szCs w:val="20"/>
              </w:rPr>
              <w:t>0</w:t>
            </w:r>
          </w:p>
        </w:tc>
      </w:tr>
      <w:tr>
        <w:tblPrEx>
          <w:tblW w:w="9360" w:type="dxa"/>
          <w:tblCellMar>
            <w:left w:w="0" w:type="dxa"/>
            <w:right w:w="0" w:type="dxa"/>
          </w:tblCellMar>
        </w:tblPrEx>
        <w:tc>
          <w:tcPr>
            <w:tcW w:w="3789"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371"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400"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400"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400"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r>
    </w:tbl>
    <w:p w:rsidR="006D7DB2" w:rsidP="006D7DB2">
      <w:pPr>
        <w:bidi w:val="0"/>
        <w:rPr>
          <w:rFonts w:ascii="Times New Roman" w:hAnsi="Times New Roman"/>
        </w:rPr>
      </w:pPr>
      <w:r>
        <w:rPr>
          <w:rFonts w:ascii="Times New Roman" w:hAnsi="Times New Roman"/>
        </w:rPr>
        <w:t> </w:t>
      </w:r>
    </w:p>
    <w:p w:rsidR="006D7DB2" w:rsidP="006D7DB2">
      <w:pPr>
        <w:bidi w:val="0"/>
        <w:rPr>
          <w:rFonts w:ascii="Times New Roman" w:hAnsi="Times New Roman"/>
        </w:rPr>
      </w:pPr>
      <w:r w:rsidRPr="004161A1">
        <w:rPr>
          <w:rFonts w:ascii="Times New Roman" w:hAnsi="Times New Roman"/>
          <w:b/>
          <w:bCs/>
        </w:rPr>
        <w:t>2.3. Popis a charakteristika návrhu</w:t>
      </w:r>
    </w:p>
    <w:p w:rsidR="006D7DB2" w:rsidP="006D7DB2">
      <w:pPr>
        <w:bidi w:val="0"/>
        <w:rPr>
          <w:rFonts w:ascii="Times New Roman" w:hAnsi="Times New Roman"/>
        </w:rPr>
      </w:pPr>
      <w:r>
        <w:rPr>
          <w:rFonts w:ascii="Times New Roman" w:hAnsi="Times New Roman"/>
        </w:rPr>
        <w:t> </w:t>
      </w:r>
    </w:p>
    <w:p w:rsidR="006D7DB2" w:rsidP="006D7DB2">
      <w:pPr>
        <w:bidi w:val="0"/>
        <w:jc w:val="both"/>
        <w:rPr>
          <w:rFonts w:ascii="Times New Roman" w:hAnsi="Times New Roman"/>
          <w:b/>
          <w:bCs/>
        </w:rPr>
      </w:pPr>
      <w:r w:rsidRPr="004161A1">
        <w:rPr>
          <w:rFonts w:ascii="Times New Roman" w:hAnsi="Times New Roman"/>
          <w:b/>
          <w:bCs/>
        </w:rPr>
        <w:t>2.3.1. Popis návrhu:</w:t>
      </w:r>
    </w:p>
    <w:p w:rsidR="006D7DB2" w:rsidP="006D7DB2">
      <w:pPr>
        <w:bidi w:val="0"/>
        <w:jc w:val="both"/>
        <w:rPr>
          <w:rFonts w:ascii="Times New Roman" w:hAnsi="Times New Roman"/>
        </w:rPr>
      </w:pPr>
    </w:p>
    <w:p w:rsidR="006D7DB2" w:rsidP="006D7DB2">
      <w:pPr>
        <w:bidi w:val="0"/>
        <w:ind w:firstLine="708"/>
        <w:jc w:val="both"/>
        <w:rPr>
          <w:rFonts w:ascii="Times New Roman" w:hAnsi="Times New Roman"/>
        </w:rPr>
      </w:pPr>
      <w:r>
        <w:rPr>
          <w:rFonts w:ascii="Times New Roman" w:hAnsi="Times New Roman"/>
        </w:rPr>
        <w:t xml:space="preserve">Financovanie Fondu na podporu umenia je zabezpečené v rámci schváleného rozpočtu kapitoly Ministerstva kultúry Slovenskej republiky na rok 2015 a v návrhu rozpočtu na roky 2016 až 2018 a to z osobitného príspevku v sume 4 500 000,00 eur v sume určenej Ministerstvom financií Slovenskej republiky na roky 2016 až 2018 a z rozpočtu kapitoly Ministerstva kultúry Slovenskej republiky minimálne v sume 10 000 000,00 eur od roku 2016.  </w:t>
      </w:r>
    </w:p>
    <w:p w:rsidR="006D7DB2" w:rsidRPr="00E34980" w:rsidP="006D7DB2">
      <w:pPr>
        <w:pStyle w:val="NormalWeb"/>
        <w:bidi w:val="0"/>
        <w:spacing w:before="0" w:beforeAutospacing="0" w:after="0" w:afterAutospacing="0"/>
        <w:rPr>
          <w:rFonts w:ascii="Times New Roman" w:hAnsi="Times New Roman"/>
        </w:rPr>
      </w:pPr>
      <w:r>
        <w:rPr>
          <w:rFonts w:ascii="Times New Roman" w:hAnsi="Times New Roman"/>
        </w:rPr>
        <w:t xml:space="preserve"> </w:t>
      </w:r>
      <w:r w:rsidRPr="00E34980">
        <w:rPr>
          <w:rFonts w:ascii="Times New Roman" w:hAnsi="Times New Roman"/>
          <w:b/>
          <w:bCs/>
        </w:rPr>
        <w:t>2.3.2. Charakteristika návrhu podľa bodu  2.3.2. Metodiky :</w:t>
      </w:r>
    </w:p>
    <w:p w:rsidR="006D7DB2" w:rsidRPr="00E34980" w:rsidP="006D7DB2">
      <w:pPr>
        <w:bidi w:val="0"/>
        <w:rPr>
          <w:rFonts w:ascii="Times New Roman" w:hAnsi="Times New Roman"/>
        </w:rPr>
      </w:pPr>
      <w:r w:rsidRPr="00E34980">
        <w:rPr>
          <w:rFonts w:ascii="Times New Roman" w:hAnsi="Times New Roman"/>
        </w:rPr>
        <w:t> </w:t>
      </w:r>
    </w:p>
    <w:p w:rsidR="006D7DB2" w:rsidRPr="00E34980" w:rsidP="006D7DB2">
      <w:pPr>
        <w:bidi w:val="0"/>
        <w:rPr>
          <w:rFonts w:ascii="Times New Roman" w:hAnsi="Times New Roman"/>
        </w:rPr>
      </w:pPr>
      <w:r w:rsidRPr="00E34980">
        <w:rPr>
          <w:rFonts w:ascii="Times New Roman" w:hAnsi="Times New Roman"/>
          <w:b/>
          <w:bCs/>
          <w:bdr w:val="single" w:sz="4" w:space="0" w:color="000000" w:frame="1"/>
        </w:rPr>
        <w:t xml:space="preserve">     </w:t>
      </w:r>
      <w:r w:rsidRPr="00E34980">
        <w:rPr>
          <w:rFonts w:ascii="Times New Roman" w:hAnsi="Times New Roman"/>
          <w:b/>
          <w:bCs/>
        </w:rPr>
        <w:t xml:space="preserve">  </w:t>
      </w:r>
      <w:r w:rsidRPr="00E34980">
        <w:rPr>
          <w:rFonts w:ascii="Times New Roman" w:hAnsi="Times New Roman"/>
        </w:rPr>
        <w:t>zmena sadzby</w:t>
      </w:r>
    </w:p>
    <w:p w:rsidR="006D7DB2" w:rsidRPr="00E34980" w:rsidP="006D7DB2">
      <w:pPr>
        <w:bidi w:val="0"/>
        <w:rPr>
          <w:rFonts w:ascii="Times New Roman" w:hAnsi="Times New Roman"/>
        </w:rPr>
      </w:pPr>
      <w:r w:rsidRPr="00E34980">
        <w:rPr>
          <w:rFonts w:ascii="Times New Roman" w:hAnsi="Times New Roman"/>
          <w:bdr w:val="single" w:sz="4" w:space="0" w:color="000000" w:frame="1"/>
        </w:rPr>
        <w:t xml:space="preserve">     </w:t>
      </w:r>
      <w:r w:rsidRPr="00E34980">
        <w:rPr>
          <w:rFonts w:ascii="Times New Roman" w:hAnsi="Times New Roman"/>
        </w:rPr>
        <w:t>  zmena v nároku</w:t>
      </w:r>
    </w:p>
    <w:p w:rsidR="006D7DB2" w:rsidRPr="00E34980" w:rsidP="006D7DB2">
      <w:pPr>
        <w:bidi w:val="0"/>
        <w:rPr>
          <w:rFonts w:ascii="Times New Roman" w:hAnsi="Times New Roman"/>
        </w:rPr>
      </w:pPr>
      <w:r w:rsidRPr="00E34980">
        <w:rPr>
          <w:rFonts w:ascii="Times New Roman" w:hAnsi="Times New Roman"/>
          <w:bdr w:val="single" w:sz="4" w:space="0" w:color="000000" w:frame="1"/>
        </w:rPr>
        <w:t xml:space="preserve">     </w:t>
      </w:r>
      <w:r w:rsidRPr="00E34980">
        <w:rPr>
          <w:rFonts w:ascii="Times New Roman" w:hAnsi="Times New Roman"/>
        </w:rPr>
        <w:t>  nová služba alebo nariadenie (alebo ich zrušenie)</w:t>
      </w:r>
    </w:p>
    <w:p w:rsidR="006D7DB2" w:rsidRPr="00E34980" w:rsidP="006D7DB2">
      <w:pPr>
        <w:bidi w:val="0"/>
        <w:rPr>
          <w:rFonts w:ascii="Times New Roman" w:hAnsi="Times New Roman"/>
        </w:rPr>
      </w:pPr>
      <w:r w:rsidRPr="00E34980">
        <w:rPr>
          <w:rFonts w:ascii="Times New Roman" w:hAnsi="Times New Roman"/>
          <w:bdr w:val="single" w:sz="4" w:space="0" w:color="000000" w:frame="1"/>
        </w:rPr>
        <w:t xml:space="preserve">     </w:t>
      </w:r>
      <w:r w:rsidRPr="00E34980">
        <w:rPr>
          <w:rFonts w:ascii="Times New Roman" w:hAnsi="Times New Roman"/>
        </w:rPr>
        <w:t>  kombinovaný návrh</w:t>
      </w:r>
    </w:p>
    <w:p w:rsidR="006D7DB2" w:rsidRPr="00E34980" w:rsidP="006D7DB2">
      <w:pPr>
        <w:bidi w:val="0"/>
        <w:rPr>
          <w:rFonts w:ascii="Times New Roman" w:hAnsi="Times New Roman"/>
        </w:rPr>
      </w:pPr>
      <w:r w:rsidRPr="00E34980">
        <w:rPr>
          <w:rFonts w:ascii="Times New Roman" w:hAnsi="Times New Roman"/>
          <w:bdr w:val="single" w:sz="4" w:space="0" w:color="000000" w:frame="1"/>
        </w:rPr>
        <w:t xml:space="preserve"> x  </w:t>
      </w:r>
      <w:r w:rsidRPr="00E34980">
        <w:rPr>
          <w:rFonts w:ascii="Times New Roman" w:hAnsi="Times New Roman"/>
        </w:rPr>
        <w:t xml:space="preserve">  iné </w:t>
      </w:r>
    </w:p>
    <w:p w:rsidR="006D7DB2" w:rsidP="006D7DB2">
      <w:pPr>
        <w:bidi w:val="0"/>
        <w:jc w:val="both"/>
        <w:rPr>
          <w:rFonts w:ascii="Times New Roman" w:hAnsi="Times New Roman"/>
        </w:rPr>
      </w:pPr>
    </w:p>
    <w:p w:rsidR="006D7DB2" w:rsidP="006D7DB2">
      <w:pPr>
        <w:bidi w:val="0"/>
        <w:rPr>
          <w:rFonts w:ascii="Times New Roman" w:hAnsi="Times New Roman"/>
        </w:rPr>
      </w:pPr>
      <w:r>
        <w:rPr>
          <w:rFonts w:ascii="Times New Roman" w:hAnsi="Times New Roman"/>
          <w:b/>
          <w:bCs/>
        </w:rPr>
        <w:t>2.3.3. Predpoklady vývoja objemu aktivít:</w:t>
      </w:r>
    </w:p>
    <w:p w:rsidR="006D7DB2" w:rsidP="006D7DB2">
      <w:pPr>
        <w:bidi w:val="0"/>
        <w:rPr>
          <w:rFonts w:ascii="Times New Roman" w:hAnsi="Times New Roman"/>
        </w:rPr>
      </w:pPr>
      <w:r>
        <w:rPr>
          <w:rFonts w:ascii="Times New Roman" w:hAnsi="Times New Roman"/>
        </w:rPr>
        <w:t> </w:t>
      </w:r>
    </w:p>
    <w:p w:rsidR="006D7DB2" w:rsidP="006D7DB2">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6D7DB2" w:rsidP="006D7DB2">
      <w:pPr>
        <w:bidi w:val="0"/>
        <w:jc w:val="right"/>
        <w:rPr>
          <w:rFonts w:ascii="Times New Roman" w:hAnsi="Times New Roman"/>
        </w:rPr>
      </w:pPr>
      <w:r>
        <w:rPr>
          <w:rFonts w:ascii="Times New Roman" w:hAnsi="Times New Roman"/>
          <w:sz w:val="20"/>
          <w:szCs w:val="20"/>
        </w:rPr>
        <w:t xml:space="preserve">Tabuľka č. 3 </w:t>
      </w:r>
    </w:p>
    <w:tbl>
      <w:tblPr>
        <w:tblStyle w:val="TableNormal"/>
        <w:tblW w:w="0" w:type="auto"/>
        <w:tblCellMar>
          <w:left w:w="0" w:type="dxa"/>
          <w:right w:w="0" w:type="dxa"/>
        </w:tblCellMar>
        <w:tblLook w:val="04A0"/>
      </w:tblPr>
      <w:tblGrid>
        <w:gridCol w:w="4530"/>
        <w:gridCol w:w="1134"/>
        <w:gridCol w:w="1134"/>
        <w:gridCol w:w="1134"/>
        <w:gridCol w:w="1134"/>
      </w:tblGrid>
      <w:tr>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Odhadované objemy</w:t>
            </w:r>
          </w:p>
        </w:tc>
      </w:tr>
      <w:tr>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6D7DB2" w:rsidP="00157D07">
            <w:pPr>
              <w:bidi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2015r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 xml:space="preserve">2016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6D7DB2" w:rsidP="00157D07">
            <w:pPr>
              <w:bidi w:val="0"/>
              <w:spacing w:after="0" w:line="70" w:lineRule="atLeast"/>
              <w:jc w:val="center"/>
              <w:rPr>
                <w:rFonts w:ascii="Times New Roman" w:hAnsi="Times New Roman"/>
              </w:rPr>
            </w:pPr>
            <w:r>
              <w:rPr>
                <w:rFonts w:ascii="Times New Roman" w:hAnsi="Times New Roman"/>
                <w:b/>
                <w:bCs/>
                <w:color w:val="FFFFFF"/>
              </w:rPr>
              <w:t>2018</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rPr>
                <w:rFonts w:ascii="Times New Roman" w:hAnsi="Times New Roman"/>
              </w:rPr>
            </w:pPr>
            <w:r>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rPr>
                <w:rFonts w:ascii="Times New Roman" w:hAnsi="Times New Roman"/>
              </w:rPr>
            </w:pPr>
            <w:r>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rPr>
                <w:rFonts w:ascii="Times New Roman" w:hAnsi="Times New Roman"/>
              </w:rPr>
            </w:pPr>
            <w:r>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6D7DB2" w:rsidP="00157D07">
            <w:pPr>
              <w:bidi w:val="0"/>
              <w:spacing w:after="0" w:line="70" w:lineRule="atLeast"/>
              <w:jc w:val="right"/>
              <w:rPr>
                <w:rFonts w:ascii="Times New Roman" w:hAnsi="Times New Roman"/>
              </w:rPr>
            </w:pPr>
            <w:r>
              <w:rPr>
                <w:rFonts w:ascii="Times New Roman" w:hAnsi="Times New Roman"/>
                <w:color w:val="000000"/>
              </w:rPr>
              <w:t> </w:t>
            </w:r>
          </w:p>
        </w:tc>
      </w:tr>
      <w:tr>
        <w:tblPrEx>
          <w:tblW w:w="0" w:type="auto"/>
          <w:tblCellMar>
            <w:left w:w="0" w:type="dxa"/>
            <w:right w:w="0" w:type="dxa"/>
          </w:tblCellMar>
          <w:tblLook w:val="04A0"/>
        </w:tblPrEx>
        <w:tc>
          <w:tcPr>
            <w:tcW w:w="4530" w:type="dxa"/>
            <w:tcBorders>
              <w:top w:val="none" w:sz="0" w:space="0" w:color="auto"/>
              <w:left w:val="none" w:sz="0" w:space="0" w:color="auto"/>
              <w:bottom w:val="none" w:sz="0" w:space="0" w:color="auto"/>
              <w:right w:val="none" w:sz="0" w:space="0" w:color="auto"/>
            </w:tcBorders>
            <w:textDirection w:val="lrTb"/>
            <w:vAlign w:val="center"/>
          </w:tcPr>
          <w:p w:rsidR="006D7DB2" w:rsidP="00157D0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6D7DB2" w:rsidP="00157D0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6D7DB2" w:rsidP="00157D0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6D7DB2" w:rsidP="00157D07">
            <w:pPr>
              <w:bidi w:val="0"/>
              <w:spacing w:after="0"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6D7DB2" w:rsidP="00157D07">
            <w:pPr>
              <w:bidi w:val="0"/>
              <w:spacing w:after="0" w:line="276" w:lineRule="auto"/>
              <w:rPr>
                <w:rFonts w:ascii="Times New Roman" w:hAnsi="Times New Roman"/>
                <w:sz w:val="2"/>
              </w:rPr>
            </w:pPr>
          </w:p>
        </w:tc>
      </w:tr>
    </w:tbl>
    <w:p w:rsidR="006D7DB2" w:rsidP="006D7DB2">
      <w:pPr>
        <w:bidi w:val="0"/>
        <w:rPr>
          <w:rFonts w:ascii="Times New Roman" w:hAnsi="Times New Roman"/>
        </w:rPr>
      </w:pPr>
    </w:p>
    <w:p w:rsidR="006D7DB2" w:rsidP="006D7DB2">
      <w:pPr>
        <w:bidi w:val="0"/>
        <w:ind w:firstLine="708"/>
        <w:jc w:val="both"/>
        <w:rPr>
          <w:rFonts w:ascii="Times New Roman" w:hAnsi="Times New Roman"/>
        </w:rPr>
      </w:pPr>
      <w:r>
        <w:rPr>
          <w:rFonts w:ascii="Times New Roman" w:hAnsi="Times New Roman"/>
        </w:rPr>
        <w:t> </w:t>
      </w:r>
    </w:p>
    <w:tbl>
      <w:tblPr>
        <w:tblStyle w:val="TableNormal"/>
        <w:tblW w:w="0" w:type="auto"/>
        <w:tblInd w:w="-108" w:type="dxa"/>
        <w:tblCellMar>
          <w:left w:w="0" w:type="dxa"/>
          <w:right w:w="0" w:type="dxa"/>
        </w:tblCellMar>
      </w:tblPr>
      <w:tblGrid>
        <w:gridCol w:w="4530"/>
        <w:gridCol w:w="1134"/>
        <w:gridCol w:w="1134"/>
        <w:gridCol w:w="1134"/>
        <w:gridCol w:w="1134"/>
      </w:tblGrid>
      <w:tr>
        <w:tblPrEx>
          <w:tblW w:w="0" w:type="auto"/>
          <w:tblInd w:w="-108" w:type="dxa"/>
          <w:tblCellMar>
            <w:left w:w="0" w:type="dxa"/>
            <w:right w:w="0" w:type="dxa"/>
          </w:tblCellMar>
        </w:tblPrEx>
        <w:tc>
          <w:tcPr>
            <w:tcW w:w="4530"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RPr="004161A1" w:rsidP="00157D07">
            <w:pPr>
              <w:bidi w:val="0"/>
              <w:spacing w:after="0" w:line="240" w:lineRule="auto"/>
              <w:rPr>
                <w:rFonts w:ascii="Times New Roman" w:hAnsi="Times New Roman"/>
                <w:sz w:val="2"/>
                <w:szCs w:val="2"/>
              </w:rPr>
            </w:pPr>
          </w:p>
        </w:tc>
      </w:tr>
    </w:tbl>
    <w:p w:rsidR="006D7DB2" w:rsidP="006D7DB2">
      <w:pPr>
        <w:bidi w:val="0"/>
        <w:rPr>
          <w:rFonts w:ascii="Times New Roman" w:hAnsi="Times New Roman"/>
        </w:rPr>
      </w:pPr>
      <w:r w:rsidRPr="004161A1">
        <w:rPr>
          <w:rFonts w:ascii="Times New Roman" w:hAnsi="Times New Roman"/>
          <w:b/>
          <w:bCs/>
        </w:rPr>
        <w:t>2.3.4. Výpočty vplyvov na verejné financie</w:t>
      </w:r>
    </w:p>
    <w:p w:rsidR="006D7DB2" w:rsidP="006D7DB2">
      <w:pPr>
        <w:bidi w:val="0"/>
        <w:rPr>
          <w:rFonts w:ascii="Times New Roman" w:hAnsi="Times New Roman"/>
        </w:rPr>
      </w:pPr>
      <w:r>
        <w:rPr>
          <w:rFonts w:ascii="Times New Roman" w:hAnsi="Times New Roman"/>
        </w:rPr>
        <w:t> </w:t>
        <w:tab/>
        <w:tab/>
        <w:tab/>
        <w:tab/>
        <w:tab/>
        <w:tab/>
        <w:tab/>
        <w:tab/>
        <w:tab/>
        <w:tab/>
        <w:tab/>
        <w:tab/>
        <w:t xml:space="preserve">Tabuľka č. 4 </w:t>
      </w:r>
    </w:p>
    <w:tbl>
      <w:tblPr>
        <w:tblStyle w:val="TableNormal"/>
        <w:tblW w:w="10136" w:type="dxa"/>
        <w:tblInd w:w="-356" w:type="dxa"/>
        <w:tblCellMar>
          <w:left w:w="0" w:type="dxa"/>
          <w:right w:w="0" w:type="dxa"/>
        </w:tblCellMar>
      </w:tblPr>
      <w:tblGrid>
        <w:gridCol w:w="4677"/>
        <w:gridCol w:w="1134"/>
        <w:gridCol w:w="850"/>
        <w:gridCol w:w="1134"/>
        <w:gridCol w:w="1134"/>
        <w:gridCol w:w="1207"/>
      </w:tblGrid>
      <w:tr>
        <w:tblPrEx>
          <w:tblW w:w="10136" w:type="dxa"/>
          <w:tblInd w:w="-356" w:type="dxa"/>
          <w:tblCellMar>
            <w:left w:w="0" w:type="dxa"/>
            <w:right w:w="0" w:type="dxa"/>
          </w:tblCellMar>
        </w:tblPrEx>
        <w:trPr>
          <w:trHeight w:val="255"/>
        </w:trPr>
        <w:tc>
          <w:tcPr>
            <w:tcW w:w="467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4252"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Vplyv na rozpočet verejnej správy</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0136" w:type="dxa"/>
          <w:tblInd w:w="-356" w:type="dxa"/>
          <w:tblCellMar>
            <w:left w:w="0" w:type="dxa"/>
            <w:right w:w="0" w:type="dxa"/>
          </w:tblCellMar>
        </w:tblPrEx>
        <w:trPr>
          <w:trHeight w:val="255"/>
        </w:trPr>
        <w:tc>
          <w:tcPr>
            <w:tcW w:w="4677" w:type="dxa"/>
            <w:vMerge/>
            <w:tcBorders>
              <w:top w:val="single" w:sz="4" w:space="0" w:color="000000"/>
              <w:left w:val="single" w:sz="4" w:space="0" w:color="000000"/>
              <w:bottom w:val="single" w:sz="4" w:space="0" w:color="000000"/>
              <w:right w:val="single" w:sz="4" w:space="0" w:color="000000"/>
            </w:tcBorders>
            <w:textDirection w:val="lrTb"/>
            <w:vAlign w:val="center"/>
          </w:tcPr>
          <w:p w:rsidR="006D7DB2" w:rsidP="00157D07">
            <w:pPr>
              <w:bidi w:val="0"/>
              <w:spacing w:after="0" w:line="240" w:lineRule="auto"/>
              <w:rPr>
                <w:rFonts w:ascii="Times New Roman" w:hAnsi="Times New Roman"/>
              </w:rPr>
            </w:pP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2015</w:t>
            </w: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sidRPr="001D083A">
              <w:rPr>
                <w:rFonts w:ascii="Times New Roman" w:hAnsi="Times New Roman"/>
                <w:b/>
                <w:sz w:val="22"/>
                <w:szCs w:val="22"/>
              </w:rPr>
              <w:t>201</w:t>
            </w:r>
            <w:r>
              <w:rPr>
                <w:rFonts w:ascii="Times New Roman" w:hAnsi="Times New Roman"/>
                <w:b/>
                <w:sz w:val="22"/>
                <w:szCs w:val="22"/>
              </w:rPr>
              <w:t>6</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2017</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2018</w:t>
            </w:r>
          </w:p>
        </w:tc>
        <w:tc>
          <w:tcPr>
            <w:tcW w:w="1207" w:type="dxa"/>
            <w:vMerge/>
            <w:tcBorders>
              <w:top w:val="single" w:sz="4" w:space="0" w:color="000000"/>
              <w:left w:val="single" w:sz="4" w:space="0" w:color="000000"/>
              <w:bottom w:val="single" w:sz="4" w:space="0" w:color="000000"/>
              <w:right w:val="single" w:sz="4" w:space="0" w:color="000000"/>
            </w:tcBorders>
            <w:textDirection w:val="lrTb"/>
            <w:vAlign w:val="center"/>
          </w:tcPr>
          <w:p w:rsidR="006D7DB2" w:rsidP="00157D07">
            <w:pPr>
              <w:bidi w:val="0"/>
              <w:spacing w:after="0" w:line="240" w:lineRule="auto"/>
              <w:rPr>
                <w:rFonts w:ascii="Times New Roman" w:hAnsi="Times New Roman"/>
              </w:rPr>
            </w:pP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20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20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8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20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rPr>
              <w:t>Príjmy z transakcií s finančnými aktívami a finančnými pasívami (400)</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20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rPr>
              <w:t>Prijaté úvery, pôžičky a návratné finančné výpomoci (500)</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85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134"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20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36" w:type="dxa"/>
          <w:tblInd w:w="-356" w:type="dxa"/>
          <w:tblCellMar>
            <w:left w:w="0" w:type="dxa"/>
            <w:right w:w="0" w:type="dxa"/>
          </w:tblCellMar>
        </w:tblPrEx>
        <w:trPr>
          <w:trHeight w:val="255"/>
        </w:trPr>
        <w:tc>
          <w:tcPr>
            <w:tcW w:w="4677"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rPr>
              <w:t>Dopad na príjmy verejnej správy celkom</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8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 </w:t>
            </w:r>
          </w:p>
        </w:tc>
        <w:tc>
          <w:tcPr>
            <w:tcW w:w="120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0136" w:type="dxa"/>
          <w:tblInd w:w="-356" w:type="dxa"/>
          <w:tblCellMar>
            <w:left w:w="0" w:type="dxa"/>
            <w:right w:w="0" w:type="dxa"/>
          </w:tblCellMar>
        </w:tblPrEx>
        <w:tc>
          <w:tcPr>
            <w:tcW w:w="4677"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850"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134"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207"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r>
    </w:tbl>
    <w:p w:rsidR="006D7DB2" w:rsidP="006D7DB2">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6D7DB2" w:rsidP="006D7DB2">
      <w:pPr>
        <w:pStyle w:val="NormalWeb"/>
        <w:bidi w:val="0"/>
        <w:spacing w:before="0" w:beforeAutospacing="0" w:after="0" w:afterAutospacing="0"/>
        <w:ind w:left="8496"/>
        <w:jc w:val="both"/>
        <w:rPr>
          <w:rFonts w:ascii="Times New Roman" w:hAnsi="Times New Roman"/>
          <w:sz w:val="20"/>
          <w:szCs w:val="20"/>
        </w:rPr>
      </w:pPr>
    </w:p>
    <w:p w:rsidR="006D7DB2" w:rsidP="006D7DB2">
      <w:pPr>
        <w:pStyle w:val="NormalWeb"/>
        <w:bidi w:val="0"/>
        <w:spacing w:before="0" w:beforeAutospacing="0" w:after="0" w:afterAutospacing="0"/>
        <w:ind w:left="7080" w:firstLine="708"/>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0154" w:type="dxa"/>
        <w:tblInd w:w="-391" w:type="dxa"/>
        <w:tblCellMar>
          <w:left w:w="0" w:type="dxa"/>
          <w:right w:w="0" w:type="dxa"/>
        </w:tblCellMar>
      </w:tblPr>
      <w:tblGrid>
        <w:gridCol w:w="3083"/>
        <w:gridCol w:w="1347"/>
        <w:gridCol w:w="1560"/>
        <w:gridCol w:w="162"/>
        <w:gridCol w:w="425"/>
        <w:gridCol w:w="849"/>
        <w:gridCol w:w="142"/>
        <w:gridCol w:w="1540"/>
        <w:gridCol w:w="1046"/>
      </w:tblGrid>
      <w:tr>
        <w:tblPrEx>
          <w:tblW w:w="10154" w:type="dxa"/>
          <w:tblInd w:w="-391" w:type="dxa"/>
          <w:tblCellMar>
            <w:left w:w="0" w:type="dxa"/>
            <w:right w:w="0" w:type="dxa"/>
          </w:tblCellMar>
        </w:tblPrEx>
        <w:trPr>
          <w:trHeight w:val="547"/>
        </w:trPr>
        <w:tc>
          <w:tcPr>
            <w:tcW w:w="308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eurách)</w:t>
            </w:r>
          </w:p>
        </w:tc>
        <w:tc>
          <w:tcPr>
            <w:tcW w:w="6025" w:type="dxa"/>
            <w:gridSpan w:val="7"/>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RPr="00EC648C" w:rsidP="00157D07">
            <w:pPr>
              <w:pStyle w:val="NormalWeb"/>
              <w:bidi w:val="0"/>
              <w:spacing w:before="0" w:beforeAutospacing="0" w:after="0" w:afterAutospacing="0" w:line="240" w:lineRule="auto"/>
              <w:jc w:val="center"/>
              <w:rPr>
                <w:rFonts w:ascii="Times New Roman" w:hAnsi="Times New Roman"/>
                <w:b/>
                <w:bCs/>
                <w:color w:val="FFFFFF"/>
                <w:sz w:val="20"/>
                <w:szCs w:val="20"/>
              </w:rPr>
            </w:pPr>
            <w:r>
              <w:rPr>
                <w:rFonts w:ascii="Times New Roman" w:hAnsi="Times New Roman"/>
                <w:b/>
                <w:bCs/>
                <w:color w:val="FFFFFF"/>
                <w:sz w:val="20"/>
                <w:szCs w:val="20"/>
              </w:rPr>
              <w:t>Vplyv na rozpočet verejnej správy</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6D7DB2" w:rsidRPr="00EC648C" w:rsidP="00157D07">
            <w:pPr>
              <w:pStyle w:val="NormalWeb"/>
              <w:bidi w:val="0"/>
              <w:spacing w:before="0" w:beforeAutospacing="0" w:after="0" w:afterAutospacing="0" w:line="240" w:lineRule="auto"/>
              <w:jc w:val="center"/>
              <w:rPr>
                <w:rFonts w:ascii="Times New Roman" w:hAnsi="Times New Roman"/>
                <w:b/>
                <w:bCs/>
                <w:color w:val="FFFFFF"/>
                <w:sz w:val="20"/>
                <w:szCs w:val="20"/>
              </w:rPr>
            </w:pPr>
            <w:r w:rsidRPr="00EC648C">
              <w:rPr>
                <w:rFonts w:ascii="Times New Roman" w:hAnsi="Times New Roman"/>
                <w:b/>
                <w:bCs/>
                <w:color w:val="FFFFFF"/>
                <w:sz w:val="20"/>
                <w:szCs w:val="20"/>
              </w:rPr>
              <w:t>poznámka</w:t>
            </w:r>
          </w:p>
        </w:tc>
      </w:tr>
      <w:tr>
        <w:tblPrEx>
          <w:tblW w:w="10154" w:type="dxa"/>
          <w:tblInd w:w="-391" w:type="dxa"/>
          <w:tblCellMar>
            <w:left w:w="0" w:type="dxa"/>
            <w:right w:w="0" w:type="dxa"/>
          </w:tblCellMar>
        </w:tblPrEx>
        <w:trPr>
          <w:trHeight w:val="422"/>
        </w:trPr>
        <w:tc>
          <w:tcPr>
            <w:tcW w:w="3083" w:type="dxa"/>
            <w:vMerge/>
            <w:tcBorders>
              <w:top w:val="single" w:sz="4" w:space="0" w:color="000000"/>
              <w:left w:val="single" w:sz="4" w:space="0" w:color="000000"/>
              <w:bottom w:val="single" w:sz="4" w:space="0" w:color="000000"/>
              <w:right w:val="single" w:sz="4" w:space="0" w:color="000000"/>
            </w:tcBorders>
            <w:textDirection w:val="lrTb"/>
            <w:vAlign w:val="center"/>
          </w:tcPr>
          <w:p w:rsidR="006D7DB2" w:rsidP="00157D07">
            <w:pPr>
              <w:bidi w:val="0"/>
              <w:spacing w:after="0" w:line="240" w:lineRule="auto"/>
              <w:rPr>
                <w:rFonts w:ascii="Times New Roman" w:hAnsi="Times New Roman"/>
              </w:rPr>
            </w:pPr>
          </w:p>
        </w:tc>
        <w:tc>
          <w:tcPr>
            <w:tcW w:w="134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tabs>
                <w:tab w:val="left" w:pos="615"/>
                <w:tab w:val="center" w:pos="700"/>
              </w:tabs>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ab/>
              <w:t>2015</w:t>
            </w:r>
          </w:p>
        </w:tc>
        <w:tc>
          <w:tcPr>
            <w:tcW w:w="2147" w:type="dxa"/>
            <w:gridSpan w:val="3"/>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2016</w:t>
            </w:r>
          </w:p>
        </w:tc>
        <w:tc>
          <w:tcPr>
            <w:tcW w:w="84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2017</w:t>
            </w:r>
          </w:p>
        </w:tc>
        <w:tc>
          <w:tcPr>
            <w:tcW w:w="1682"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6D7DB2" w:rsidRPr="00EC648C" w:rsidP="00157D07">
            <w:pPr>
              <w:pStyle w:val="NormalWeb"/>
              <w:bidi w:val="0"/>
              <w:spacing w:before="0" w:beforeAutospacing="0" w:after="0" w:afterAutospacing="0" w:line="240" w:lineRule="auto"/>
              <w:jc w:val="center"/>
              <w:rPr>
                <w:rFonts w:ascii="Times New Roman" w:hAnsi="Times New Roman"/>
                <w:b/>
                <w:bCs/>
                <w:color w:val="FFFFFF"/>
                <w:sz w:val="20"/>
                <w:szCs w:val="20"/>
              </w:rPr>
            </w:pPr>
            <w:r w:rsidRPr="00EC648C">
              <w:rPr>
                <w:rFonts w:ascii="Times New Roman" w:hAnsi="Times New Roman"/>
                <w:b/>
                <w:bCs/>
                <w:color w:val="FFFFFF"/>
                <w:sz w:val="20"/>
                <w:szCs w:val="20"/>
              </w:rPr>
              <w:t>2018</w:t>
            </w:r>
          </w:p>
        </w:tc>
        <w:tc>
          <w:tcPr>
            <w:tcW w:w="1046" w:type="dxa"/>
            <w:vMerge/>
            <w:tcBorders>
              <w:top w:val="single" w:sz="4" w:space="0" w:color="000000"/>
              <w:left w:val="single" w:sz="4" w:space="0" w:color="000000"/>
              <w:bottom w:val="single" w:sz="4" w:space="0" w:color="000000"/>
              <w:right w:val="single" w:sz="4" w:space="0" w:color="000000"/>
            </w:tcBorders>
            <w:textDirection w:val="lrTb"/>
            <w:vAlign w:val="center"/>
          </w:tcPr>
          <w:p w:rsidR="006D7DB2" w:rsidRPr="00EC648C" w:rsidP="00157D07">
            <w:pPr>
              <w:bidi w:val="0"/>
              <w:spacing w:after="0" w:line="240" w:lineRule="auto"/>
              <w:rPr>
                <w:rFonts w:ascii="Times New Roman" w:hAnsi="Times New Roman"/>
                <w:b/>
                <w:bCs/>
                <w:color w:val="FFFFFF"/>
                <w:sz w:val="20"/>
                <w:szCs w:val="20"/>
              </w:rPr>
            </w:pP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center"/>
              <w:rPr>
                <w:rFonts w:ascii="Times New Roman" w:hAnsi="Times New Roman"/>
                <w:b/>
              </w:rPr>
            </w:pPr>
            <w:r w:rsidRPr="005346E7">
              <w:rPr>
                <w:rFonts w:ascii="Times New Roman" w:hAnsi="Times New Roman"/>
                <w:b/>
              </w:rPr>
              <w:t>200 000,00</w:t>
            </w:r>
          </w:p>
        </w:tc>
        <w:tc>
          <w:tcPr>
            <w:tcW w:w="1722"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14 260 000,00</w:t>
            </w:r>
          </w:p>
        </w:tc>
        <w:tc>
          <w:tcPr>
            <w:tcW w:w="1416" w:type="dxa"/>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 xml:space="preserve">14 </w:t>
            </w:r>
            <w:r>
              <w:rPr>
                <w:rFonts w:ascii="Times New Roman" w:hAnsi="Times New Roman"/>
                <w:b/>
                <w:sz w:val="22"/>
                <w:szCs w:val="22"/>
              </w:rPr>
              <w:t>50</w:t>
            </w:r>
            <w:r w:rsidRPr="005346E7">
              <w:rPr>
                <w:rFonts w:ascii="Times New Roman" w:hAnsi="Times New Roman"/>
                <w:b/>
                <w:sz w:val="22"/>
                <w:szCs w:val="22"/>
              </w:rPr>
              <w:t>0 000,00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 xml:space="preserve">14 </w:t>
            </w:r>
            <w:r>
              <w:rPr>
                <w:rFonts w:ascii="Times New Roman" w:hAnsi="Times New Roman"/>
                <w:b/>
                <w:sz w:val="22"/>
                <w:szCs w:val="22"/>
              </w:rPr>
              <w:t>50</w:t>
            </w:r>
            <w:r w:rsidRPr="005346E7">
              <w:rPr>
                <w:rFonts w:ascii="Times New Roman" w:hAnsi="Times New Roman"/>
                <w:b/>
                <w:sz w:val="22"/>
                <w:szCs w:val="22"/>
              </w:rPr>
              <w:t>0 000,00</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ml:space="preserve">   </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6C121A" w:rsidP="00157D07">
            <w:pPr>
              <w:bidi w:val="0"/>
              <w:spacing w:after="0" w:line="70" w:lineRule="atLeast"/>
              <w:jc w:val="center"/>
              <w:rPr>
                <w:rFonts w:ascii="Times New Roman" w:hAnsi="Times New Roman"/>
              </w:rPr>
            </w:pPr>
            <w:r>
              <w:rPr>
                <w:rFonts w:ascii="Times New Roman" w:hAnsi="Times New Roman"/>
              </w:rPr>
              <w:t>200 000,00</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 xml:space="preserve">14 </w:t>
            </w:r>
            <w:r>
              <w:rPr>
                <w:rFonts w:ascii="Times New Roman" w:hAnsi="Times New Roman"/>
                <w:sz w:val="22"/>
                <w:szCs w:val="22"/>
              </w:rPr>
              <w:t>26</w:t>
            </w:r>
            <w:r w:rsidRPr="00891EDA">
              <w:rPr>
                <w:rFonts w:ascii="Times New Roman" w:hAnsi="Times New Roman"/>
                <w:sz w:val="22"/>
                <w:szCs w:val="22"/>
              </w:rPr>
              <w:t>0 000,00</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 xml:space="preserve">14 </w:t>
            </w:r>
            <w:r>
              <w:rPr>
                <w:rFonts w:ascii="Times New Roman" w:hAnsi="Times New Roman"/>
                <w:sz w:val="22"/>
                <w:szCs w:val="22"/>
              </w:rPr>
              <w:t>50</w:t>
            </w:r>
            <w:r w:rsidRPr="00891EDA">
              <w:rPr>
                <w:rFonts w:ascii="Times New Roman" w:hAnsi="Times New Roman"/>
                <w:sz w:val="22"/>
                <w:szCs w:val="22"/>
              </w:rPr>
              <w:t>0 000,00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891EDA" w:rsidP="00157D07">
            <w:pPr>
              <w:bidi w:val="0"/>
              <w:spacing w:after="0" w:line="70" w:lineRule="atLeast"/>
              <w:jc w:val="right"/>
              <w:rPr>
                <w:rFonts w:ascii="Times New Roman" w:hAnsi="Times New Roman"/>
                <w:sz w:val="22"/>
                <w:szCs w:val="22"/>
              </w:rPr>
            </w:pPr>
            <w:r w:rsidRPr="00891EDA">
              <w:rPr>
                <w:rFonts w:ascii="Times New Roman" w:hAnsi="Times New Roman"/>
                <w:sz w:val="22"/>
                <w:szCs w:val="22"/>
              </w:rPr>
              <w:t xml:space="preserve">14 </w:t>
            </w:r>
            <w:r>
              <w:rPr>
                <w:rFonts w:ascii="Times New Roman" w:hAnsi="Times New Roman"/>
                <w:sz w:val="22"/>
                <w:szCs w:val="22"/>
              </w:rPr>
              <w:t>50</w:t>
            </w:r>
            <w:r w:rsidRPr="00891EDA">
              <w:rPr>
                <w:rFonts w:ascii="Times New Roman" w:hAnsi="Times New Roman"/>
                <w:sz w:val="22"/>
                <w:szCs w:val="22"/>
              </w:rPr>
              <w:t>0 000,00</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pStyle w:val="NormalWeb"/>
              <w:bidi w:val="0"/>
              <w:spacing w:before="0" w:beforeAutospacing="0" w:after="0" w:afterAutospacing="0" w:line="240" w:lineRule="auto"/>
              <w:jc w:val="center"/>
              <w:rPr>
                <w:rFonts w:ascii="Times New Roman" w:hAnsi="Times New Roman"/>
                <w:b/>
              </w:rPr>
            </w:pPr>
            <w:r w:rsidRPr="005346E7">
              <w:rPr>
                <w:rFonts w:ascii="Times New Roman" w:hAnsi="Times New Roman"/>
                <w:b/>
              </w:rPr>
              <w:t>0</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240 000,00 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Pr>
                <w:rFonts w:ascii="Times New Roman" w:hAnsi="Times New Roman"/>
                <w:b/>
                <w:sz w:val="22"/>
                <w:szCs w:val="22"/>
              </w:rPr>
              <w:t>0</w:t>
            </w:r>
            <w:r w:rsidRPr="005346E7">
              <w:rPr>
                <w:rFonts w:ascii="Times New Roman" w:hAnsi="Times New Roman"/>
                <w:b/>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Pr>
                <w:rFonts w:ascii="Times New Roman" w:hAnsi="Times New Roman"/>
                <w:b/>
                <w:sz w:val="22"/>
                <w:szCs w:val="22"/>
              </w:rPr>
              <w:t>0</w:t>
            </w:r>
            <w:r w:rsidRPr="005346E7">
              <w:rPr>
                <w:rFonts w:ascii="Times New Roman" w:hAnsi="Times New Roman"/>
                <w:b/>
                <w:sz w:val="22"/>
                <w:szCs w:val="22"/>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RPr="00680404" w:rsidP="00157D07">
            <w:pPr>
              <w:pStyle w:val="NormalWeb"/>
              <w:bidi w:val="0"/>
              <w:spacing w:before="0" w:beforeAutospacing="0" w:after="0" w:afterAutospacing="0" w:line="240" w:lineRule="auto"/>
              <w:rPr>
                <w:rFonts w:ascii="Times New Roman" w:hAnsi="Times New Roman"/>
                <w:sz w:val="20"/>
                <w:szCs w:val="20"/>
              </w:rPr>
            </w:pPr>
            <w:r w:rsidRPr="00680404">
              <w:rPr>
                <w:rFonts w:ascii="Times New Roman" w:hAnsi="Times New Roman"/>
                <w:sz w:val="20"/>
                <w:szCs w:val="20"/>
              </w:rPr>
              <w:t>71</w:t>
            </w:r>
            <w:r>
              <w:rPr>
                <w:rFonts w:ascii="Times New Roman" w:hAnsi="Times New Roman"/>
                <w:sz w:val="20"/>
                <w:szCs w:val="20"/>
              </w:rPr>
              <w:t>0 – rekonštrukcie</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680404" w:rsidP="00157D07">
            <w:pPr>
              <w:pStyle w:val="NormalWeb"/>
              <w:bidi w:val="0"/>
              <w:spacing w:before="0" w:beforeAutospacing="0" w:after="0" w:afterAutospacing="0" w:line="240" w:lineRule="auto"/>
              <w:jc w:val="center"/>
              <w:rPr>
                <w:rFonts w:ascii="Times New Roman" w:hAnsi="Times New Roman"/>
                <w:sz w:val="20"/>
                <w:szCs w:val="20"/>
              </w:rPr>
            </w:pP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680404" w:rsidP="00157D07">
            <w:pPr>
              <w:pStyle w:val="NormalWeb"/>
              <w:bidi w:val="0"/>
              <w:spacing w:before="0" w:beforeAutospacing="0" w:after="0" w:afterAutospacing="0" w:line="240" w:lineRule="auto"/>
              <w:jc w:val="center"/>
              <w:rPr>
                <w:rFonts w:ascii="Times New Roman" w:hAnsi="Times New Roman"/>
                <w:sz w:val="20"/>
                <w:szCs w:val="20"/>
              </w:rPr>
            </w:pP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RPr="00680404" w:rsidP="00157D07">
            <w:pPr>
              <w:pStyle w:val="NormalWeb"/>
              <w:bidi w:val="0"/>
              <w:spacing w:before="0" w:beforeAutospacing="0" w:after="0" w:afterAutospacing="0" w:line="240" w:lineRule="auto"/>
              <w:rPr>
                <w:rFonts w:ascii="Times New Roman" w:hAnsi="Times New Roman"/>
                <w:sz w:val="20"/>
                <w:szCs w:val="20"/>
              </w:rPr>
            </w:pPr>
            <w:r w:rsidRPr="00680404">
              <w:rPr>
                <w:rFonts w:ascii="Times New Roman" w:hAnsi="Times New Roman"/>
                <w:sz w:val="20"/>
                <w:szCs w:val="20"/>
              </w:rPr>
              <w:t>71</w:t>
            </w:r>
            <w:r>
              <w:rPr>
                <w:rFonts w:ascii="Times New Roman" w:hAnsi="Times New Roman"/>
                <w:sz w:val="20"/>
                <w:szCs w:val="20"/>
              </w:rPr>
              <w:t>0 – rekonštrukcie a výstavby</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7817D3" w:rsidP="00157D07">
            <w:pPr>
              <w:pStyle w:val="NormalWeb"/>
              <w:bidi w:val="0"/>
              <w:spacing w:before="0" w:beforeAutospacing="0" w:after="0" w:afterAutospacing="0" w:line="240" w:lineRule="auto"/>
              <w:jc w:val="center"/>
              <w:rPr>
                <w:rFonts w:ascii="Times New Roman" w:hAnsi="Times New Roman"/>
              </w:rPr>
            </w:pP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680404" w:rsidP="00157D07">
            <w:pPr>
              <w:pStyle w:val="NormalWeb"/>
              <w:bidi w:val="0"/>
              <w:spacing w:before="0" w:beforeAutospacing="0" w:after="0" w:afterAutospacing="0" w:line="240" w:lineRule="auto"/>
              <w:jc w:val="center"/>
              <w:rPr>
                <w:rFonts w:ascii="Times New Roman" w:hAnsi="Times New Roman"/>
                <w:sz w:val="20"/>
                <w:szCs w:val="20"/>
              </w:rPr>
            </w:pP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rPr>
              <w:t>0</w:t>
            </w: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sz w:val="22"/>
                <w:szCs w:val="22"/>
              </w:rPr>
            </w:pPr>
            <w:r w:rsidRPr="005346E7">
              <w:rPr>
                <w:rFonts w:ascii="Times New Roman" w:hAnsi="Times New Roman"/>
                <w:sz w:val="22"/>
                <w:szCs w:val="22"/>
              </w:rPr>
              <w:t>240 000,00 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sz w:val="22"/>
                <w:szCs w:val="22"/>
              </w:rPr>
            </w:pPr>
            <w:r>
              <w:rPr>
                <w:rFonts w:ascii="Times New Roman" w:hAnsi="Times New Roman"/>
                <w:sz w:val="22"/>
                <w:szCs w:val="22"/>
              </w:rPr>
              <w:t>0</w:t>
            </w:r>
            <w:r w:rsidRPr="005346E7">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sz w:val="22"/>
                <w:szCs w:val="22"/>
              </w:rPr>
            </w:pPr>
            <w:r>
              <w:rPr>
                <w:rFonts w:ascii="Times New Roman" w:hAnsi="Times New Roman"/>
                <w:sz w:val="22"/>
                <w:szCs w:val="22"/>
              </w:rPr>
              <w:t>0</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347"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6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1347"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200 000,00</w:t>
            </w:r>
          </w:p>
        </w:tc>
        <w:tc>
          <w:tcPr>
            <w:tcW w:w="156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578" w:type="dxa"/>
            <w:gridSpan w:val="4"/>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6D7DB2" w:rsidRPr="0071709B" w:rsidP="00157D07">
            <w:pPr>
              <w:bidi w:val="0"/>
              <w:spacing w:after="0" w:line="125" w:lineRule="atLeast"/>
              <w:jc w:val="right"/>
              <w:rPr>
                <w:rFonts w:ascii="Times New Roman" w:hAnsi="Times New Roman"/>
                <w:b/>
                <w:bCs/>
                <w:sz w:val="20"/>
                <w:szCs w:val="20"/>
              </w:rPr>
            </w:pPr>
            <w:r w:rsidRPr="0071709B">
              <w:rPr>
                <w:rFonts w:ascii="Times New Roman" w:hAnsi="Times New Roman"/>
                <w:b/>
                <w:bCs/>
                <w:sz w:val="20"/>
                <w:szCs w:val="20"/>
              </w:rPr>
              <w:t>14 500 000,00</w:t>
            </w:r>
          </w:p>
        </w:tc>
        <w:tc>
          <w:tcPr>
            <w:tcW w:w="1046"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color w:val="FFFFFF"/>
              </w:rPr>
              <w:t> </w:t>
            </w:r>
          </w:p>
        </w:tc>
      </w:tr>
      <w:tr>
        <w:tblPrEx>
          <w:tblW w:w="10154" w:type="dxa"/>
          <w:tblInd w:w="-391" w:type="dxa"/>
          <w:tblCellMar>
            <w:left w:w="0" w:type="dxa"/>
            <w:right w:w="0" w:type="dxa"/>
          </w:tblCellMar>
        </w:tblPrEx>
        <w:trPr>
          <w:trHeight w:val="547"/>
        </w:trPr>
        <w:tc>
          <w:tcPr>
            <w:tcW w:w="308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134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p>
        </w:tc>
        <w:tc>
          <w:tcPr>
            <w:tcW w:w="156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78" w:type="dxa"/>
            <w:gridSpan w:val="4"/>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04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34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center"/>
              <w:rPr>
                <w:rFonts w:ascii="Times New Roman" w:hAnsi="Times New Roman"/>
                <w:b/>
              </w:rPr>
            </w:pPr>
            <w:r w:rsidRPr="005346E7">
              <w:rPr>
                <w:rFonts w:ascii="Times New Roman" w:hAnsi="Times New Roman"/>
                <w:b/>
              </w:rPr>
              <w:t>200 000,00</w:t>
            </w:r>
          </w:p>
        </w:tc>
        <w:tc>
          <w:tcPr>
            <w:tcW w:w="15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14 260 000,00</w:t>
            </w:r>
          </w:p>
        </w:tc>
        <w:tc>
          <w:tcPr>
            <w:tcW w:w="1578" w:type="dxa"/>
            <w:gridSpan w:val="4"/>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Pr>
                <w:rFonts w:ascii="Times New Roman" w:hAnsi="Times New Roman"/>
                <w:b/>
                <w:sz w:val="22"/>
                <w:szCs w:val="22"/>
              </w:rPr>
              <w:t>14 500 000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 xml:space="preserve">14 </w:t>
            </w:r>
            <w:r>
              <w:rPr>
                <w:rFonts w:ascii="Times New Roman" w:hAnsi="Times New Roman"/>
                <w:b/>
                <w:sz w:val="22"/>
                <w:szCs w:val="22"/>
              </w:rPr>
              <w:t>50</w:t>
            </w:r>
            <w:r w:rsidRPr="005346E7">
              <w:rPr>
                <w:rFonts w:ascii="Times New Roman" w:hAnsi="Times New Roman"/>
                <w:b/>
                <w:sz w:val="22"/>
                <w:szCs w:val="22"/>
              </w:rPr>
              <w:t>0 000,00</w:t>
            </w:r>
          </w:p>
        </w:tc>
        <w:tc>
          <w:tcPr>
            <w:tcW w:w="104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34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C95DEF" w:rsidP="00157D07">
            <w:pPr>
              <w:pStyle w:val="NormalWeb"/>
              <w:bidi w:val="0"/>
              <w:spacing w:before="0" w:beforeAutospacing="0" w:after="0" w:afterAutospacing="0" w:line="240" w:lineRule="auto"/>
              <w:jc w:val="center"/>
              <w:rPr>
                <w:rFonts w:ascii="Times New Roman" w:hAnsi="Times New Roman"/>
              </w:rPr>
            </w:pPr>
            <w:r w:rsidRPr="00C95DEF">
              <w:rPr>
                <w:rFonts w:ascii="Times New Roman" w:hAnsi="Times New Roman"/>
                <w:bCs/>
                <w:sz w:val="20"/>
                <w:szCs w:val="20"/>
              </w:rPr>
              <w:t> 0</w:t>
            </w:r>
          </w:p>
        </w:tc>
        <w:tc>
          <w:tcPr>
            <w:tcW w:w="15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78" w:type="dxa"/>
            <w:gridSpan w:val="4"/>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04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134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pStyle w:val="NormalWeb"/>
              <w:bidi w:val="0"/>
              <w:spacing w:before="0" w:beforeAutospacing="0" w:after="0" w:afterAutospacing="0" w:line="240" w:lineRule="auto"/>
              <w:jc w:val="center"/>
              <w:rPr>
                <w:rFonts w:ascii="Times New Roman" w:hAnsi="Times New Roman"/>
                <w:b/>
              </w:rPr>
            </w:pPr>
            <w:r w:rsidRPr="005346E7">
              <w:rPr>
                <w:rFonts w:ascii="Times New Roman" w:hAnsi="Times New Roman"/>
                <w:b/>
              </w:rPr>
              <w:t>0</w:t>
            </w:r>
          </w:p>
        </w:tc>
        <w:tc>
          <w:tcPr>
            <w:tcW w:w="15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sidRPr="005346E7">
              <w:rPr>
                <w:rFonts w:ascii="Times New Roman" w:hAnsi="Times New Roman"/>
                <w:b/>
                <w:sz w:val="22"/>
                <w:szCs w:val="22"/>
              </w:rPr>
              <w:t>240 000,00 </w:t>
            </w:r>
          </w:p>
        </w:tc>
        <w:tc>
          <w:tcPr>
            <w:tcW w:w="1578" w:type="dxa"/>
            <w:gridSpan w:val="4"/>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Pr>
                <w:rFonts w:ascii="Times New Roman" w:hAnsi="Times New Roman"/>
                <w:b/>
                <w:sz w:val="22"/>
                <w:szCs w:val="22"/>
              </w:rPr>
              <w:t>0</w:t>
            </w:r>
            <w:r w:rsidRPr="005346E7">
              <w:rPr>
                <w:rFonts w:ascii="Times New Roman" w:hAnsi="Times New Roman"/>
                <w:b/>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5346E7" w:rsidP="00157D07">
            <w:pPr>
              <w:bidi w:val="0"/>
              <w:spacing w:after="0" w:line="70" w:lineRule="atLeast"/>
              <w:jc w:val="right"/>
              <w:rPr>
                <w:rFonts w:ascii="Times New Roman" w:hAnsi="Times New Roman"/>
                <w:b/>
                <w:sz w:val="22"/>
                <w:szCs w:val="22"/>
              </w:rPr>
            </w:pPr>
            <w:r>
              <w:rPr>
                <w:rFonts w:ascii="Times New Roman" w:hAnsi="Times New Roman"/>
                <w:b/>
                <w:sz w:val="22"/>
                <w:szCs w:val="22"/>
              </w:rPr>
              <w:t>0</w:t>
            </w:r>
            <w:r w:rsidRPr="005346E7">
              <w:rPr>
                <w:rFonts w:ascii="Times New Roman" w:hAnsi="Times New Roman"/>
                <w:b/>
                <w:sz w:val="22"/>
                <w:szCs w:val="22"/>
              </w:rPr>
              <w:t>  </w:t>
            </w:r>
          </w:p>
        </w:tc>
        <w:tc>
          <w:tcPr>
            <w:tcW w:w="104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547"/>
        </w:trPr>
        <w:tc>
          <w:tcPr>
            <w:tcW w:w="3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347"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RPr="00C95DEF" w:rsidP="00157D07">
            <w:pPr>
              <w:pStyle w:val="NormalWeb"/>
              <w:bidi w:val="0"/>
              <w:spacing w:before="0" w:beforeAutospacing="0" w:after="0" w:afterAutospacing="0" w:line="240" w:lineRule="auto"/>
              <w:jc w:val="center"/>
              <w:rPr>
                <w:rFonts w:ascii="Times New Roman" w:hAnsi="Times New Roman"/>
              </w:rPr>
            </w:pPr>
            <w:r w:rsidRPr="00C95DEF">
              <w:rPr>
                <w:rFonts w:ascii="Times New Roman" w:hAnsi="Times New Roman"/>
                <w:bCs/>
                <w:sz w:val="20"/>
                <w:szCs w:val="20"/>
              </w:rPr>
              <w:t>0 </w:t>
            </w:r>
          </w:p>
        </w:tc>
        <w:tc>
          <w:tcPr>
            <w:tcW w:w="156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78" w:type="dxa"/>
            <w:gridSpan w:val="4"/>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6D7DB2" w:rsidP="00157D07">
            <w:pPr>
              <w:pStyle w:val="NormalWeb"/>
              <w:bidi w:val="0"/>
              <w:spacing w:before="0" w:beforeAutospacing="0" w:after="0" w:afterAutospacing="0" w:line="240" w:lineRule="auto"/>
              <w:jc w:val="center"/>
              <w:rPr>
                <w:rFonts w:ascii="Times New Roman" w:hAnsi="Times New Roman"/>
              </w:rPr>
            </w:pPr>
            <w:r>
              <w:rPr>
                <w:rFonts w:ascii="Times New Roman" w:hAnsi="Times New Roman"/>
                <w:b/>
                <w:bCs/>
              </w:rPr>
              <w:t> </w:t>
            </w:r>
          </w:p>
        </w:tc>
        <w:tc>
          <w:tcPr>
            <w:tcW w:w="1046"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6D7DB2" w:rsidP="00157D07">
            <w:pPr>
              <w:pStyle w:val="NormalWeb"/>
              <w:bidi w:val="0"/>
              <w:spacing w:before="0" w:beforeAutospacing="0" w:after="0" w:afterAutospacing="0" w:line="240" w:lineRule="auto"/>
              <w:rPr>
                <w:rFonts w:ascii="Times New Roman" w:hAnsi="Times New Roman"/>
              </w:rPr>
            </w:pPr>
            <w:r>
              <w:rPr>
                <w:rFonts w:ascii="Times New Roman" w:hAnsi="Times New Roman"/>
              </w:rPr>
              <w:t> </w:t>
            </w:r>
          </w:p>
        </w:tc>
      </w:tr>
      <w:tr>
        <w:tblPrEx>
          <w:tblW w:w="10154" w:type="dxa"/>
          <w:tblInd w:w="-391" w:type="dxa"/>
          <w:tblCellMar>
            <w:left w:w="0" w:type="dxa"/>
            <w:right w:w="0" w:type="dxa"/>
          </w:tblCellMar>
        </w:tblPrEx>
        <w:trPr>
          <w:trHeight w:val="308"/>
        </w:trPr>
        <w:tc>
          <w:tcPr>
            <w:tcW w:w="3083"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347"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560"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578" w:type="dxa"/>
            <w:gridSpan w:val="4"/>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540"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c>
          <w:tcPr>
            <w:tcW w:w="1046" w:type="dxa"/>
            <w:tcBorders>
              <w:top w:val="nil"/>
              <w:left w:val="nil"/>
              <w:bottom w:val="nil"/>
              <w:right w:val="nil"/>
            </w:tcBorders>
            <w:textDirection w:val="lrTb"/>
            <w:vAlign w:val="center"/>
          </w:tcPr>
          <w:p w:rsidR="006D7DB2" w:rsidP="00157D07">
            <w:pPr>
              <w:bidi w:val="0"/>
              <w:spacing w:after="0" w:line="240" w:lineRule="auto"/>
              <w:rPr>
                <w:rFonts w:ascii="Times New Roman" w:hAnsi="Times New Roman"/>
                <w:sz w:val="2"/>
                <w:szCs w:val="2"/>
              </w:rPr>
            </w:pPr>
          </w:p>
        </w:tc>
      </w:tr>
    </w:tbl>
    <w:p w:rsidR="006D7DB2" w:rsidP="006D7DB2">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2 – výdavky rozpísať až do položiek platnej ekonomickej klasifikácie</w:t>
      </w:r>
    </w:p>
    <w:p w:rsidR="006D7DB2" w:rsidP="006D7DB2">
      <w:pPr>
        <w:pStyle w:val="NormalWeb"/>
        <w:bidi w:val="0"/>
        <w:spacing w:before="0" w:beforeAutospacing="0" w:after="0" w:afterAutospacing="0"/>
        <w:jc w:val="both"/>
        <w:rPr>
          <w:rFonts w:ascii="Times New Roman" w:hAnsi="Times New Roman"/>
          <w:sz w:val="20"/>
          <w:szCs w:val="20"/>
        </w:rPr>
      </w:pPr>
    </w:p>
    <w:p w:rsidR="006D7DB2" w:rsidP="006D7DB2">
      <w:pPr>
        <w:bidi w:val="0"/>
        <w:spacing w:after="280"/>
        <w:rPr>
          <w:rFonts w:ascii="Times New Roman" w:hAnsi="Times New Roman"/>
          <w:color w:val="000000"/>
          <w:sz w:val="28"/>
          <w:szCs w:val="28"/>
        </w:rPr>
      </w:pPr>
      <w:r>
        <w:rPr>
          <w:rFonts w:ascii="Times New Roman" w:hAnsi="Times New Roman"/>
          <w:sz w:val="20"/>
          <w:szCs w:val="20"/>
        </w:rPr>
        <w:t xml:space="preserve"> </w:t>
      </w:r>
      <w:r w:rsidRPr="00CE6CBA">
        <w:rPr>
          <w:rFonts w:ascii="Times New Roman" w:hAnsi="Times New Roman"/>
          <w:color w:val="000000"/>
          <w:sz w:val="28"/>
          <w:szCs w:val="28"/>
        </w:rPr>
        <w:t>Vplyv na informatizáciu spoločnosti</w:t>
      </w:r>
    </w:p>
    <w:tbl>
      <w:tblPr>
        <w:tblStyle w:val="TableNormal"/>
        <w:tblW w:w="10418" w:type="dxa"/>
        <w:tblCellMar>
          <w:left w:w="0" w:type="dxa"/>
          <w:right w:w="0" w:type="dxa"/>
        </w:tblCellMar>
        <w:tblLook w:val="04A0"/>
      </w:tblPr>
      <w:tblGrid>
        <w:gridCol w:w="5235"/>
        <w:gridCol w:w="5183"/>
      </w:tblGrid>
      <w:tr>
        <w:tblPrEx>
          <w:tblW w:w="10418" w:type="dxa"/>
          <w:tblCellMar>
            <w:left w:w="0" w:type="dxa"/>
            <w:right w:w="0" w:type="dxa"/>
          </w:tblCellMar>
          <w:tblLook w:val="04A0"/>
        </w:tblPrEx>
        <w:trPr>
          <w:trHeight w:val="20"/>
        </w:trPr>
        <w:tc>
          <w:tcPr>
            <w:tcW w:w="5235" w:type="dxa"/>
            <w:tcBorders>
              <w:top w:val="single" w:sz="8" w:space="0" w:color="000000"/>
              <w:left w:val="single" w:sz="8" w:space="0" w:color="000000"/>
              <w:bottom w:val="single" w:sz="8" w:space="0" w:color="000000"/>
              <w:right w:val="single" w:sz="8" w:space="0" w:color="000000"/>
            </w:tcBorders>
            <w:shd w:val="clear" w:color="auto" w:fill="000000"/>
            <w:tcMar>
              <w:top w:w="28" w:type="dxa"/>
              <w:left w:w="70" w:type="dxa"/>
              <w:bottom w:w="28" w:type="dxa"/>
              <w:right w:w="70" w:type="dxa"/>
            </w:tcMar>
            <w:textDirection w:val="lrTb"/>
            <w:vAlign w:val="top"/>
            <w:hideMark/>
          </w:tcPr>
          <w:p w:rsidR="006D7DB2" w:rsidRPr="00CE6CBA" w:rsidP="00157D07">
            <w:pPr>
              <w:bidi w:val="0"/>
              <w:spacing w:after="0" w:line="20" w:lineRule="atLeast"/>
              <w:jc w:val="both"/>
              <w:rPr>
                <w:rFonts w:ascii="Times New Roman" w:hAnsi="Times New Roman"/>
              </w:rPr>
            </w:pPr>
            <w:r w:rsidRPr="00CE6CBA">
              <w:rPr>
                <w:rFonts w:ascii="Times New Roman" w:hAnsi="Times New Roman"/>
                <w:color w:val="000000"/>
                <w:sz w:val="28"/>
                <w:szCs w:val="28"/>
              </w:rPr>
              <w:t> </w:t>
            </w:r>
            <w:r w:rsidRPr="00CE6CBA">
              <w:rPr>
                <w:rFonts w:ascii="Times New Roman" w:hAnsi="Times New Roman"/>
                <w:b/>
                <w:bCs/>
                <w:color w:val="000000"/>
              </w:rPr>
              <w:t>Budovanie základných pilierov informatizácie</w:t>
            </w:r>
          </w:p>
        </w:tc>
        <w:tc>
          <w:tcPr>
            <w:tcW w:w="5183" w:type="dxa"/>
            <w:tcBorders>
              <w:top w:val="single" w:sz="8" w:space="0" w:color="000000"/>
              <w:left w:val="none" w:sz="0" w:space="0" w:color="auto"/>
              <w:bottom w:val="single" w:sz="8" w:space="0" w:color="000000"/>
              <w:right w:val="single" w:sz="8" w:space="0" w:color="000000"/>
            </w:tcBorders>
            <w:shd w:val="clear" w:color="auto" w:fill="000000"/>
            <w:tcMar>
              <w:top w:w="28" w:type="dxa"/>
              <w:left w:w="70" w:type="dxa"/>
              <w:bottom w:w="28" w:type="dxa"/>
              <w:right w:w="70" w:type="dxa"/>
            </w:tcMar>
            <w:textDirection w:val="lrTb"/>
            <w:vAlign w:val="top"/>
            <w:hideMark/>
          </w:tcPr>
          <w:p w:rsidR="006D7DB2" w:rsidRPr="00CE6CBA" w:rsidP="00157D07">
            <w:pPr>
              <w:bidi w:val="0"/>
              <w:spacing w:after="0" w:line="20" w:lineRule="atLeast"/>
              <w:rPr>
                <w:rFonts w:ascii="Times New Roman" w:hAnsi="Times New Roman"/>
              </w:rPr>
            </w:pPr>
            <w:r w:rsidRPr="00CE6CBA">
              <w:rPr>
                <w:rFonts w:ascii="Times New Roman" w:hAnsi="Times New Roman"/>
                <w:b/>
                <w:bCs/>
                <w:i/>
                <w:iCs/>
                <w:color w:val="000000"/>
              </w:rPr>
              <w:t> </w:t>
            </w:r>
          </w:p>
        </w:tc>
      </w:tr>
      <w:tr>
        <w:tblPrEx>
          <w:tblW w:w="10418" w:type="dxa"/>
          <w:tblCellMar>
            <w:left w:w="0" w:type="dxa"/>
            <w:right w:w="0" w:type="dxa"/>
          </w:tblCellMar>
          <w:tblLook w:val="04A0"/>
        </w:tblPrEx>
        <w:trPr>
          <w:trHeight w:val="20"/>
        </w:trPr>
        <w:tc>
          <w:tcPr>
            <w:tcW w:w="5235" w:type="dxa"/>
            <w:tcBorders>
              <w:top w:val="none" w:sz="0" w:space="0" w:color="auto"/>
              <w:left w:val="single" w:sz="8" w:space="0" w:color="000000"/>
              <w:bottom w:val="single" w:sz="8" w:space="0" w:color="000000"/>
              <w:right w:val="single" w:sz="8" w:space="0" w:color="000000"/>
            </w:tcBorders>
            <w:shd w:val="clear" w:color="auto" w:fill="C0C0C0"/>
            <w:tcMar>
              <w:top w:w="28" w:type="dxa"/>
              <w:left w:w="70" w:type="dxa"/>
              <w:bottom w:w="28" w:type="dxa"/>
              <w:right w:w="70" w:type="dxa"/>
            </w:tcMar>
            <w:textDirection w:val="lrTb"/>
            <w:vAlign w:val="top"/>
            <w:hideMark/>
          </w:tcPr>
          <w:p w:rsidR="006D7DB2" w:rsidRPr="00CE6CBA" w:rsidP="00157D07">
            <w:pPr>
              <w:bidi w:val="0"/>
              <w:spacing w:after="0" w:line="20" w:lineRule="atLeast"/>
              <w:jc w:val="both"/>
              <w:rPr>
                <w:rFonts w:ascii="Times New Roman" w:hAnsi="Times New Roman"/>
              </w:rPr>
            </w:pPr>
            <w:r w:rsidRPr="00CE6CBA">
              <w:rPr>
                <w:rFonts w:ascii="Times New Roman" w:hAnsi="Times New Roman"/>
                <w:b/>
                <w:bCs/>
                <w:color w:val="000000"/>
              </w:rPr>
              <w:t>Obsah</w:t>
            </w:r>
          </w:p>
        </w:tc>
        <w:tc>
          <w:tcPr>
            <w:tcW w:w="5183" w:type="dxa"/>
            <w:tcBorders>
              <w:top w:val="none" w:sz="0" w:space="0" w:color="auto"/>
              <w:left w:val="none" w:sz="0" w:space="0" w:color="auto"/>
              <w:bottom w:val="single" w:sz="8" w:space="0" w:color="000000"/>
              <w:right w:val="single" w:sz="8" w:space="0" w:color="000000"/>
            </w:tcBorders>
            <w:shd w:val="clear" w:color="auto" w:fill="C0C0C0"/>
            <w:tcMar>
              <w:top w:w="28" w:type="dxa"/>
              <w:left w:w="70" w:type="dxa"/>
              <w:bottom w:w="28" w:type="dxa"/>
              <w:right w:w="70" w:type="dxa"/>
            </w:tcMar>
            <w:textDirection w:val="lrTb"/>
            <w:vAlign w:val="top"/>
            <w:hideMark/>
          </w:tcPr>
          <w:p w:rsidR="006D7DB2" w:rsidRPr="00CE6CBA" w:rsidP="00157D07">
            <w:pPr>
              <w:bidi w:val="0"/>
              <w:spacing w:after="0" w:line="20" w:lineRule="atLeast"/>
              <w:rPr>
                <w:rFonts w:ascii="Times New Roman" w:hAnsi="Times New Roman"/>
              </w:rPr>
            </w:pPr>
            <w:r w:rsidRPr="00CE6CBA">
              <w:rPr>
                <w:rFonts w:ascii="Times New Roman" w:hAnsi="Times New Roman"/>
                <w:i/>
                <w:iCs/>
                <w:color w:val="000000"/>
              </w:rPr>
              <w:t> </w:t>
            </w:r>
          </w:p>
        </w:tc>
      </w:tr>
      <w:tr>
        <w:tblPrEx>
          <w:tblW w:w="10418" w:type="dxa"/>
          <w:tblCellMar>
            <w:left w:w="0" w:type="dxa"/>
            <w:right w:w="0" w:type="dxa"/>
          </w:tblCellMar>
          <w:tblLook w:val="04A0"/>
        </w:tblPrEx>
        <w:trPr>
          <w:trHeight w:val="20"/>
        </w:trPr>
        <w:tc>
          <w:tcPr>
            <w:tcW w:w="5235" w:type="dxa"/>
            <w:tcBorders>
              <w:top w:val="none" w:sz="0" w:space="0" w:color="auto"/>
              <w:left w:val="single" w:sz="8" w:space="0" w:color="000000"/>
              <w:bottom w:val="single" w:sz="8" w:space="0" w:color="000000"/>
              <w:right w:val="single" w:sz="8" w:space="0" w:color="000000"/>
            </w:tcBorders>
            <w:tcMar>
              <w:top w:w="28" w:type="dxa"/>
              <w:left w:w="70" w:type="dxa"/>
              <w:bottom w:w="28" w:type="dxa"/>
              <w:right w:w="70" w:type="dxa"/>
            </w:tcMar>
            <w:textDirection w:val="lrTb"/>
            <w:vAlign w:val="top"/>
            <w:hideMark/>
          </w:tcPr>
          <w:p w:rsidR="006D7DB2" w:rsidRPr="00CE6CBA" w:rsidP="00157D07">
            <w:pPr>
              <w:bidi w:val="0"/>
              <w:spacing w:after="280" w:line="240" w:lineRule="auto"/>
              <w:jc w:val="both"/>
              <w:rPr>
                <w:rFonts w:ascii="Times New Roman" w:hAnsi="Times New Roman"/>
              </w:rPr>
            </w:pPr>
            <w:r w:rsidRPr="00CE6CBA">
              <w:rPr>
                <w:rFonts w:ascii="Times New Roman" w:hAnsi="Times New Roman"/>
                <w:b/>
                <w:bCs/>
                <w:color w:val="000000"/>
              </w:rPr>
              <w:t>6.1.</w:t>
            </w:r>
            <w:r w:rsidRPr="00CE6CBA">
              <w:rPr>
                <w:rFonts w:ascii="Times New Roman" w:hAnsi="Times New Roman"/>
                <w:color w:val="000000"/>
              </w:rPr>
              <w:t xml:space="preserve"> Rozširujú alebo inovujú  sa existujúce alebo vytvárajú sa či zavádzajú  sa nové elektronické služby?</w:t>
            </w:r>
          </w:p>
          <w:p w:rsidR="006D7DB2" w:rsidRPr="00CE6CBA" w:rsidP="00157D07">
            <w:pPr>
              <w:bidi w:val="0"/>
              <w:spacing w:after="0" w:line="20" w:lineRule="atLeast"/>
              <w:jc w:val="both"/>
              <w:rPr>
                <w:rFonts w:ascii="Times New Roman" w:hAnsi="Times New Roman"/>
                <w:sz w:val="20"/>
                <w:szCs w:val="20"/>
              </w:rPr>
            </w:pPr>
            <w:r w:rsidRPr="00CE6CBA">
              <w:rPr>
                <w:rFonts w:ascii="Times New Roman" w:hAnsi="Times New Roman"/>
                <w:i/>
                <w:iCs/>
                <w:color w:val="000000"/>
                <w:sz w:val="20"/>
                <w:szCs w:val="20"/>
              </w:rPr>
              <w:t>(Popíšte ich funkciu a úroveň poskytovania.)</w:t>
            </w:r>
          </w:p>
        </w:tc>
        <w:tc>
          <w:tcPr>
            <w:tcW w:w="5183" w:type="dxa"/>
            <w:tcBorders>
              <w:top w:val="none" w:sz="0" w:space="0" w:color="auto"/>
              <w:left w:val="none" w:sz="0" w:space="0" w:color="auto"/>
              <w:bottom w:val="single" w:sz="8" w:space="0" w:color="000000"/>
              <w:right w:val="single" w:sz="8" w:space="0" w:color="000000"/>
            </w:tcBorders>
            <w:tcMar>
              <w:top w:w="28" w:type="dxa"/>
              <w:left w:w="70" w:type="dxa"/>
              <w:bottom w:w="28" w:type="dxa"/>
              <w:right w:w="70" w:type="dxa"/>
            </w:tcMar>
            <w:textDirection w:val="lrTb"/>
            <w:vAlign w:val="top"/>
            <w:hideMark/>
          </w:tcPr>
          <w:p w:rsidR="006D7DB2" w:rsidRPr="00CE6CBA" w:rsidP="00157D07">
            <w:pPr>
              <w:bidi w:val="0"/>
              <w:spacing w:after="280" w:line="240" w:lineRule="auto"/>
              <w:jc w:val="both"/>
              <w:rPr>
                <w:rFonts w:ascii="Times New Roman" w:hAnsi="Times New Roman"/>
              </w:rPr>
            </w:pPr>
            <w:r w:rsidRPr="00CE6CBA">
              <w:rPr>
                <w:rFonts w:ascii="Times New Roman" w:hAnsi="Times New Roman"/>
                <w:color w:val="000000"/>
              </w:rPr>
              <w:t xml:space="preserve">Áno. Zverejňovaním </w:t>
            </w:r>
            <w:r>
              <w:rPr>
                <w:rFonts w:ascii="Times New Roman" w:hAnsi="Times New Roman"/>
                <w:color w:val="000000"/>
              </w:rPr>
              <w:t>zoznamu profesionálnych umelcov na webovom sídle fondu sa zavádza nová elekt</w:t>
            </w:r>
            <w:r w:rsidR="004403FA">
              <w:rPr>
                <w:rFonts w:ascii="Times New Roman" w:hAnsi="Times New Roman"/>
                <w:color w:val="000000"/>
              </w:rPr>
              <w:t>r</w:t>
            </w:r>
            <w:r>
              <w:rPr>
                <w:rFonts w:ascii="Times New Roman" w:hAnsi="Times New Roman"/>
                <w:color w:val="000000"/>
              </w:rPr>
              <w:t xml:space="preserve">onická služba </w:t>
            </w:r>
            <w:r w:rsidRPr="00CE6CBA">
              <w:rPr>
                <w:rFonts w:ascii="Times New Roman" w:hAnsi="Times New Roman"/>
                <w:color w:val="000000"/>
              </w:rPr>
              <w:t>s úrovňou I (informatívna úroveň).</w:t>
            </w:r>
          </w:p>
          <w:p w:rsidR="006D7DB2" w:rsidRPr="00CE6CBA" w:rsidP="00157D07">
            <w:pPr>
              <w:bidi w:val="0"/>
              <w:spacing w:after="0" w:line="20" w:lineRule="atLeast"/>
              <w:rPr>
                <w:rFonts w:ascii="Times New Roman" w:hAnsi="Times New Roman"/>
              </w:rPr>
            </w:pPr>
            <w:r w:rsidRPr="00CE6CBA">
              <w:rPr>
                <w:rFonts w:ascii="Times New Roman" w:hAnsi="Times New Roman"/>
                <w:color w:val="000000"/>
              </w:rPr>
              <w:t> </w:t>
            </w:r>
          </w:p>
        </w:tc>
      </w:tr>
    </w:tbl>
    <w:p w:rsidR="006D7DB2" w:rsidRPr="0034005D" w:rsidP="006D7DB2">
      <w:pPr>
        <w:bidi w:val="0"/>
        <w:spacing w:after="280"/>
        <w:rPr>
          <w:rFonts w:ascii="Times New Roman" w:hAnsi="Times New Roman"/>
          <w:color w:val="000000"/>
          <w:sz w:val="28"/>
          <w:szCs w:val="28"/>
        </w:rPr>
      </w:pPr>
    </w:p>
    <w:p w:rsidR="006D7DB2" w:rsidP="006D7DB2">
      <w:pPr>
        <w:widowControl/>
        <w:bidi w:val="0"/>
        <w:jc w:val="both"/>
        <w:rPr>
          <w:rFonts w:ascii="Times New Roman" w:hAnsi="Times New Roman"/>
          <w:b/>
          <w:bCs/>
          <w:color w:val="000000"/>
        </w:rPr>
      </w:pPr>
    </w:p>
    <w:p w:rsidR="004403FA" w:rsidP="006D7DB2">
      <w:pPr>
        <w:widowControl/>
        <w:bidi w:val="0"/>
        <w:jc w:val="both"/>
        <w:rPr>
          <w:rFonts w:ascii="Times New Roman" w:hAnsi="Times New Roman"/>
          <w:b/>
          <w:bCs/>
          <w:color w:val="000000"/>
        </w:rPr>
      </w:pPr>
    </w:p>
    <w:p w:rsidR="004403FA" w:rsidP="006D7DB2">
      <w:pPr>
        <w:widowControl/>
        <w:bidi w:val="0"/>
        <w:jc w:val="both"/>
        <w:rPr>
          <w:rFonts w:ascii="Times New Roman" w:hAnsi="Times New Roman"/>
          <w:b/>
          <w:bCs/>
          <w:color w:val="000000"/>
        </w:rPr>
      </w:pPr>
    </w:p>
    <w:p w:rsidR="004403FA" w:rsidP="006D7DB2">
      <w:pPr>
        <w:widowControl/>
        <w:bidi w:val="0"/>
        <w:jc w:val="both"/>
        <w:rPr>
          <w:rFonts w:ascii="Times New Roman" w:hAnsi="Times New Roman"/>
          <w:b/>
          <w:bCs/>
          <w:color w:val="000000"/>
        </w:rPr>
      </w:pPr>
    </w:p>
    <w:p w:rsidR="004403FA" w:rsidP="006D7DB2">
      <w:pPr>
        <w:widowControl/>
        <w:bidi w:val="0"/>
        <w:jc w:val="both"/>
        <w:rPr>
          <w:rFonts w:ascii="Times New Roman" w:hAnsi="Times New Roman"/>
          <w:b/>
          <w:bCs/>
          <w:color w:val="000000"/>
        </w:rPr>
      </w:pPr>
    </w:p>
    <w:p w:rsidR="004403FA" w:rsidRPr="004403FA" w:rsidP="006D7DB2">
      <w:pPr>
        <w:widowControl/>
        <w:bidi w:val="0"/>
        <w:jc w:val="both"/>
        <w:rPr>
          <w:rFonts w:ascii="Times New Roman" w:hAnsi="Times New Roman"/>
          <w:b/>
          <w:bCs/>
          <w:color w:val="000000"/>
        </w:rPr>
      </w:pPr>
    </w:p>
    <w:p w:rsidR="006D7DB2" w:rsidRPr="004403FA" w:rsidP="006D7DB2">
      <w:pPr>
        <w:widowControl/>
        <w:bidi w:val="0"/>
        <w:jc w:val="both"/>
        <w:rPr>
          <w:rFonts w:ascii="Times New Roman" w:hAnsi="Times New Roman"/>
          <w:b/>
          <w:bCs/>
          <w:color w:val="000000"/>
        </w:rPr>
      </w:pPr>
      <w:r w:rsidRPr="004403FA">
        <w:rPr>
          <w:rFonts w:ascii="Times New Roman" w:hAnsi="Times New Roman"/>
          <w:b/>
          <w:bCs/>
          <w:color w:val="000000"/>
        </w:rPr>
        <w:t>B. Osobitná časť</w:t>
      </w:r>
    </w:p>
    <w:p w:rsidR="006D7DB2" w:rsidRPr="004403FA" w:rsidP="006D7DB2">
      <w:pPr>
        <w:widowControl/>
        <w:bidi w:val="0"/>
        <w:jc w:val="both"/>
        <w:rPr>
          <w:rFonts w:ascii="Times New Roman" w:hAnsi="Times New Roman"/>
          <w:color w:val="000000"/>
        </w:rPr>
      </w:pPr>
    </w:p>
    <w:p w:rsidR="006D7DB2" w:rsidRPr="004403FA" w:rsidP="006D7DB2">
      <w:pPr>
        <w:pStyle w:val="BodyText3"/>
        <w:bidi w:val="0"/>
        <w:spacing w:line="240" w:lineRule="atLeast"/>
        <w:jc w:val="both"/>
        <w:outlineLvl w:val="0"/>
        <w:rPr>
          <w:rFonts w:ascii="Times New Roman" w:hAnsi="Times New Roman"/>
          <w:b/>
          <w:bCs/>
          <w:sz w:val="24"/>
          <w:szCs w:val="24"/>
          <w:u w:val="single"/>
        </w:rPr>
      </w:pPr>
      <w:r w:rsidRPr="004403FA">
        <w:rPr>
          <w:rFonts w:ascii="Times New Roman" w:hAnsi="Times New Roman"/>
          <w:b/>
          <w:bCs/>
          <w:sz w:val="24"/>
          <w:szCs w:val="24"/>
          <w:u w:val="single"/>
        </w:rPr>
        <w:t>K Čl.  I</w:t>
      </w:r>
    </w:p>
    <w:p w:rsidR="006D7DB2" w:rsidRPr="004403FA" w:rsidP="006D7DB2">
      <w:pPr>
        <w:pStyle w:val="BodyText3"/>
        <w:bidi w:val="0"/>
        <w:spacing w:line="240" w:lineRule="atLeast"/>
        <w:jc w:val="both"/>
        <w:outlineLvl w:val="0"/>
        <w:rPr>
          <w:rFonts w:ascii="Times New Roman" w:hAnsi="Times New Roman"/>
          <w:color w:val="000000"/>
          <w:sz w:val="24"/>
          <w:szCs w:val="24"/>
          <w:u w:val="single"/>
        </w:rPr>
      </w:pPr>
    </w:p>
    <w:p w:rsidR="006D7DB2" w:rsidRPr="004403FA" w:rsidP="006D7DB2">
      <w:pPr>
        <w:pStyle w:val="BodyText3"/>
        <w:bidi w:val="0"/>
        <w:spacing w:line="240" w:lineRule="atLeast"/>
        <w:jc w:val="both"/>
        <w:outlineLvl w:val="0"/>
        <w:rPr>
          <w:rFonts w:ascii="Times New Roman" w:hAnsi="Times New Roman"/>
          <w:sz w:val="24"/>
          <w:szCs w:val="24"/>
          <w:u w:val="single"/>
        </w:rPr>
      </w:pPr>
      <w:r w:rsidRPr="004403FA">
        <w:rPr>
          <w:rFonts w:ascii="Times New Roman" w:hAnsi="Times New Roman"/>
          <w:sz w:val="24"/>
          <w:szCs w:val="24"/>
          <w:u w:val="single"/>
        </w:rPr>
        <w:t xml:space="preserve">K bodom 1 a 2 </w:t>
      </w:r>
    </w:p>
    <w:p w:rsidR="006D7DB2" w:rsidP="006D7DB2">
      <w:pPr>
        <w:pStyle w:val="BodyText3"/>
        <w:bidi w:val="0"/>
        <w:spacing w:line="240" w:lineRule="atLeast"/>
        <w:jc w:val="both"/>
        <w:outlineLvl w:val="0"/>
        <w:rPr>
          <w:rFonts w:ascii="Times New Roman" w:hAnsi="Times New Roman"/>
        </w:rPr>
      </w:pPr>
    </w:p>
    <w:p w:rsidR="006D7DB2" w:rsidP="006D7DB2">
      <w:pPr>
        <w:bidi w:val="0"/>
        <w:ind w:firstLine="708"/>
        <w:jc w:val="both"/>
        <w:rPr>
          <w:rFonts w:ascii="Times New Roman" w:hAnsi="Times New Roman"/>
        </w:rPr>
      </w:pPr>
      <w:r>
        <w:rPr>
          <w:rFonts w:ascii="Times New Roman" w:hAnsi="Times New Roman"/>
        </w:rPr>
        <w:t xml:space="preserve">V § 2 ods. 1 písm. a) dochádza k precizovaniu textu s ohľadom na zámer ponechať v pôsobnosti Ministerstva kultúry Slovenskej republiky (ďalej len „ministerstvo“) iba dotačný program Obnovme si svoj dom, ktorý je určený na podporu projektov systematického prístupu k ochrane, obnove a rozvoja kultúrneho dedičstva, program zameraný na kultúrne aktivity osôb so zdravotným postihnutím alebo inak znevýhodnených skupín obyvateľstva (aby sa umožnilo osobám so zdravotným postihnutím rozvíjať a využívať svoj tvorivý, umelecký a intelektuálny potenciál, talent – </w:t>
      </w:r>
      <w:r>
        <w:rPr>
          <w:rFonts w:ascii="Times New Roman" w:hAnsi="Times New Roman"/>
          <w:u w:val="single"/>
        </w:rPr>
        <w:t>čl. 30 bod 2</w:t>
      </w:r>
      <w:r>
        <w:rPr>
          <w:rFonts w:ascii="Times New Roman" w:hAnsi="Times New Roman"/>
        </w:rPr>
        <w:t xml:space="preserve"> Dohovoru o právach osôb so zdravotným postihnutím) a program sprístupňovanie kultúrnych hodnôt žiakom základných škôl, žiakom stredných škôl a pedagogickým zamestnancom základných škôl a stredných škôl (kultúrne poukazy).</w:t>
      </w:r>
    </w:p>
    <w:p w:rsidR="006D7DB2" w:rsidP="006D7DB2">
      <w:pPr>
        <w:bidi w:val="0"/>
        <w:ind w:firstLine="708"/>
        <w:jc w:val="both"/>
        <w:rPr>
          <w:rFonts w:ascii="Times New Roman" w:hAnsi="Times New Roman"/>
        </w:rPr>
      </w:pPr>
    </w:p>
    <w:p w:rsidR="006D7DB2" w:rsidRPr="004403FA" w:rsidP="006D7DB2">
      <w:pPr>
        <w:pStyle w:val="BodyText3"/>
        <w:bidi w:val="0"/>
        <w:spacing w:line="240" w:lineRule="atLeast"/>
        <w:ind w:firstLine="708"/>
        <w:jc w:val="both"/>
        <w:outlineLvl w:val="0"/>
        <w:rPr>
          <w:rFonts w:ascii="Times New Roman" w:hAnsi="Times New Roman"/>
          <w:sz w:val="24"/>
          <w:szCs w:val="24"/>
        </w:rPr>
      </w:pPr>
      <w:r w:rsidRPr="004403FA">
        <w:rPr>
          <w:rFonts w:ascii="Times New Roman" w:hAnsi="Times New Roman"/>
          <w:sz w:val="24"/>
          <w:szCs w:val="24"/>
        </w:rPr>
        <w:t>V bode 2 sa navrhuje legislatívno-technická úprava, ku ktorej dochádza v dôsledku zmeny označenia písmen v § 2 ods. 1.</w:t>
      </w:r>
    </w:p>
    <w:p w:rsidR="006D7DB2" w:rsidRPr="004403FA" w:rsidP="006D7DB2">
      <w:pPr>
        <w:pStyle w:val="BodyText3"/>
        <w:bidi w:val="0"/>
        <w:spacing w:line="240" w:lineRule="atLeast"/>
        <w:jc w:val="both"/>
        <w:outlineLvl w:val="0"/>
        <w:rPr>
          <w:rFonts w:ascii="Times New Roman" w:hAnsi="Times New Roman"/>
          <w:sz w:val="24"/>
          <w:szCs w:val="24"/>
        </w:rPr>
      </w:pPr>
    </w:p>
    <w:p w:rsidR="006D7DB2" w:rsidRPr="004403FA" w:rsidP="006D7DB2">
      <w:pPr>
        <w:pStyle w:val="BodyText3"/>
        <w:bidi w:val="0"/>
        <w:spacing w:line="240" w:lineRule="atLeast"/>
        <w:jc w:val="both"/>
        <w:outlineLvl w:val="0"/>
        <w:rPr>
          <w:rFonts w:ascii="Times New Roman" w:hAnsi="Times New Roman"/>
          <w:b/>
          <w:bCs/>
          <w:sz w:val="24"/>
          <w:szCs w:val="24"/>
          <w:u w:val="single"/>
        </w:rPr>
      </w:pPr>
      <w:r w:rsidRPr="004403FA">
        <w:rPr>
          <w:rFonts w:ascii="Times New Roman" w:hAnsi="Times New Roman"/>
          <w:b/>
          <w:bCs/>
          <w:sz w:val="24"/>
          <w:szCs w:val="24"/>
          <w:u w:val="single"/>
        </w:rPr>
        <w:t>K Čl. II</w:t>
      </w:r>
    </w:p>
    <w:p w:rsidR="006D7DB2" w:rsidRPr="004403FA" w:rsidP="006D7DB2">
      <w:pPr>
        <w:pStyle w:val="BodyText3"/>
        <w:bidi w:val="0"/>
        <w:spacing w:line="240" w:lineRule="atLeast"/>
        <w:jc w:val="both"/>
        <w:outlineLvl w:val="0"/>
        <w:rPr>
          <w:rFonts w:ascii="Times New Roman" w:hAnsi="Times New Roman"/>
          <w:b/>
          <w:bCs/>
          <w:sz w:val="24"/>
          <w:szCs w:val="24"/>
          <w:u w:val="single"/>
        </w:rPr>
      </w:pPr>
    </w:p>
    <w:p w:rsidR="006D7DB2" w:rsidRPr="004403FA" w:rsidP="006D7DB2">
      <w:pPr>
        <w:pStyle w:val="BodyText3"/>
        <w:bidi w:val="0"/>
        <w:spacing w:line="240" w:lineRule="atLeast"/>
        <w:jc w:val="both"/>
        <w:outlineLvl w:val="0"/>
        <w:rPr>
          <w:rFonts w:ascii="Times New Roman" w:hAnsi="Times New Roman"/>
          <w:sz w:val="24"/>
          <w:szCs w:val="24"/>
          <w:u w:val="single"/>
        </w:rPr>
      </w:pPr>
      <w:r w:rsidRPr="004403FA">
        <w:rPr>
          <w:rFonts w:ascii="Times New Roman" w:hAnsi="Times New Roman"/>
          <w:sz w:val="24"/>
          <w:szCs w:val="24"/>
          <w:u w:val="single"/>
        </w:rPr>
        <w:t>K bodom 1, 2, 4 až 6</w:t>
      </w:r>
    </w:p>
    <w:p w:rsidR="006D7DB2" w:rsidP="006D7DB2">
      <w:pPr>
        <w:bidi w:val="0"/>
        <w:rPr>
          <w:rFonts w:ascii="Times New Roman" w:hAnsi="Times New Roman"/>
          <w:u w:val="single"/>
        </w:rPr>
      </w:pPr>
    </w:p>
    <w:p w:rsidR="006D7DB2" w:rsidP="006D7DB2">
      <w:pPr>
        <w:bidi w:val="0"/>
        <w:ind w:firstLine="720"/>
        <w:jc w:val="both"/>
        <w:rPr>
          <w:rFonts w:ascii="Times New Roman" w:hAnsi="Times New Roman"/>
        </w:rPr>
      </w:pPr>
      <w:r>
        <w:rPr>
          <w:rFonts w:ascii="Times New Roman" w:hAnsi="Times New Roman"/>
        </w:rPr>
        <w:t xml:space="preserve">Navrhuje sa pôsobnosť fondu doplniť o vedenie evidencie profesionálnych umelcov v slobodnom povolaní (ďalej len „profesionálny umelec“). </w:t>
      </w:r>
    </w:p>
    <w:p w:rsidR="006D7DB2" w:rsidP="006D7DB2">
      <w:pPr>
        <w:bidi w:val="0"/>
        <w:ind w:firstLine="720"/>
        <w:jc w:val="both"/>
        <w:rPr>
          <w:rFonts w:ascii="Times New Roman" w:hAnsi="Times New Roman"/>
        </w:rPr>
      </w:pPr>
      <w:r>
        <w:rPr>
          <w:rFonts w:ascii="Times New Roman" w:hAnsi="Times New Roman"/>
        </w:rPr>
        <w:t xml:space="preserve">Navrhuje sa v § 4 ods. 2 doplniť pôsobnosť rady fondu, dopĺňa sa o prerokúvanie  informácie riaditeľa o vykonaní zápisov do evidencie profesionálnych umelcov. </w:t>
      </w:r>
    </w:p>
    <w:p w:rsidR="006D7DB2" w:rsidP="006D7DB2">
      <w:pPr>
        <w:bidi w:val="0"/>
        <w:ind w:firstLine="720"/>
        <w:jc w:val="both"/>
        <w:rPr>
          <w:rFonts w:ascii="Times New Roman" w:hAnsi="Times New Roman"/>
        </w:rPr>
      </w:pPr>
      <w:r>
        <w:rPr>
          <w:rFonts w:ascii="Times New Roman" w:hAnsi="Times New Roman"/>
        </w:rPr>
        <w:t>Pôsobnosť riaditeľa fondu sa navrhuje doplniť o vydávanie súhlasu na zápis do evidencie profesionálnych umelcov alebo na odmietnutie zápisu do evidencie profesionálnych umelcov a o povinnosť prekladať rade informácie o zápisoch do evidencie profesionálnych umelcov (§ 13 ods. 2).</w:t>
      </w:r>
    </w:p>
    <w:p w:rsidR="006D7DB2" w:rsidP="006D7DB2">
      <w:pPr>
        <w:bidi w:val="0"/>
        <w:ind w:firstLine="720"/>
        <w:jc w:val="both"/>
        <w:rPr>
          <w:rFonts w:ascii="Times New Roman" w:hAnsi="Times New Roman"/>
        </w:rPr>
      </w:pPr>
      <w:r>
        <w:rPr>
          <w:rFonts w:ascii="Times New Roman" w:hAnsi="Times New Roman"/>
        </w:rPr>
        <w:t>Zároveň sa navrhuje pôsobnosť kancelárie fondu doplniť v § 16 o vedenie evidencie profesionálnych umelcov, o zápis žiadateľa do evidencie profesionálnych umelcov a vydanie preukazu (na základe súhlasu riaditeľa) alebo o oznámenie o odmietnutí zápisu do tejto evidencie a pôsobnosť odborných komisií sa navrhuje doplniť v § 17 o posudzovanie žiadostí o zápis do evidencie profesionálnych umelcov a prípravu stanovísk pre rozhodnutie riaditeľa o týchto žiadostiach.</w:t>
      </w:r>
    </w:p>
    <w:p w:rsidR="006D7DB2" w:rsidP="006D7DB2">
      <w:pPr>
        <w:bidi w:val="0"/>
        <w:ind w:firstLine="720"/>
        <w:jc w:val="both"/>
        <w:rPr>
          <w:rFonts w:ascii="Times New Roman" w:hAnsi="Times New Roman"/>
        </w:rPr>
      </w:pPr>
    </w:p>
    <w:p w:rsidR="004403FA" w:rsidP="006D7DB2">
      <w:pPr>
        <w:bidi w:val="0"/>
        <w:ind w:firstLine="720"/>
        <w:jc w:val="both"/>
        <w:rPr>
          <w:rFonts w:ascii="Times New Roman" w:hAnsi="Times New Roman"/>
        </w:rPr>
      </w:pPr>
    </w:p>
    <w:p w:rsidR="004403FA" w:rsidP="006D7DB2">
      <w:pPr>
        <w:bidi w:val="0"/>
        <w:ind w:firstLine="720"/>
        <w:jc w:val="both"/>
        <w:rPr>
          <w:rFonts w:ascii="Times New Roman" w:hAnsi="Times New Roman"/>
        </w:rPr>
      </w:pPr>
    </w:p>
    <w:p w:rsidR="004403FA" w:rsidP="006D7DB2">
      <w:pPr>
        <w:bidi w:val="0"/>
        <w:ind w:firstLine="720"/>
        <w:jc w:val="both"/>
        <w:rPr>
          <w:rFonts w:ascii="Times New Roman" w:hAnsi="Times New Roman"/>
        </w:rPr>
      </w:pPr>
    </w:p>
    <w:p w:rsidR="004403FA" w:rsidP="006D7DB2">
      <w:pPr>
        <w:bidi w:val="0"/>
        <w:ind w:firstLine="720"/>
        <w:jc w:val="both"/>
        <w:rPr>
          <w:rFonts w:ascii="Times New Roman" w:hAnsi="Times New Roman"/>
        </w:rPr>
      </w:pPr>
    </w:p>
    <w:p w:rsidR="006D7DB2" w:rsidP="006D7DB2">
      <w:pPr>
        <w:bidi w:val="0"/>
        <w:rPr>
          <w:rFonts w:ascii="Times New Roman" w:hAnsi="Times New Roman"/>
          <w:u w:val="single"/>
        </w:rPr>
      </w:pPr>
      <w:r>
        <w:rPr>
          <w:rFonts w:ascii="Times New Roman" w:hAnsi="Times New Roman"/>
          <w:u w:val="single"/>
        </w:rPr>
        <w:t>K bodu 3</w:t>
      </w:r>
    </w:p>
    <w:p w:rsidR="006D7DB2" w:rsidRPr="003B62B8" w:rsidP="006D7DB2">
      <w:pPr>
        <w:bidi w:val="0"/>
        <w:rPr>
          <w:rFonts w:ascii="Times New Roman" w:hAnsi="Times New Roman"/>
        </w:rPr>
      </w:pPr>
    </w:p>
    <w:p w:rsidR="006D7DB2" w:rsidP="006D7DB2">
      <w:pPr>
        <w:widowControl/>
        <w:bidi w:val="0"/>
        <w:adjustRightInd/>
        <w:rPr>
          <w:rFonts w:ascii="Times New Roman" w:hAnsi="Times New Roman"/>
        </w:rPr>
      </w:pPr>
      <w:r>
        <w:rPr>
          <w:rFonts w:ascii="Times New Roman" w:hAnsi="Times New Roman"/>
        </w:rPr>
        <w:t>Navrhuje sa členovi rady za výkon funkcie mesačná odmena najviac vo výške dvoch tretín priemernej mesačnej mzdy v hospodárstve Slovenskej republiky zistenej Štatistickým úradom Slovenskej republiky za predchádzajúci kalendárny rok.</w:t>
      </w:r>
    </w:p>
    <w:p w:rsidR="006D7DB2" w:rsidP="006D7DB2">
      <w:pPr>
        <w:bidi w:val="0"/>
        <w:rPr>
          <w:rFonts w:ascii="Times New Roman" w:hAnsi="Times New Roman"/>
          <w:u w:val="single"/>
        </w:rPr>
      </w:pPr>
    </w:p>
    <w:p w:rsidR="006D7DB2" w:rsidP="006D7DB2">
      <w:pPr>
        <w:bidi w:val="0"/>
        <w:rPr>
          <w:rFonts w:ascii="Times New Roman" w:hAnsi="Times New Roman"/>
          <w:u w:val="single"/>
        </w:rPr>
      </w:pPr>
      <w:r>
        <w:rPr>
          <w:rFonts w:ascii="Times New Roman" w:hAnsi="Times New Roman"/>
          <w:u w:val="single"/>
        </w:rPr>
        <w:t>K bodu 5</w:t>
      </w:r>
    </w:p>
    <w:p w:rsidR="006D7DB2" w:rsidP="006D7DB2">
      <w:pPr>
        <w:bidi w:val="0"/>
        <w:rPr>
          <w:rFonts w:ascii="Times New Roman" w:hAnsi="Times New Roman"/>
        </w:rPr>
      </w:pPr>
      <w:r>
        <w:rPr>
          <w:rFonts w:ascii="Times New Roman" w:hAnsi="Times New Roman"/>
        </w:rPr>
        <w:tab/>
        <w:t xml:space="preserve">Navrhuje sa, aby preukazy profesionálnym umelcom po splnení podmienok vydávala </w:t>
      </w:r>
    </w:p>
    <w:p w:rsidR="006D7DB2" w:rsidP="006D7DB2">
      <w:pPr>
        <w:bidi w:val="0"/>
        <w:rPr>
          <w:rFonts w:ascii="Times New Roman" w:hAnsi="Times New Roman"/>
        </w:rPr>
      </w:pPr>
      <w:r>
        <w:rPr>
          <w:rFonts w:ascii="Times New Roman" w:hAnsi="Times New Roman"/>
        </w:rPr>
        <w:t>Kancelária fondu.</w:t>
      </w:r>
    </w:p>
    <w:p w:rsidR="006D7DB2" w:rsidP="006D7DB2">
      <w:pPr>
        <w:bidi w:val="0"/>
        <w:rPr>
          <w:rFonts w:ascii="Times New Roman" w:hAnsi="Times New Roman"/>
        </w:rPr>
      </w:pPr>
    </w:p>
    <w:p w:rsidR="006D7DB2" w:rsidP="006D7DB2">
      <w:pPr>
        <w:bidi w:val="0"/>
        <w:rPr>
          <w:rFonts w:ascii="Times New Roman" w:hAnsi="Times New Roman"/>
          <w:u w:val="single"/>
        </w:rPr>
      </w:pPr>
      <w:r>
        <w:rPr>
          <w:rFonts w:ascii="Times New Roman" w:hAnsi="Times New Roman"/>
          <w:u w:val="single"/>
        </w:rPr>
        <w:t>K bodu 7</w:t>
      </w:r>
    </w:p>
    <w:p w:rsidR="006D7DB2" w:rsidP="006D7DB2">
      <w:pPr>
        <w:bidi w:val="0"/>
        <w:rPr>
          <w:rFonts w:ascii="Times New Roman" w:hAnsi="Times New Roman"/>
          <w:u w:val="single"/>
        </w:rPr>
      </w:pPr>
    </w:p>
    <w:p w:rsidR="006D7DB2" w:rsidP="006D7DB2">
      <w:pPr>
        <w:bidi w:val="0"/>
        <w:jc w:val="both"/>
        <w:rPr>
          <w:rFonts w:ascii="Times New Roman" w:hAnsi="Times New Roman"/>
        </w:rPr>
      </w:pPr>
      <w:r>
        <w:rPr>
          <w:rFonts w:ascii="Times New Roman" w:hAnsi="Times New Roman"/>
        </w:rPr>
        <w:tab/>
        <w:t>Navrhuje sa doplniť účel poskytovania finančných prostriedkov Fondom (podpora umeleckých aktivít, kultúry a kreatívneho priemyslu) o ochranu a rozvoj kultúrneho dedičstva okrem oblastí pamiatkového fondu, ktorý je podporovaný z dotačného systému ministerstva.</w:t>
      </w:r>
    </w:p>
    <w:p w:rsidR="006D7DB2" w:rsidP="006D7DB2">
      <w:pPr>
        <w:bidi w:val="0"/>
        <w:jc w:val="both"/>
        <w:rPr>
          <w:rFonts w:ascii="Times New Roman" w:hAnsi="Times New Roman"/>
        </w:rPr>
      </w:pPr>
    </w:p>
    <w:p w:rsidR="004403FA" w:rsidP="006D7DB2">
      <w:pPr>
        <w:bidi w:val="0"/>
        <w:jc w:val="both"/>
        <w:rPr>
          <w:rFonts w:ascii="Times New Roman" w:hAnsi="Times New Roman"/>
        </w:rPr>
      </w:pPr>
    </w:p>
    <w:p w:rsidR="006D7DB2" w:rsidP="006D7DB2">
      <w:pPr>
        <w:bidi w:val="0"/>
        <w:jc w:val="both"/>
        <w:rPr>
          <w:rFonts w:ascii="Times New Roman" w:hAnsi="Times New Roman"/>
          <w:u w:val="single"/>
        </w:rPr>
      </w:pPr>
      <w:r>
        <w:rPr>
          <w:rFonts w:ascii="Times New Roman" w:hAnsi="Times New Roman"/>
          <w:u w:val="single"/>
        </w:rPr>
        <w:t>K bodu 8</w:t>
      </w:r>
    </w:p>
    <w:p w:rsidR="006D7DB2" w:rsidP="006D7DB2">
      <w:pPr>
        <w:bidi w:val="0"/>
        <w:jc w:val="both"/>
        <w:rPr>
          <w:rFonts w:ascii="Times New Roman" w:hAnsi="Times New Roman"/>
        </w:rPr>
      </w:pPr>
    </w:p>
    <w:p w:rsidR="006D7DB2" w:rsidP="006D7DB2">
      <w:pPr>
        <w:bidi w:val="0"/>
        <w:jc w:val="both"/>
        <w:rPr>
          <w:rFonts w:ascii="Times New Roman" w:hAnsi="Times New Roman"/>
          <w:u w:val="single"/>
        </w:rPr>
      </w:pPr>
      <w:r>
        <w:rPr>
          <w:rFonts w:ascii="Times New Roman" w:hAnsi="Times New Roman"/>
        </w:rPr>
        <w:tab/>
        <w:t>Navrhuje sa, aby žiadateľom o podporu na aktivity v oblasti umenia, kultúry alebo kreatívneho priemyslu mohla byť aj obec alebo vyšší územný celok za nimi zriadené alebo založené organizácie.</w:t>
      </w:r>
    </w:p>
    <w:p w:rsidR="006D7DB2" w:rsidP="006D7DB2">
      <w:pPr>
        <w:bidi w:val="0"/>
        <w:rPr>
          <w:rFonts w:ascii="Times New Roman" w:hAnsi="Times New Roman"/>
        </w:rPr>
      </w:pPr>
    </w:p>
    <w:p w:rsidR="006D7DB2" w:rsidP="006D7DB2">
      <w:pPr>
        <w:bidi w:val="0"/>
        <w:rPr>
          <w:rFonts w:ascii="Times New Roman" w:hAnsi="Times New Roman"/>
          <w:color w:val="000000"/>
          <w:u w:val="single"/>
        </w:rPr>
      </w:pPr>
      <w:r>
        <w:rPr>
          <w:rFonts w:ascii="Times New Roman" w:hAnsi="Times New Roman"/>
          <w:color w:val="000000"/>
          <w:u w:val="single"/>
        </w:rPr>
        <w:t>K bodu 9 a 10</w:t>
      </w:r>
    </w:p>
    <w:p w:rsidR="006D7DB2" w:rsidP="006D7DB2">
      <w:pPr>
        <w:bidi w:val="0"/>
        <w:rPr>
          <w:rFonts w:ascii="Times New Roman" w:hAnsi="Times New Roman"/>
          <w:b/>
          <w:bCs/>
          <w:color w:val="C00000"/>
          <w:u w:val="single"/>
        </w:rPr>
      </w:pPr>
    </w:p>
    <w:p w:rsidR="006D7DB2" w:rsidP="006D7DB2">
      <w:pPr>
        <w:pStyle w:val="NoSpacing"/>
        <w:bidi w:val="0"/>
        <w:jc w:val="both"/>
        <w:rPr>
          <w:rFonts w:ascii="Times New Roman" w:hAnsi="Times New Roman"/>
        </w:rPr>
      </w:pPr>
      <w:r>
        <w:rPr>
          <w:rFonts w:ascii="Times New Roman" w:hAnsi="Times New Roman"/>
        </w:rPr>
        <w:tab/>
        <w:t>V § 25a sa navrhuje vymedziť pojem „profesionálny umelec vykonávajúci umeleckú činnosť v slobodnom povolaní“. Je ním fyzická osoba, ktorá vykonáva umeleckú činnosť v slobodnom povolaní alebo popri zamestnaní na základe zmluvy o dielo alebo kúpnej zmluvy, spĺňa požadované kvalifikačné predpoklady alebo dosahuje preukázateľné umelecké výsledky a je zapísaná v evidencii profesionálnych umelcov.</w:t>
      </w:r>
    </w:p>
    <w:p w:rsidR="006D7DB2" w:rsidP="006D7DB2">
      <w:pPr>
        <w:pStyle w:val="NoSpacing"/>
        <w:bidi w:val="0"/>
        <w:jc w:val="both"/>
        <w:rPr>
          <w:rFonts w:ascii="Times New Roman" w:hAnsi="Times New Roman"/>
          <w:color w:val="000000"/>
          <w:shd w:val="clear" w:color="auto" w:fill="FFFFFF"/>
        </w:rPr>
      </w:pPr>
    </w:p>
    <w:p w:rsidR="006D7DB2" w:rsidP="006D7DB2">
      <w:pPr>
        <w:pStyle w:val="NoSpacing"/>
        <w:bidi w:val="0"/>
        <w:jc w:val="both"/>
        <w:rPr>
          <w:rFonts w:ascii="Times New Roman" w:hAnsi="Times New Roman"/>
          <w:color w:val="C00000"/>
        </w:rPr>
      </w:pPr>
      <w:r>
        <w:rPr>
          <w:rFonts w:ascii="Times New Roman" w:hAnsi="Times New Roman"/>
          <w:color w:val="000000"/>
          <w:shd w:val="clear" w:color="auto" w:fill="FFFFFF"/>
        </w:rPr>
        <w:t>Slobodné povolanie je výkon povolania nie na základe pracovnoprávneho vzťahu, vo vlastnom mene a na vlastnú zodpovednosť (napríklad spisovateľ, herec, akademický maliar, akademický sochár,...). Slobodný umelec je osoba, ktorá tvorí alebo vykonáva tvorivú činnosť bez pracovnoprávneho vzťahu, nepotrebuje na túto činnosť "iné než živnostenské oprávnenie.".</w:t>
      </w:r>
    </w:p>
    <w:p w:rsidR="006D7DB2" w:rsidP="006D7DB2">
      <w:pPr>
        <w:pStyle w:val="NoSpacing"/>
        <w:bidi w:val="0"/>
        <w:jc w:val="both"/>
        <w:rPr>
          <w:rFonts w:ascii="Times New Roman" w:hAnsi="Times New Roman"/>
          <w:b/>
          <w:bCs/>
          <w:u w:val="single"/>
        </w:rPr>
      </w:pPr>
    </w:p>
    <w:p w:rsidR="006D7DB2" w:rsidP="006D7DB2">
      <w:pPr>
        <w:pStyle w:val="NoSpacing"/>
        <w:bidi w:val="0"/>
        <w:ind w:firstLine="708"/>
        <w:jc w:val="both"/>
        <w:rPr>
          <w:rFonts w:ascii="Times New Roman" w:hAnsi="Times New Roman"/>
        </w:rPr>
      </w:pPr>
      <w:r>
        <w:rPr>
          <w:rFonts w:ascii="Times New Roman" w:hAnsi="Times New Roman"/>
        </w:rPr>
        <w:t>V § 25b sa navrhuje viesť evidenciu profesionálnych umelcov a vydávať preukazy, ktorá je verejným zoznamom, zverejňovaným na webovom sídle fondu. Kancelária vykoná výmaz profesionálneho umelca z evidencie, ak profesionálny umelec o to požiada, ak profesionálny umelec zomrie alebo ak sa preukáže, že  zápis do evidencie bol vykonaný na základe nepravdivých údajov. Navrhuje sa doplniť, aby príjmy fondu tvoril aj administratívny poplatok za spracovanie žiadosti o zápis do evidencie profesionálnych umelcov.</w:t>
      </w:r>
    </w:p>
    <w:p w:rsidR="006D7DB2" w:rsidP="006D7DB2">
      <w:pPr>
        <w:pStyle w:val="NoSpacing"/>
        <w:bidi w:val="0"/>
        <w:ind w:firstLine="708"/>
        <w:jc w:val="both"/>
        <w:rPr>
          <w:rFonts w:ascii="Times New Roman" w:hAnsi="Times New Roman"/>
        </w:rPr>
      </w:pPr>
    </w:p>
    <w:p w:rsidR="006D7DB2" w:rsidP="006D7DB2">
      <w:pPr>
        <w:pStyle w:val="NoSpacing"/>
        <w:bidi w:val="0"/>
        <w:ind w:firstLine="708"/>
        <w:jc w:val="both"/>
        <w:rPr>
          <w:rFonts w:ascii="Times New Roman" w:hAnsi="Times New Roman"/>
        </w:rPr>
      </w:pPr>
      <w:r>
        <w:rPr>
          <w:rFonts w:ascii="Times New Roman" w:hAnsi="Times New Roman"/>
        </w:rPr>
        <w:t xml:space="preserve">Zároveň sa upravuje subjekt, ktorý môže podať žiadosť o zápis do evidencie profesionálnych umelcov a náležitosti žiadosti o zápis do evidencie profesionálnych umelcov; žiadosť môže podať žiadateľ, ak pôsobí v niektorej z oblastí umenia (literatúra, výtvarné umenie, hudobné umenie, divadelné umenie, hudobno-dramatické umenie, tanečné umenie, audiovizuálne umenie alebo iná forma umenia).  </w:t>
      </w:r>
    </w:p>
    <w:p w:rsidR="006D7DB2" w:rsidP="006D7DB2">
      <w:pPr>
        <w:pStyle w:val="NoSpacing"/>
        <w:bidi w:val="0"/>
        <w:jc w:val="both"/>
        <w:rPr>
          <w:rFonts w:ascii="Times New Roman" w:hAnsi="Times New Roman"/>
        </w:rPr>
      </w:pPr>
    </w:p>
    <w:p w:rsidR="006D7DB2" w:rsidP="006D7DB2">
      <w:pPr>
        <w:bidi w:val="0"/>
        <w:ind w:firstLine="708"/>
        <w:jc w:val="both"/>
        <w:rPr>
          <w:rFonts w:ascii="Times New Roman" w:hAnsi="Times New Roman"/>
        </w:rPr>
      </w:pPr>
      <w:r>
        <w:rPr>
          <w:rFonts w:ascii="Times New Roman" w:hAnsi="Times New Roman"/>
        </w:rPr>
        <w:t xml:space="preserve">Upravuje sa postup posudzovania žiadostí o zápis do evidencie profesionálnych umelcov. Kancelária po preskúmaní žiadosti predloží úplnú žiadosť odbornej komisii na zaujatie stanoviska. Na základe súhlasu riaditeľa fondu kancelária zapíše žiadateľa do zoznamu profesionálnych umelcov alebo oznámi žiadateľovi odmietnutie zápisu do evidencie profesionálnych umelcov. Ak fond odmietne zápis do evidencie profesionálnych umelcov, môže žiadateľ podať novú žiadosť o zápis do evidencie profesionálnych umelcov najskôr po uplynutí 12 mesiacov od odmietnutia zápisu do evidencie. </w:t>
      </w:r>
    </w:p>
    <w:p w:rsidR="006D7DB2" w:rsidP="006D7DB2">
      <w:pPr>
        <w:bidi w:val="0"/>
        <w:ind w:firstLine="708"/>
        <w:jc w:val="both"/>
        <w:rPr>
          <w:rFonts w:ascii="Times New Roman" w:hAnsi="Times New Roman"/>
        </w:rPr>
      </w:pPr>
      <w:r>
        <w:rPr>
          <w:rFonts w:ascii="Times New Roman" w:hAnsi="Times New Roman"/>
        </w:rPr>
        <w:t>Za spracovanie žiadosti o zápis do evidencie profesionálnych umelcov sa platí administratívny poplatok v sume 30 eur na účet fondu, ktoré fond použije na svoju prevádzku.</w:t>
      </w:r>
    </w:p>
    <w:p w:rsidR="006D7DB2" w:rsidP="006D7DB2">
      <w:pPr>
        <w:bidi w:val="0"/>
        <w:ind w:firstLine="708"/>
        <w:jc w:val="both"/>
        <w:rPr>
          <w:rFonts w:ascii="Times New Roman" w:hAnsi="Times New Roman"/>
        </w:rPr>
      </w:pPr>
      <w:r>
        <w:rPr>
          <w:rFonts w:ascii="Times New Roman" w:hAnsi="Times New Roman"/>
        </w:rPr>
        <w:t>Ak profesionálny umelec požiada o výmaz, profesionálny umelec zomrie alebo sa preukáže, že zápis do evidencie profesionálnych umelcov bol vykonaný na základe nepravdivých údajov, kancelária vykoná výmaz profesionálneho umelca z evidencie profesionálnych umelcov.</w:t>
      </w:r>
    </w:p>
    <w:p w:rsidR="006D7DB2" w:rsidP="006D7DB2">
      <w:pPr>
        <w:pStyle w:val="NoSpacing"/>
        <w:bidi w:val="0"/>
        <w:ind w:firstLine="708"/>
        <w:jc w:val="both"/>
        <w:rPr>
          <w:rFonts w:ascii="Times New Roman" w:hAnsi="Times New Roman"/>
        </w:rPr>
      </w:pPr>
      <w:r>
        <w:rPr>
          <w:rFonts w:ascii="Times New Roman" w:hAnsi="Times New Roman"/>
        </w:rPr>
        <w:t xml:space="preserve">Ako požadované kvalifikačné predpoklady sa v § 25d navrhuje dosiahnutie vysokoškolského vzdelania prvého stupňa alebo druhého stupňa v príslušnom odbore umeleckej činnosti, v ktorom umelec vykonáva umeleckú činnosť, alebo úplného stredoškolského vzdelania v príslušnom odbore umeleckej činnosti, v ktorom umelec vykonáva umeleckú činnosť; tieto sa preukazujú predložením dokladov o vzdelaní v príslušnom odbore umeleckej činnosti. </w:t>
      </w:r>
    </w:p>
    <w:p w:rsidR="006D7DB2" w:rsidP="006D7DB2">
      <w:pPr>
        <w:pStyle w:val="NoSpacing"/>
        <w:bidi w:val="0"/>
        <w:ind w:firstLine="708"/>
        <w:jc w:val="both"/>
        <w:rPr>
          <w:rFonts w:ascii="Times New Roman" w:hAnsi="Times New Roman"/>
        </w:rPr>
      </w:pPr>
    </w:p>
    <w:p w:rsidR="006D7DB2" w:rsidP="006D7DB2">
      <w:pPr>
        <w:pStyle w:val="NoSpacing"/>
        <w:bidi w:val="0"/>
        <w:ind w:firstLine="708"/>
        <w:jc w:val="both"/>
        <w:rPr>
          <w:rFonts w:ascii="Times New Roman" w:hAnsi="Times New Roman"/>
        </w:rPr>
      </w:pPr>
      <w:r>
        <w:rPr>
          <w:rFonts w:ascii="Times New Roman" w:hAnsi="Times New Roman"/>
        </w:rPr>
        <w:t>So zreteľom na to, že sú umelci, ktorí nemajú požadované vzdelanie v príslušnom umeleckom odbore, avšak vzhľadom na vysokú mieru talentu dosahujú požadované umelecké výsledky, návrh zákona v § 25e umožňuje zápis do evidencie profesionálnych umelcov aj takýmto umelcom, avšak za predpokladu, že preukážu, že dosahujú umelecké výsledky.  To bude posudzovať príslušná odborná komisia činná v danom odbore umeleckej činnosti na základe preukázaných  výsledky tvorivej umeleckej činnosti alebo preukázaného zverejnenia výsledkov tvorivej umeleckej činnosti. Kritériom pre posudzovanie umeleckej činnosti je preukázanie aspoň jednej z týchto podmienok, ktoré je žiadateľ povinný doložiť:</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uznanie za umelca rešpektovanou inštitúciou v danom odbore umeleckej činnosti,</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 xml:space="preserve">vystavovanie v galérií, </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 xml:space="preserve">vystavovanie v zahraničnej galérii, </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 xml:space="preserve">vykonávanie činnosť na úseku divadelnej činnosti alebo hudobnej činnosti v inštitúcii, </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akceptovanie komorou prijatím za člena, ak komora v danom odbore umeleckej činnosti existuje,</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akceptovanie reprezentatívnym združením profesionálnych umelcov,</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akceptovanie organizátorom alebo porotou výberového alebo prestížneho umeleckého podujatia alebo súťaže,</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získanie ocenenie na národnom festivale,</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získanie ocenenie z medzinárodnej súťaže alebo</w:t>
      </w:r>
    </w:p>
    <w:p w:rsidR="006D7DB2" w:rsidP="006D7DB2">
      <w:pPr>
        <w:pStyle w:val="NoSpacing"/>
        <w:widowControl/>
        <w:numPr>
          <w:numId w:val="2"/>
        </w:numPr>
        <w:bidi w:val="0"/>
        <w:adjustRightInd/>
        <w:ind w:left="284" w:hanging="284"/>
        <w:jc w:val="both"/>
        <w:rPr>
          <w:rFonts w:ascii="Times New Roman" w:hAnsi="Times New Roman"/>
        </w:rPr>
      </w:pPr>
      <w:r>
        <w:rPr>
          <w:rFonts w:ascii="Times New Roman" w:hAnsi="Times New Roman"/>
        </w:rPr>
        <w:t>získanie kladného odborného posudku renomovaného odborníka pre danú oblasť umenia.</w:t>
      </w:r>
    </w:p>
    <w:p w:rsidR="006D7DB2" w:rsidP="006D7DB2">
      <w:pPr>
        <w:pStyle w:val="NoSpacing"/>
        <w:bidi w:val="0"/>
        <w:ind w:left="720"/>
        <w:jc w:val="both"/>
        <w:rPr>
          <w:rFonts w:ascii="Times New Roman" w:hAnsi="Times New Roman"/>
          <w:color w:val="C00000"/>
        </w:rPr>
      </w:pPr>
    </w:p>
    <w:p w:rsidR="006D7DB2" w:rsidP="006D7DB2">
      <w:pPr>
        <w:bidi w:val="0"/>
        <w:ind w:firstLine="284"/>
        <w:jc w:val="both"/>
        <w:rPr>
          <w:rFonts w:ascii="Times New Roman" w:hAnsi="Times New Roman"/>
        </w:rPr>
      </w:pPr>
      <w:r>
        <w:rPr>
          <w:rFonts w:ascii="Times New Roman" w:hAnsi="Times New Roman"/>
        </w:rPr>
        <w:t xml:space="preserve">S cieľom v čo najvyššej možnej miere zjednodušiť proces evidencie a zároveň neposkytnúť len jedinej komisii monopol na rozhodovanie a zvýšiť tak objektivitu posudzovania žiadostí, návrh predpokladá </w:t>
      </w:r>
    </w:p>
    <w:p w:rsidR="006D7DB2" w:rsidP="006D7DB2">
      <w:pPr>
        <w:pStyle w:val="ListParagraph"/>
        <w:numPr>
          <w:numId w:val="3"/>
        </w:numPr>
        <w:bidi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akceptovanie predchádzajúceho rozhodnutia odborných komisií, ak rozhodli o úspešnom ukončení odborného štúdia umeleckého smeru žiadateľa (§ 25d),</w:t>
      </w:r>
    </w:p>
    <w:p w:rsidR="006D7DB2" w:rsidP="006D7DB2">
      <w:pPr>
        <w:pStyle w:val="ListParagraph"/>
        <w:numPr>
          <w:numId w:val="3"/>
        </w:numPr>
        <w:bidi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v prípade absencie odborného vzdelania rozhodovanie o kľúčovej otázke (či tvorba žiadateľa patrí do sféry umenia alebo nie) zveriť renomovaným odborníkom pre danú oblasť umenia (§ 25e),</w:t>
      </w:r>
    </w:p>
    <w:p w:rsidR="006D7DB2" w:rsidP="006D7DB2">
      <w:pPr>
        <w:pStyle w:val="ListParagraph"/>
        <w:numPr>
          <w:numId w:val="3"/>
        </w:numPr>
        <w:bidi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zároveň sa veľký priestor poskytuje iným komisiám či odborníkom, ktorí sa k  tejto otázke (či tvorba žiadateľa patrí do sféry umenia alebo nie)  už relevantným spôsobom vyjadrili (§ 25e); povinnosť zobrať do úvahy, či bol umelec uznaný inými umelcami, zabraňuje monopolnému rozhodovaniu komisie a vychádza  (pri posudzovaní, kto je profesionálny umelec)  z reálneho uplatňovania obdobných kritérií v Kanade, Rakúsku či Nórsku.</w:t>
      </w:r>
    </w:p>
    <w:p w:rsidR="006D7DB2" w:rsidP="006D7DB2">
      <w:pPr>
        <w:pStyle w:val="ListParagraph"/>
        <w:bidi w:val="0"/>
        <w:spacing w:after="0" w:line="240" w:lineRule="auto"/>
        <w:ind w:left="284"/>
        <w:jc w:val="both"/>
        <w:rPr>
          <w:rFonts w:ascii="Times New Roman" w:hAnsi="Times New Roman"/>
          <w:sz w:val="24"/>
          <w:szCs w:val="24"/>
        </w:rPr>
      </w:pPr>
    </w:p>
    <w:p w:rsidR="006D7DB2" w:rsidP="006D7DB2">
      <w:pPr>
        <w:bidi w:val="0"/>
        <w:ind w:firstLine="284"/>
        <w:jc w:val="both"/>
        <w:rPr>
          <w:rFonts w:ascii="Times New Roman" w:hAnsi="Times New Roman"/>
        </w:rPr>
      </w:pPr>
      <w:r>
        <w:rPr>
          <w:rFonts w:ascii="Times New Roman" w:hAnsi="Times New Roman"/>
        </w:rPr>
        <w:t>Zamietnutý žiadateľ môže po stanovenej lehote 12 mesiacov opätovne požiadať o zápis do evidencie profesionálnych umelcov.</w:t>
      </w:r>
    </w:p>
    <w:p w:rsidR="006D7DB2" w:rsidP="006D7DB2">
      <w:pPr>
        <w:pStyle w:val="NoSpacing"/>
        <w:bidi w:val="0"/>
        <w:jc w:val="both"/>
        <w:rPr>
          <w:rFonts w:ascii="Times New Roman" w:hAnsi="Times New Roman"/>
        </w:rPr>
      </w:pPr>
    </w:p>
    <w:p w:rsidR="006D7DB2" w:rsidP="006D7DB2">
      <w:pPr>
        <w:pStyle w:val="NoSpacing"/>
        <w:bidi w:val="0"/>
        <w:jc w:val="both"/>
        <w:rPr>
          <w:rFonts w:ascii="Times New Roman" w:hAnsi="Times New Roman"/>
          <w:u w:val="single"/>
        </w:rPr>
      </w:pPr>
      <w:r>
        <w:rPr>
          <w:rFonts w:ascii="Times New Roman" w:hAnsi="Times New Roman"/>
          <w:u w:val="single"/>
        </w:rPr>
        <w:t>K bodu 11</w:t>
      </w:r>
    </w:p>
    <w:p w:rsidR="006D7DB2" w:rsidP="006D7DB2">
      <w:pPr>
        <w:pStyle w:val="NoSpacing"/>
        <w:bidi w:val="0"/>
        <w:jc w:val="both"/>
        <w:rPr>
          <w:rFonts w:ascii="Times New Roman" w:hAnsi="Times New Roman"/>
          <w:b/>
          <w:bCs/>
        </w:rPr>
      </w:pPr>
    </w:p>
    <w:p w:rsidR="006D7DB2" w:rsidP="006D7DB2">
      <w:pPr>
        <w:pStyle w:val="ListParagraph"/>
        <w:bidi w:val="0"/>
        <w:ind w:left="0"/>
        <w:jc w:val="both"/>
        <w:rPr>
          <w:rFonts w:ascii="Times New Roman" w:hAnsi="Times New Roman"/>
          <w:sz w:val="24"/>
          <w:szCs w:val="24"/>
          <w:lang w:eastAsia="sk-SK"/>
        </w:rPr>
      </w:pPr>
      <w:r>
        <w:rPr>
          <w:rFonts w:ascii="Times New Roman" w:hAnsi="Times New Roman"/>
          <w:sz w:val="24"/>
          <w:szCs w:val="24"/>
        </w:rPr>
        <w:tab/>
        <w:t xml:space="preserve">Navrhuje sa doplniť zákonnú možnosť spracúvania a zverejňovania osobných údajov </w:t>
      </w:r>
      <w:r>
        <w:rPr>
          <w:rFonts w:ascii="Times New Roman" w:hAnsi="Times New Roman"/>
          <w:sz w:val="24"/>
          <w:szCs w:val="24"/>
          <w:lang w:eastAsia="sk-SK"/>
        </w:rPr>
        <w:t>na účely evidencie profesionálnych umelcov.</w:t>
      </w:r>
    </w:p>
    <w:p w:rsidR="006D7DB2" w:rsidP="006D7DB2">
      <w:pPr>
        <w:bidi w:val="0"/>
        <w:jc w:val="both"/>
        <w:rPr>
          <w:rFonts w:ascii="Times New Roman" w:hAnsi="Times New Roman"/>
          <w:u w:val="single"/>
        </w:rPr>
      </w:pPr>
      <w:r>
        <w:rPr>
          <w:rFonts w:ascii="Times New Roman" w:hAnsi="Times New Roman"/>
          <w:u w:val="single"/>
        </w:rPr>
        <w:t>K bodu 12</w:t>
      </w:r>
    </w:p>
    <w:p w:rsidR="006D7DB2" w:rsidP="006D7DB2">
      <w:pPr>
        <w:bidi w:val="0"/>
        <w:jc w:val="both"/>
        <w:rPr>
          <w:rFonts w:ascii="Times New Roman" w:hAnsi="Times New Roman"/>
        </w:rPr>
      </w:pPr>
      <w:r>
        <w:rPr>
          <w:rFonts w:ascii="Times New Roman" w:hAnsi="Times New Roman"/>
        </w:rPr>
        <w:tab/>
        <w:t>Vyššia suma na pokrytie prevádzkových nákladov činnosti fondu v roku 2016 sa navrhuje z dôvodu, nevyhnutnosti vytvorenia materiálnych podmienok pre činnosť fondu.</w:t>
      </w:r>
    </w:p>
    <w:p w:rsidR="006D7DB2" w:rsidP="006D7DB2">
      <w:pPr>
        <w:bidi w:val="0"/>
        <w:jc w:val="both"/>
        <w:rPr>
          <w:rFonts w:ascii="Times New Roman" w:hAnsi="Times New Roman"/>
          <w:b/>
          <w:bCs/>
          <w:color w:val="000000"/>
        </w:rPr>
      </w:pPr>
    </w:p>
    <w:p w:rsidR="006D7DB2" w:rsidP="006D7DB2">
      <w:pPr>
        <w:bidi w:val="0"/>
        <w:jc w:val="both"/>
        <w:rPr>
          <w:rFonts w:ascii="Times New Roman" w:hAnsi="Times New Roman"/>
          <w:b/>
          <w:bCs/>
          <w:color w:val="000000"/>
          <w:u w:val="single"/>
        </w:rPr>
      </w:pPr>
      <w:r>
        <w:rPr>
          <w:rFonts w:ascii="Times New Roman" w:hAnsi="Times New Roman"/>
          <w:b/>
          <w:bCs/>
          <w:color w:val="000000"/>
          <w:u w:val="single"/>
        </w:rPr>
        <w:t>K Čl. III</w:t>
      </w:r>
    </w:p>
    <w:p w:rsidR="006D7DB2" w:rsidP="006D7DB2">
      <w:pPr>
        <w:bidi w:val="0"/>
        <w:jc w:val="both"/>
        <w:rPr>
          <w:rFonts w:ascii="Times New Roman" w:hAnsi="Times New Roman"/>
          <w:b/>
          <w:bCs/>
          <w:color w:val="000000"/>
          <w:u w:val="single"/>
        </w:rPr>
      </w:pPr>
    </w:p>
    <w:p w:rsidR="006D7DB2" w:rsidP="006D7DB2">
      <w:pPr>
        <w:pStyle w:val="NoSpacing"/>
        <w:bidi w:val="0"/>
        <w:ind w:firstLine="708"/>
        <w:jc w:val="both"/>
        <w:rPr>
          <w:rFonts w:ascii="Times New Roman" w:hAnsi="Times New Roman"/>
        </w:rPr>
      </w:pPr>
      <w:r>
        <w:rPr>
          <w:rFonts w:ascii="Times New Roman" w:hAnsi="Times New Roman"/>
        </w:rPr>
        <w:t xml:space="preserve">Podľa doterajšej právnej úpravy zákona o neziskových organizáciách poskytujúcich všeobecne prospešné služby nemožno z dotácií zo štátneho rozpočtu, rozpočtu štátneho fondu a rozpočtu obce uhrádzať výdavky (náklady) na správu neziskovej organizácie. </w:t>
      </w:r>
      <w:r>
        <w:rPr>
          <w:rFonts w:ascii="Times New Roman" w:hAnsi="Times New Roman"/>
          <w:color w:val="000000"/>
        </w:rPr>
        <w:t xml:space="preserve">Navrhovaná právna úprava </w:t>
      </w:r>
      <w:r>
        <w:rPr>
          <w:rFonts w:ascii="Times New Roman" w:hAnsi="Times New Roman"/>
        </w:rPr>
        <w:t>vytvára legislatívny priestor na možnosť poskytnúť neziskovej organizácii finančnú podporu</w:t>
      </w:r>
      <w:r>
        <w:rPr>
          <w:rFonts w:ascii="Times New Roman" w:hAnsi="Times New Roman"/>
          <w:color w:val="1F497D"/>
        </w:rPr>
        <w:t xml:space="preserve"> </w:t>
      </w:r>
      <w:r>
        <w:rPr>
          <w:rFonts w:ascii="Times New Roman" w:hAnsi="Times New Roman"/>
        </w:rPr>
        <w:t xml:space="preserve">z rozpočtu jej zakladateľa na prevádzkovú činnosť vo forme príspevku zakladateľa. </w:t>
      </w:r>
    </w:p>
    <w:p w:rsidR="006D7DB2" w:rsidP="006D7DB2">
      <w:pPr>
        <w:pStyle w:val="NoSpacing"/>
        <w:bidi w:val="0"/>
        <w:jc w:val="both"/>
        <w:rPr>
          <w:rFonts w:ascii="Times New Roman" w:hAnsi="Times New Roman"/>
        </w:rPr>
      </w:pPr>
    </w:p>
    <w:p w:rsidR="006D7DB2" w:rsidP="006D7DB2">
      <w:pPr>
        <w:pStyle w:val="NoSpacing"/>
        <w:bidi w:val="0"/>
        <w:ind w:firstLine="708"/>
        <w:jc w:val="both"/>
        <w:rPr>
          <w:rFonts w:ascii="Times New Roman" w:hAnsi="Times New Roman"/>
        </w:rPr>
      </w:pPr>
      <w:r>
        <w:rPr>
          <w:rFonts w:ascii="Times New Roman" w:hAnsi="Times New Roman"/>
        </w:rPr>
        <w:t>Tento postup je v súlade s § 8 ods. 1 písm. i) zákona č. 523/2004 Z. z. o rozpočtových pravidlách verejnej správy a o zmene a doplnení niektorých zákonov v znení neskorších predpisov.</w:t>
      </w:r>
    </w:p>
    <w:p w:rsidR="006D7DB2" w:rsidP="006D7DB2">
      <w:pPr>
        <w:pStyle w:val="NoSpacing"/>
        <w:bidi w:val="0"/>
        <w:jc w:val="both"/>
        <w:rPr>
          <w:rFonts w:ascii="Times New Roman" w:hAnsi="Times New Roman"/>
          <w:b/>
          <w:bCs/>
        </w:rPr>
      </w:pPr>
    </w:p>
    <w:p w:rsidR="006D7DB2" w:rsidP="006D7DB2">
      <w:pPr>
        <w:pStyle w:val="NoSpacing"/>
        <w:bidi w:val="0"/>
        <w:jc w:val="both"/>
        <w:rPr>
          <w:rFonts w:ascii="Times New Roman" w:hAnsi="Times New Roman"/>
          <w:b/>
          <w:bCs/>
        </w:rPr>
      </w:pPr>
    </w:p>
    <w:p w:rsidR="006D7DB2" w:rsidP="006D7DB2">
      <w:pPr>
        <w:pStyle w:val="NoSpacing"/>
        <w:bidi w:val="0"/>
        <w:rPr>
          <w:rStyle w:val="PlaceholderText"/>
          <w:color w:val="000000"/>
          <w:u w:val="single"/>
        </w:rPr>
      </w:pPr>
      <w:r>
        <w:rPr>
          <w:rStyle w:val="PlaceholderText"/>
          <w:b/>
          <w:bCs/>
          <w:color w:val="000000"/>
          <w:u w:val="single"/>
        </w:rPr>
        <w:t>K článku IV</w:t>
      </w:r>
    </w:p>
    <w:p w:rsidR="006D7DB2" w:rsidP="006D7DB2">
      <w:pPr>
        <w:pStyle w:val="NoSpacing"/>
        <w:bidi w:val="0"/>
        <w:rPr>
          <w:rStyle w:val="PlaceholderText"/>
          <w:color w:val="000000"/>
          <w:u w:val="single"/>
        </w:rPr>
      </w:pPr>
    </w:p>
    <w:p w:rsidR="006D7DB2" w:rsidP="006D7DB2">
      <w:pPr>
        <w:pStyle w:val="BodyText3"/>
        <w:bidi w:val="0"/>
        <w:spacing w:line="240" w:lineRule="atLeast"/>
        <w:ind w:firstLine="708"/>
        <w:jc w:val="both"/>
        <w:outlineLvl w:val="0"/>
        <w:rPr>
          <w:rFonts w:ascii="Times New Roman" w:hAnsi="Times New Roman"/>
          <w:sz w:val="24"/>
          <w:szCs w:val="24"/>
        </w:rPr>
      </w:pPr>
      <w:r w:rsidRPr="006D7DB2">
        <w:rPr>
          <w:rStyle w:val="PlaceholderText"/>
          <w:color w:val="000000"/>
          <w:sz w:val="24"/>
          <w:szCs w:val="24"/>
        </w:rPr>
        <w:t xml:space="preserve">Deň nadobudnutia účinnosti sa navrhuje </w:t>
      </w:r>
      <w:r w:rsidRPr="006D7DB2">
        <w:rPr>
          <w:rFonts w:ascii="Times New Roman" w:hAnsi="Times New Roman"/>
          <w:sz w:val="24"/>
          <w:szCs w:val="24"/>
        </w:rPr>
        <w:t>1. novembra 2015,</w:t>
      </w:r>
      <w:r w:rsidRPr="006D7DB2">
        <w:rPr>
          <w:rStyle w:val="PlaceholderText"/>
          <w:color w:val="000000"/>
          <w:sz w:val="24"/>
          <w:szCs w:val="24"/>
        </w:rPr>
        <w:t xml:space="preserve"> </w:t>
      </w:r>
      <w:r w:rsidRPr="006D7DB2">
        <w:rPr>
          <w:rFonts w:ascii="Times New Roman" w:hAnsi="Times New Roman"/>
          <w:sz w:val="24"/>
          <w:szCs w:val="24"/>
        </w:rPr>
        <w:t xml:space="preserve">okrem čl. I a II, kde sa navrhuje účinnosť </w:t>
      </w:r>
      <w:r w:rsidRPr="006D7DB2">
        <w:rPr>
          <w:rStyle w:val="PlaceholderText"/>
          <w:color w:val="000000"/>
          <w:sz w:val="24"/>
          <w:szCs w:val="24"/>
        </w:rPr>
        <w:t>1. januára 2016</w:t>
      </w:r>
      <w:r w:rsidRPr="006D7DB2">
        <w:rPr>
          <w:rFonts w:ascii="Times New Roman" w:hAnsi="Times New Roman"/>
          <w:sz w:val="24"/>
          <w:szCs w:val="24"/>
        </w:rPr>
        <w:t>.</w:t>
      </w:r>
    </w:p>
    <w:p w:rsidR="004403FA" w:rsidRPr="006D7DB2" w:rsidP="006D7DB2">
      <w:pPr>
        <w:pStyle w:val="BodyText3"/>
        <w:bidi w:val="0"/>
        <w:spacing w:line="240" w:lineRule="atLeast"/>
        <w:ind w:firstLine="708"/>
        <w:jc w:val="both"/>
        <w:outlineLvl w:val="0"/>
        <w:rPr>
          <w:rFonts w:ascii="Times New Roman" w:hAnsi="Times New Roman"/>
          <w:sz w:val="24"/>
          <w:szCs w:val="24"/>
        </w:rPr>
      </w:pPr>
    </w:p>
    <w:p w:rsidR="006D7DB2" w:rsidP="006D7DB2">
      <w:pPr>
        <w:pStyle w:val="NoSpacing"/>
        <w:bidi w:val="0"/>
        <w:rPr>
          <w:rStyle w:val="PlaceholderText"/>
          <w:color w:val="000000"/>
        </w:rPr>
      </w:pPr>
    </w:p>
    <w:p w:rsidR="004403FA" w:rsidP="006D7DB2">
      <w:pPr>
        <w:pStyle w:val="NoSpacing"/>
        <w:bidi w:val="0"/>
        <w:rPr>
          <w:rStyle w:val="PlaceholderText"/>
          <w:color w:val="000000"/>
        </w:rPr>
      </w:pPr>
    </w:p>
    <w:p w:rsidR="004403FA" w:rsidP="006D7DB2">
      <w:pPr>
        <w:pStyle w:val="NoSpacing"/>
        <w:bidi w:val="0"/>
        <w:rPr>
          <w:rStyle w:val="PlaceholderText"/>
          <w:color w:val="000000"/>
        </w:rPr>
      </w:pPr>
    </w:p>
    <w:p w:rsidR="004403FA" w:rsidP="006D7DB2">
      <w:pPr>
        <w:pStyle w:val="NoSpacing"/>
        <w:bidi w:val="0"/>
        <w:rPr>
          <w:rStyle w:val="PlaceholderText"/>
          <w:color w:val="000000"/>
        </w:rPr>
      </w:pPr>
    </w:p>
    <w:p w:rsidR="004403FA" w:rsidP="004403FA">
      <w:pPr>
        <w:bidi w:val="0"/>
        <w:jc w:val="center"/>
        <w:rPr>
          <w:rFonts w:ascii="Times New Roman" w:hAnsi="Times New Roman"/>
          <w:b/>
          <w:caps/>
          <w:spacing w:val="30"/>
        </w:rPr>
      </w:pPr>
      <w:r>
        <w:rPr>
          <w:rFonts w:ascii="Times New Roman" w:hAnsi="Times New Roman"/>
          <w:b/>
          <w:caps/>
          <w:spacing w:val="30"/>
        </w:rPr>
        <w:t>Doložka zlučiteľnosti</w:t>
      </w:r>
    </w:p>
    <w:p w:rsidR="004403FA" w:rsidP="004403FA">
      <w:pPr>
        <w:bidi w:val="0"/>
        <w:jc w:val="center"/>
        <w:rPr>
          <w:rFonts w:ascii="Times New Roman" w:hAnsi="Times New Roman"/>
          <w:b/>
          <w:lang w:val="en-US"/>
        </w:rPr>
      </w:pPr>
      <w:r>
        <w:rPr>
          <w:rFonts w:ascii="Times New Roman" w:hAnsi="Times New Roman"/>
          <w:b/>
          <w:lang w:val="en-US"/>
        </w:rPr>
        <w:t>právneho predpisu s právom Európskej únie </w:t>
      </w:r>
    </w:p>
    <w:p w:rsidR="004403FA" w:rsidP="004403FA">
      <w:pPr>
        <w:bidi w:val="0"/>
        <w:rPr>
          <w:rFonts w:ascii="Times New Roman" w:hAnsi="Times New Roman"/>
          <w:lang w:val="en-US"/>
        </w:rPr>
      </w:pPr>
    </w:p>
    <w:p w:rsidR="004403FA" w:rsidP="004403FA">
      <w:pPr>
        <w:bidi w:val="0"/>
        <w:rPr>
          <w:rFonts w:ascii="Times New Roman" w:hAnsi="Times New Roman"/>
          <w:lang w:val="en-US"/>
        </w:rPr>
      </w:pPr>
    </w:p>
    <w:p w:rsidR="004403FA" w:rsidP="004403FA">
      <w:pPr>
        <w:bidi w:val="0"/>
        <w:ind w:left="360" w:hanging="360"/>
        <w:rPr>
          <w:rFonts w:ascii="Times New Roman" w:hAnsi="Times New Roman"/>
          <w:b/>
          <w:lang w:val="en-US"/>
        </w:rPr>
      </w:pPr>
      <w:r>
        <w:rPr>
          <w:rFonts w:ascii="Times New Roman" w:hAnsi="Times New Roman"/>
          <w:b/>
        </w:rPr>
        <w:t>1.</w:t>
        <w:tab/>
        <w:t>Predkladateľ právneho predpisu:</w:t>
      </w:r>
      <w:r>
        <w:rPr>
          <w:rFonts w:ascii="Times New Roman" w:hAnsi="Times New Roman"/>
          <w:lang w:val="en-US"/>
        </w:rPr>
        <w:t xml:space="preserve"> vláda Slovenskej republiky </w:t>
      </w:r>
    </w:p>
    <w:p w:rsidR="004403FA" w:rsidP="004403FA">
      <w:pPr>
        <w:tabs>
          <w:tab w:val="left" w:pos="360"/>
        </w:tabs>
        <w:bidi w:val="0"/>
        <w:ind w:left="360"/>
        <w:rPr>
          <w:rFonts w:ascii="Times New Roman" w:hAnsi="Times New Roman"/>
          <w:lang w:val="en-US"/>
        </w:rPr>
      </w:pPr>
      <w:r>
        <w:rPr>
          <w:rFonts w:ascii="Times New Roman" w:hAnsi="Times New Roman"/>
          <w:lang w:val="en-US"/>
        </w:rPr>
        <w:t xml:space="preserve"> </w:t>
      </w:r>
    </w:p>
    <w:p w:rsidR="004403FA" w:rsidP="004403FA">
      <w:pPr>
        <w:bidi w:val="0"/>
        <w:ind w:left="360" w:hanging="360"/>
        <w:jc w:val="both"/>
        <w:rPr>
          <w:rFonts w:ascii="Times New Roman" w:hAnsi="Times New Roman"/>
          <w:b/>
          <w:lang w:val="en-US"/>
        </w:rPr>
      </w:pPr>
      <w:r>
        <w:rPr>
          <w:rFonts w:ascii="Times New Roman" w:hAnsi="Times New Roman"/>
          <w:b/>
          <w:lang w:val="en-US"/>
        </w:rPr>
        <w:t>2.</w:t>
        <w:tab/>
        <w:t>Názov návrhu právneho predpisu:</w:t>
      </w:r>
      <w:r>
        <w:rPr>
          <w:rFonts w:ascii="Times New Roman" w:hAnsi="Times New Roman"/>
          <w:lang w:val="en-US"/>
        </w:rPr>
        <w:t xml:space="preserve"> Návrh zákona, ktorým sa mení zákon č. 434/2010 Z. z. o poskytovaní dotácií v pôsobnosti Ministerstva kultúry Slovenskej republiky v znení neskorších predpisov a ktorým sa menia a dopĺňajú niektoré zákony  </w:t>
      </w:r>
    </w:p>
    <w:p w:rsidR="004403FA" w:rsidP="004403FA">
      <w:pPr>
        <w:bidi w:val="0"/>
        <w:rPr>
          <w:rFonts w:ascii="Times New Roman" w:hAnsi="Times New Roman"/>
          <w:lang w:val="en-US"/>
        </w:rPr>
      </w:pPr>
    </w:p>
    <w:p w:rsidR="004403FA" w:rsidP="004403FA">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4403FA" w:rsidP="004403FA">
      <w:pPr>
        <w:bidi w:val="0"/>
        <w:ind w:firstLine="360"/>
        <w:rPr>
          <w:rFonts w:ascii="Times New Roman" w:hAnsi="Times New Roman"/>
          <w:lang w:val="en-US"/>
        </w:rPr>
      </w:pPr>
    </w:p>
    <w:p w:rsidR="004403FA" w:rsidP="004403FA">
      <w:pPr>
        <w:bidi w:val="0"/>
        <w:ind w:left="709" w:hanging="349"/>
        <w:rPr>
          <w:rFonts w:ascii="Times New Roman" w:hAnsi="Times New Roman"/>
          <w:lang w:val="en-US"/>
        </w:rPr>
      </w:pPr>
      <w:r>
        <w:rPr>
          <w:rFonts w:ascii="Times New Roman" w:hAnsi="Times New Roman"/>
          <w:lang w:val="en-US"/>
        </w:rPr>
        <w:t>a)</w:t>
        <w:tab/>
        <w:t>nie je upravená v práve Európskej únie</w:t>
      </w:r>
    </w:p>
    <w:p w:rsidR="004403FA" w:rsidP="004403FA">
      <w:pPr>
        <w:bidi w:val="0"/>
        <w:ind w:left="360"/>
        <w:rPr>
          <w:rFonts w:ascii="Times New Roman" w:hAnsi="Times New Roman"/>
          <w:lang w:val="en-US"/>
        </w:rPr>
      </w:pPr>
    </w:p>
    <w:p w:rsidR="004403FA" w:rsidP="004403FA">
      <w:pPr>
        <w:bidi w:val="0"/>
        <w:ind w:firstLine="360"/>
        <w:rPr>
          <w:rFonts w:ascii="Times New Roman" w:hAnsi="Times New Roman"/>
          <w:lang w:val="en-US"/>
        </w:rPr>
      </w:pPr>
    </w:p>
    <w:p w:rsidR="004403FA" w:rsidP="004403FA">
      <w:pPr>
        <w:bidi w:val="0"/>
        <w:ind w:left="709" w:hanging="349"/>
        <w:rPr>
          <w:rFonts w:ascii="Times New Roman" w:hAnsi="Times New Roman"/>
          <w:lang w:val="en-US"/>
        </w:rPr>
      </w:pPr>
      <w:r>
        <w:rPr>
          <w:rFonts w:ascii="Times New Roman" w:hAnsi="Times New Roman"/>
          <w:lang w:val="en-US"/>
        </w:rPr>
        <w:t>b)</w:t>
        <w:tab/>
        <w:t>nie je obsiahnutá v judikatúre Súdneho dvora Európskej únie.</w:t>
      </w:r>
    </w:p>
    <w:p w:rsidR="004403FA" w:rsidP="004403FA">
      <w:pPr>
        <w:bidi w:val="0"/>
        <w:ind w:left="360"/>
        <w:rPr>
          <w:rFonts w:ascii="Times New Roman" w:hAnsi="Times New Roman"/>
          <w:lang w:val="en-US"/>
        </w:rPr>
      </w:pPr>
    </w:p>
    <w:p w:rsidR="004403FA" w:rsidP="004403FA">
      <w:pPr>
        <w:bidi w:val="0"/>
        <w:rPr>
          <w:rFonts w:ascii="Times New Roman" w:hAnsi="Times New Roman"/>
          <w:lang w:val="en-US"/>
        </w:rPr>
      </w:pPr>
    </w:p>
    <w:p w:rsidR="004403FA" w:rsidP="004403FA">
      <w:pPr>
        <w:bidi w:val="0"/>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4403FA" w:rsidP="004403FA">
      <w:pPr>
        <w:bidi w:val="0"/>
        <w:rPr>
          <w:rFonts w:ascii="Times New Roman" w:hAnsi="Times New Roman"/>
          <w:b/>
          <w:lang w:val="en-US"/>
        </w:rPr>
      </w:pPr>
    </w:p>
    <w:p w:rsidR="006D7DB2" w:rsidP="006D7DB2">
      <w:pPr>
        <w:pStyle w:val="NoSpacing"/>
        <w:bidi w:val="0"/>
        <w:ind w:left="284"/>
        <w:jc w:val="both"/>
        <w:rPr>
          <w:rFonts w:ascii="Times New Roman" w:hAnsi="Times New Roman"/>
        </w:rPr>
      </w:pPr>
    </w:p>
    <w:p w:rsidR="006D7DB2" w:rsidP="006D7DB2">
      <w:pPr>
        <w:pStyle w:val="NoSpacing"/>
        <w:bidi w:val="0"/>
        <w:ind w:left="284"/>
        <w:jc w:val="both"/>
        <w:rPr>
          <w:rFonts w:ascii="Times New Roman" w:hAnsi="Times New Roman"/>
        </w:rPr>
      </w:pPr>
    </w:p>
    <w:p w:rsidR="006D7DB2" w:rsidP="006D7DB2">
      <w:pPr>
        <w:pStyle w:val="NoSpacing"/>
        <w:bidi w:val="0"/>
        <w:ind w:firstLine="708"/>
        <w:jc w:val="both"/>
        <w:rPr>
          <w:rFonts w:ascii="Times New Roman" w:hAnsi="Times New Roman"/>
        </w:rPr>
      </w:pPr>
      <w:r>
        <w:rPr>
          <w:rFonts w:ascii="Times New Roman" w:hAnsi="Times New Roman"/>
        </w:rPr>
        <w:t>Materiál bol schválený na 173. rokovaní vlády Slovenskej republiky 26.08.2015</w:t>
      </w:r>
    </w:p>
    <w:p w:rsidR="006D7DB2" w:rsidP="006D7DB2">
      <w:pPr>
        <w:pStyle w:val="ListParagraph"/>
        <w:bidi w:val="0"/>
        <w:jc w:val="both"/>
        <w:rPr>
          <w:rFonts w:ascii="Times New Roman" w:hAnsi="Times New Roman"/>
          <w:sz w:val="24"/>
          <w:szCs w:val="24"/>
        </w:rPr>
      </w:pPr>
      <w:r>
        <w:rPr>
          <w:rFonts w:ascii="Times New Roman" w:hAnsi="Times New Roman"/>
          <w:sz w:val="24"/>
          <w:szCs w:val="24"/>
        </w:rPr>
        <w:br/>
      </w:r>
    </w:p>
    <w:p w:rsidR="006D7DB2" w:rsidP="006D7DB2">
      <w:pPr>
        <w:bidi w:val="0"/>
        <w:jc w:val="both"/>
        <w:rPr>
          <w:rFonts w:ascii="Times New Roman" w:hAnsi="Times New Roman"/>
        </w:rPr>
      </w:pPr>
      <w:r>
        <w:rPr>
          <w:rFonts w:ascii="Times New Roman" w:hAnsi="Times New Roman"/>
        </w:rPr>
        <w:t>V Bratislave 27. augusta 2015</w:t>
      </w:r>
    </w:p>
    <w:p w:rsidR="006D7DB2" w:rsidP="006D7DB2">
      <w:pPr>
        <w:bidi w:val="0"/>
        <w:jc w:val="both"/>
        <w:rPr>
          <w:rFonts w:ascii="Times New Roman" w:hAnsi="Times New Roman"/>
        </w:rPr>
      </w:pPr>
    </w:p>
    <w:p w:rsidR="006D7DB2" w:rsidP="006D7DB2">
      <w:pPr>
        <w:bidi w:val="0"/>
        <w:jc w:val="both"/>
        <w:rPr>
          <w:rFonts w:ascii="Times New Roman" w:hAnsi="Times New Roman"/>
        </w:rPr>
      </w:pPr>
    </w:p>
    <w:p w:rsidR="006D7DB2" w:rsidP="006D7DB2">
      <w:pPr>
        <w:bidi w:val="0"/>
        <w:jc w:val="both"/>
        <w:rPr>
          <w:rFonts w:ascii="Times New Roman" w:hAnsi="Times New Roman"/>
        </w:rPr>
      </w:pPr>
    </w:p>
    <w:p w:rsidR="006D7DB2" w:rsidP="006D7DB2">
      <w:pPr>
        <w:bidi w:val="0"/>
        <w:jc w:val="center"/>
        <w:rPr>
          <w:rFonts w:ascii="Times New Roman" w:hAnsi="Times New Roman"/>
        </w:rPr>
      </w:pPr>
      <w:r>
        <w:rPr>
          <w:rFonts w:ascii="Times New Roman" w:hAnsi="Times New Roman"/>
        </w:rPr>
        <w:t>Robert Fico</w:t>
      </w:r>
      <w:r w:rsidR="003D70D8">
        <w:rPr>
          <w:rFonts w:ascii="Times New Roman" w:hAnsi="Times New Roman"/>
        </w:rPr>
        <w:t xml:space="preserve">, </w:t>
      </w:r>
      <w:r>
        <w:rPr>
          <w:rFonts w:ascii="Times New Roman" w:hAnsi="Times New Roman"/>
        </w:rPr>
        <w:t>v.r.</w:t>
      </w:r>
    </w:p>
    <w:p w:rsidR="006D7DB2" w:rsidP="006D7DB2">
      <w:pPr>
        <w:bidi w:val="0"/>
        <w:jc w:val="center"/>
        <w:rPr>
          <w:rFonts w:ascii="Times New Roman" w:hAnsi="Times New Roman"/>
        </w:rPr>
      </w:pPr>
      <w:r>
        <w:rPr>
          <w:rFonts w:ascii="Times New Roman" w:hAnsi="Times New Roman"/>
        </w:rPr>
        <w:t>predseda vlády Slovenskej republiky</w:t>
      </w:r>
    </w:p>
    <w:p w:rsidR="006D7DB2" w:rsidP="006D7DB2">
      <w:pPr>
        <w:bidi w:val="0"/>
        <w:jc w:val="center"/>
        <w:rPr>
          <w:rFonts w:ascii="Times New Roman" w:hAnsi="Times New Roman"/>
        </w:rPr>
      </w:pPr>
    </w:p>
    <w:p w:rsidR="006D7DB2" w:rsidP="006D7DB2">
      <w:pPr>
        <w:bidi w:val="0"/>
        <w:jc w:val="center"/>
        <w:rPr>
          <w:rFonts w:ascii="Times New Roman" w:hAnsi="Times New Roman"/>
        </w:rPr>
      </w:pPr>
    </w:p>
    <w:p w:rsidR="006D7DB2" w:rsidP="006D7DB2">
      <w:pPr>
        <w:bidi w:val="0"/>
        <w:jc w:val="center"/>
        <w:rPr>
          <w:rFonts w:ascii="Times New Roman" w:hAnsi="Times New Roman"/>
        </w:rPr>
      </w:pPr>
    </w:p>
    <w:p w:rsidR="006D7DB2" w:rsidP="006D7DB2">
      <w:pPr>
        <w:bidi w:val="0"/>
        <w:jc w:val="center"/>
        <w:rPr>
          <w:rFonts w:ascii="Times New Roman" w:hAnsi="Times New Roman"/>
        </w:rPr>
      </w:pPr>
    </w:p>
    <w:p w:rsidR="006D7DB2" w:rsidP="006D7DB2">
      <w:pPr>
        <w:bidi w:val="0"/>
        <w:jc w:val="center"/>
        <w:rPr>
          <w:rFonts w:ascii="Times New Roman" w:hAnsi="Times New Roman"/>
        </w:rPr>
      </w:pPr>
      <w:r>
        <w:rPr>
          <w:rFonts w:ascii="Times New Roman" w:hAnsi="Times New Roman"/>
        </w:rPr>
        <w:t>Marek Maďarič</w:t>
      </w:r>
      <w:r w:rsidR="003D70D8">
        <w:rPr>
          <w:rFonts w:ascii="Times New Roman" w:hAnsi="Times New Roman"/>
        </w:rPr>
        <w:t xml:space="preserve">, </w:t>
      </w:r>
      <w:r>
        <w:rPr>
          <w:rFonts w:ascii="Times New Roman" w:hAnsi="Times New Roman"/>
        </w:rPr>
        <w:t>v.r.</w:t>
      </w:r>
    </w:p>
    <w:p w:rsidR="006D7DB2" w:rsidP="006D7DB2">
      <w:pPr>
        <w:bidi w:val="0"/>
        <w:jc w:val="center"/>
        <w:rPr>
          <w:rFonts w:ascii="Times New Roman" w:hAnsi="Times New Roman"/>
        </w:rPr>
      </w:pPr>
      <w:r>
        <w:rPr>
          <w:rFonts w:ascii="Times New Roman" w:hAnsi="Times New Roman"/>
        </w:rPr>
        <w:t>minister kultúry Slovenskej republiky</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AE" w:rsidP="006D7DB2">
      <w:pPr>
        <w:bidi w:val="0"/>
        <w:rPr>
          <w:rFonts w:ascii="Times New Roman" w:hAnsi="Times New Roman"/>
        </w:rPr>
      </w:pPr>
      <w:r>
        <w:rPr>
          <w:rFonts w:ascii="Times New Roman" w:hAnsi="Times New Roman"/>
        </w:rPr>
        <w:separator/>
      </w:r>
    </w:p>
  </w:footnote>
  <w:footnote w:type="continuationSeparator" w:id="1">
    <w:p w:rsidR="000172AE" w:rsidP="006D7DB2">
      <w:pPr>
        <w:bidi w:val="0"/>
        <w:rPr>
          <w:rFonts w:ascii="Times New Roman" w:hAnsi="Times New Roman"/>
        </w:rPr>
      </w:pPr>
      <w:r>
        <w:rPr>
          <w:rFonts w:ascii="Times New Roman" w:hAnsi="Times New Roman"/>
        </w:rPr>
        <w:continuationSeparator/>
      </w:r>
    </w:p>
  </w:footnote>
  <w:footnote w:id="2">
    <w:p w:rsidP="006D7DB2">
      <w:pPr>
        <w:pStyle w:val="FootnoteText"/>
        <w:bidi w:val="0"/>
      </w:pPr>
      <w:r w:rsidRPr="00351A23" w:rsidR="006D7DB2">
        <w:rPr>
          <w:rStyle w:val="FootnoteReference"/>
          <w:rFonts w:ascii="Times New Roman" w:hAnsi="Times New Roman"/>
        </w:rPr>
        <w:footnoteRef/>
      </w:r>
      <w:r w:rsidRPr="00351A23" w:rsidR="006D7DB2">
        <w:rPr>
          <w:rFonts w:ascii="Times New Roman" w:hAnsi="Times New Roman" w:hint="default"/>
        </w:rPr>
        <w:t>) Zá</w:t>
      </w:r>
      <w:r w:rsidRPr="00351A23" w:rsidR="006D7DB2">
        <w:rPr>
          <w:rFonts w:ascii="Times New Roman" w:hAnsi="Times New Roman" w:hint="default"/>
        </w:rPr>
        <w:t>kon č</w:t>
      </w:r>
      <w:r w:rsidRPr="00351A23" w:rsidR="006D7DB2">
        <w:rPr>
          <w:rFonts w:ascii="Times New Roman" w:hAnsi="Times New Roman" w:hint="default"/>
        </w:rPr>
        <w:t xml:space="preserve"> ....../2015 Z. z. Autorský</w:t>
      </w:r>
      <w:r w:rsidRPr="00351A23" w:rsidR="006D7DB2">
        <w:rPr>
          <w:rFonts w:ascii="Times New Roman" w:hAnsi="Times New Roman" w:hint="default"/>
        </w:rPr>
        <w:t xml:space="preserve"> zá</w:t>
      </w:r>
      <w:r w:rsidRPr="00351A23" w:rsidR="006D7DB2">
        <w:rPr>
          <w:rFonts w:ascii="Times New Roman" w:hAnsi="Times New Roman" w:hint="default"/>
        </w:rPr>
        <w:t>kon.</w:t>
      </w:r>
    </w:p>
  </w:footnote>
  <w:footnote w:id="3">
    <w:p w:rsidP="006D7DB2">
      <w:pPr>
        <w:pStyle w:val="FootnoteText"/>
        <w:bidi w:val="0"/>
        <w:ind w:left="284" w:hanging="284"/>
      </w:pPr>
      <w:r w:rsidRPr="00351A23" w:rsidR="006D7DB2">
        <w:rPr>
          <w:rFonts w:ascii="Times New Roman" w:hAnsi="Times New Roman"/>
        </w:rPr>
        <w:t>2</w:t>
      </w:r>
      <w:r w:rsidRPr="00351A23" w:rsidR="006D7DB2">
        <w:rPr>
          <w:rStyle w:val="FootnoteReference"/>
          <w:rFonts w:ascii="Times New Roman" w:hAnsi="Times New Roman"/>
          <w:color w:val="800080"/>
        </w:rPr>
        <w:t>)</w:t>
      </w:r>
      <w:r w:rsidRPr="00351A23" w:rsidR="006D7DB2">
        <w:rPr>
          <w:rFonts w:ascii="Times New Roman" w:hAnsi="Times New Roman"/>
          <w:color w:val="800080"/>
        </w:rPr>
        <w:t xml:space="preserve"> </w:t>
      </w:r>
      <w:r w:rsidRPr="00351A23" w:rsidR="006D7DB2">
        <w:rPr>
          <w:rFonts w:ascii="Times New Roman" w:hAnsi="Times New Roman" w:hint="default"/>
        </w:rPr>
        <w:t>Ozná</w:t>
      </w:r>
      <w:r w:rsidRPr="00351A23" w:rsidR="006D7DB2">
        <w:rPr>
          <w:rFonts w:ascii="Times New Roman" w:hAnsi="Times New Roman" w:hint="default"/>
        </w:rPr>
        <w:t>menie Ministerstva zahranič</w:t>
      </w:r>
      <w:r w:rsidRPr="00351A23" w:rsidR="006D7DB2">
        <w:rPr>
          <w:rFonts w:ascii="Times New Roman" w:hAnsi="Times New Roman" w:hint="default"/>
        </w:rPr>
        <w:t>ný</w:t>
      </w:r>
      <w:r w:rsidRPr="00351A23" w:rsidR="006D7DB2">
        <w:rPr>
          <w:rFonts w:ascii="Times New Roman" w:hAnsi="Times New Roman" w:hint="default"/>
        </w:rPr>
        <w:t>ch vecí</w:t>
      </w:r>
      <w:r w:rsidRPr="00351A23" w:rsidR="006D7DB2">
        <w:rPr>
          <w:rFonts w:ascii="Times New Roman" w:hAnsi="Times New Roman" w:hint="default"/>
        </w:rPr>
        <w:t xml:space="preserve"> SR č</w:t>
      </w:r>
      <w:r w:rsidRPr="00351A23" w:rsidR="006D7DB2">
        <w:rPr>
          <w:rFonts w:ascii="Times New Roman" w:hAnsi="Times New Roman" w:hint="default"/>
        </w:rPr>
        <w:t>. 68/2007 Z. z. o prijatí</w:t>
      </w:r>
      <w:r w:rsidRPr="00351A23" w:rsidR="006D7DB2">
        <w:rPr>
          <w:rFonts w:ascii="Times New Roman" w:hAnsi="Times New Roman" w:hint="default"/>
        </w:rPr>
        <w:t xml:space="preserve"> Dohovoru o ochrane a podpore   rozmanitosti kultú</w:t>
      </w:r>
      <w:r w:rsidRPr="00351A23" w:rsidR="006D7DB2">
        <w:rPr>
          <w:rFonts w:ascii="Times New Roman" w:hAnsi="Times New Roman" w:hint="default"/>
        </w:rPr>
        <w:t>rnych prejavov.</w:t>
      </w:r>
    </w:p>
  </w:footnote>
  <w:footnote w:id="4">
    <w:p w:rsidP="006D7DB2">
      <w:pPr>
        <w:pStyle w:val="FootnoteText"/>
        <w:bidi w:val="0"/>
        <w:ind w:left="284" w:hanging="284"/>
      </w:pPr>
      <w:r w:rsidRPr="00351A23" w:rsidR="006D7DB2">
        <w:rPr>
          <w:rStyle w:val="FootnoteReference"/>
          <w:rFonts w:ascii="Times New Roman" w:hAnsi="Times New Roman"/>
        </w:rPr>
        <w:footnoteRef/>
      </w:r>
      <w:r w:rsidRPr="00351A23" w:rsidR="006D7DB2">
        <w:rPr>
          <w:rFonts w:ascii="Times New Roman" w:hAnsi="Times New Roman" w:hint="default"/>
        </w:rPr>
        <w:t>) Preambula, č</w:t>
      </w:r>
      <w:r w:rsidRPr="00351A23" w:rsidR="006D7DB2">
        <w:rPr>
          <w:rFonts w:ascii="Times New Roman" w:hAnsi="Times New Roman" w:hint="default"/>
        </w:rPr>
        <w:t>l. 4 ods. 4,  Č</w:t>
      </w:r>
      <w:r w:rsidRPr="00351A23" w:rsidR="006D7DB2">
        <w:rPr>
          <w:rFonts w:ascii="Times New Roman" w:hAnsi="Times New Roman" w:hint="default"/>
        </w:rPr>
        <w:t>l. 6 ods. 1 a </w:t>
      </w:r>
      <w:r w:rsidRPr="00351A23" w:rsidR="006D7DB2">
        <w:rPr>
          <w:rFonts w:ascii="Times New Roman" w:hAnsi="Times New Roman" w:hint="default"/>
        </w:rPr>
        <w:t>2 pí</w:t>
      </w:r>
      <w:r w:rsidRPr="00351A23" w:rsidR="006D7DB2">
        <w:rPr>
          <w:rFonts w:ascii="Times New Roman" w:hAnsi="Times New Roman" w:hint="default"/>
        </w:rPr>
        <w:t>sm. d),</w:t>
      </w:r>
      <w:r w:rsidRPr="00351A23" w:rsidR="006D7DB2">
        <w:rPr>
          <w:rFonts w:ascii="Times New Roman" w:hAnsi="Times New Roman"/>
          <w:sz w:val="24"/>
          <w:szCs w:val="24"/>
        </w:rPr>
        <w:t xml:space="preserve"> </w:t>
      </w:r>
      <w:r w:rsidRPr="00351A23" w:rsidR="006D7DB2">
        <w:rPr>
          <w:rFonts w:ascii="Times New Roman" w:hAnsi="Times New Roman" w:hint="default"/>
        </w:rPr>
        <w:t xml:space="preserve"> Dohovoru o ochrane a podpore rozmanitosti kultú</w:t>
      </w:r>
      <w:r w:rsidRPr="00351A23" w:rsidR="006D7DB2">
        <w:rPr>
          <w:rFonts w:ascii="Times New Roman" w:hAnsi="Times New Roman" w:hint="default"/>
        </w:rPr>
        <w:t>rnych prejavov</w:t>
      </w:r>
      <w:r w:rsidRPr="002526C9" w:rsidR="006D7DB2">
        <w:rPr>
          <w:rFonts w:ascii="Times New Roman" w:hAnsi="Times New Roman"/>
        </w:rPr>
        <w:t>.</w:t>
      </w:r>
    </w:p>
  </w:footnote>
  <w:footnote w:id="5">
    <w:p w:rsidP="006D7DB2">
      <w:pPr>
        <w:pStyle w:val="FootnoteText"/>
        <w:bidi w:val="0"/>
      </w:pPr>
      <w:r w:rsidRPr="004204F2" w:rsidR="006D7DB2">
        <w:rPr>
          <w:rStyle w:val="FootnoteReference"/>
          <w:rFonts w:ascii="Times New Roman" w:hAnsi="Times New Roman"/>
          <w:sz w:val="24"/>
          <w:szCs w:val="24"/>
        </w:rPr>
        <w:footnoteRef/>
      </w:r>
      <w:r w:rsidR="006D7DB2">
        <w:rPr>
          <w:rFonts w:ascii="Times New Roman" w:hAnsi="Times New Roman"/>
          <w:sz w:val="24"/>
          <w:szCs w:val="24"/>
        </w:rPr>
        <w:t xml:space="preserve">  </w:t>
      </w:r>
      <w:r w:rsidRPr="004204F2" w:rsidR="006D7DB2">
        <w:rPr>
          <w:rFonts w:ascii="Times New Roman" w:hAnsi="Times New Roman" w:hint="default"/>
          <w:sz w:val="24"/>
          <w:szCs w:val="24"/>
        </w:rPr>
        <w:t>§</w:t>
      </w:r>
      <w:r w:rsidRPr="004204F2" w:rsidR="006D7DB2">
        <w:rPr>
          <w:rFonts w:ascii="Times New Roman" w:hAnsi="Times New Roman" w:hint="default"/>
          <w:sz w:val="24"/>
          <w:szCs w:val="24"/>
        </w:rPr>
        <w:t xml:space="preserve"> 2 Obchodné</w:t>
      </w:r>
      <w:r w:rsidRPr="004204F2" w:rsidR="006D7DB2">
        <w:rPr>
          <w:rFonts w:ascii="Times New Roman" w:hAnsi="Times New Roman" w:hint="default"/>
          <w:sz w:val="24"/>
          <w:szCs w:val="24"/>
        </w:rPr>
        <w:t>ho  zá</w:t>
      </w:r>
      <w:r w:rsidRPr="004204F2" w:rsidR="006D7DB2">
        <w:rPr>
          <w:rFonts w:ascii="Times New Roman" w:hAnsi="Times New Roman" w:hint="default"/>
          <w:sz w:val="24"/>
          <w:szCs w:val="24"/>
        </w:rPr>
        <w:t>konní</w:t>
      </w:r>
      <w:r w:rsidRPr="004204F2" w:rsidR="006D7DB2">
        <w:rPr>
          <w:rFonts w:ascii="Times New Roman" w:hAnsi="Times New Roman" w:hint="default"/>
          <w:sz w:val="24"/>
          <w:szCs w:val="24"/>
        </w:rPr>
        <w:t>ka.</w:t>
      </w:r>
    </w:p>
  </w:footnote>
  <w:footnote w:id="6">
    <w:p w:rsidR="006D7DB2" w:rsidRPr="004204F2" w:rsidP="006D7DB2">
      <w:pPr>
        <w:pStyle w:val="FootnoteText"/>
        <w:bidi w:val="0"/>
        <w:ind w:left="284" w:hanging="284"/>
        <w:jc w:val="both"/>
        <w:rPr>
          <w:rFonts w:ascii="Times New Roman" w:hAnsi="Times New Roman" w:hint="default"/>
          <w:sz w:val="24"/>
          <w:szCs w:val="24"/>
        </w:rPr>
      </w:pPr>
      <w:r w:rsidRPr="004204F2">
        <w:rPr>
          <w:rStyle w:val="FootnoteReference"/>
          <w:rFonts w:ascii="Times New Roman" w:hAnsi="Times New Roman"/>
          <w:sz w:val="24"/>
          <w:szCs w:val="24"/>
        </w:rPr>
        <w:footnoteRef/>
      </w:r>
      <w:r w:rsidRPr="004204F2">
        <w:rPr>
          <w:rFonts w:ascii="Times New Roman" w:hAnsi="Times New Roman" w:hint="default"/>
          <w:sz w:val="24"/>
          <w:szCs w:val="24"/>
        </w:rPr>
        <w:t>)  Č</w:t>
      </w:r>
      <w:r w:rsidRPr="004204F2">
        <w:rPr>
          <w:rFonts w:ascii="Times New Roman" w:hAnsi="Times New Roman" w:hint="default"/>
          <w:sz w:val="24"/>
          <w:szCs w:val="24"/>
        </w:rPr>
        <w:t>l. 6 ods. 1 a </w:t>
      </w:r>
      <w:r w:rsidRPr="004204F2">
        <w:rPr>
          <w:rFonts w:ascii="Times New Roman" w:hAnsi="Times New Roman" w:hint="default"/>
          <w:sz w:val="24"/>
          <w:szCs w:val="24"/>
        </w:rPr>
        <w:t>2 pí</w:t>
      </w:r>
      <w:r w:rsidRPr="004204F2">
        <w:rPr>
          <w:rFonts w:ascii="Times New Roman" w:hAnsi="Times New Roman" w:hint="default"/>
          <w:sz w:val="24"/>
          <w:szCs w:val="24"/>
        </w:rPr>
        <w:t>sm. d) a g) Dohovoru o ochrane a podpore rozmanitosti kultú</w:t>
      </w:r>
      <w:r w:rsidRPr="004204F2">
        <w:rPr>
          <w:rFonts w:ascii="Times New Roman" w:hAnsi="Times New Roman" w:hint="default"/>
          <w:sz w:val="24"/>
          <w:szCs w:val="24"/>
        </w:rPr>
        <w:t>rnych prejavov.</w:t>
      </w:r>
    </w:p>
    <w:p w:rsidP="006D7DB2">
      <w:pPr>
        <w:pStyle w:val="FootnoteText"/>
        <w:bidi w:val="0"/>
        <w:ind w:left="284" w:hanging="28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36E"/>
    <w:multiLevelType w:val="hybridMultilevel"/>
    <w:tmpl w:val="25103CFE"/>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EA5FCB"/>
    <w:multiLevelType w:val="hybridMultilevel"/>
    <w:tmpl w:val="5FCEBE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39C158E"/>
    <w:multiLevelType w:val="hybridMultilevel"/>
    <w:tmpl w:val="3D8226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6D7DB2"/>
    <w:rsid w:val="000172AE"/>
    <w:rsid w:val="00020F5A"/>
    <w:rsid w:val="000A0BA3"/>
    <w:rsid w:val="00157D07"/>
    <w:rsid w:val="001D083A"/>
    <w:rsid w:val="002526C9"/>
    <w:rsid w:val="002C0D7E"/>
    <w:rsid w:val="003302CC"/>
    <w:rsid w:val="0034005D"/>
    <w:rsid w:val="00344498"/>
    <w:rsid w:val="00351A23"/>
    <w:rsid w:val="00381DEA"/>
    <w:rsid w:val="003A7439"/>
    <w:rsid w:val="003B62B8"/>
    <w:rsid w:val="003D70D8"/>
    <w:rsid w:val="004161A1"/>
    <w:rsid w:val="004204F2"/>
    <w:rsid w:val="004403FA"/>
    <w:rsid w:val="004B0993"/>
    <w:rsid w:val="004C0240"/>
    <w:rsid w:val="004E702D"/>
    <w:rsid w:val="005346E7"/>
    <w:rsid w:val="00536F9C"/>
    <w:rsid w:val="00541BD0"/>
    <w:rsid w:val="0054223E"/>
    <w:rsid w:val="00543E13"/>
    <w:rsid w:val="005B00AA"/>
    <w:rsid w:val="005D6847"/>
    <w:rsid w:val="00600BDC"/>
    <w:rsid w:val="00624B7E"/>
    <w:rsid w:val="006349AA"/>
    <w:rsid w:val="00680404"/>
    <w:rsid w:val="006818EB"/>
    <w:rsid w:val="006C121A"/>
    <w:rsid w:val="006D7DB2"/>
    <w:rsid w:val="0071709B"/>
    <w:rsid w:val="00717ACE"/>
    <w:rsid w:val="00740336"/>
    <w:rsid w:val="007817D3"/>
    <w:rsid w:val="00812F6A"/>
    <w:rsid w:val="00891EDA"/>
    <w:rsid w:val="009002C5"/>
    <w:rsid w:val="009B2EE2"/>
    <w:rsid w:val="009D041F"/>
    <w:rsid w:val="00A1013C"/>
    <w:rsid w:val="00A40E6C"/>
    <w:rsid w:val="00A64D2D"/>
    <w:rsid w:val="00BF16DF"/>
    <w:rsid w:val="00C23507"/>
    <w:rsid w:val="00C95DEF"/>
    <w:rsid w:val="00CE6CBA"/>
    <w:rsid w:val="00D654F4"/>
    <w:rsid w:val="00E34980"/>
    <w:rsid w:val="00E5151C"/>
    <w:rsid w:val="00EC648C"/>
    <w:rsid w:val="00EE27D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B2"/>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6D7DB2"/>
    <w:rPr>
      <w:rFonts w:ascii="Times New Roman" w:hAnsi="Times New Roman" w:cs="Times New Roman"/>
      <w:color w:val="808080"/>
      <w:rtl w:val="0"/>
      <w:cs w:val="0"/>
    </w:rPr>
  </w:style>
  <w:style w:type="paragraph" w:styleId="NoSpacing">
    <w:name w:val="No Spacing"/>
    <w:uiPriority w:val="99"/>
    <w:qFormat/>
    <w:rsid w:val="006D7DB2"/>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ListParagraph">
    <w:name w:val="List Paragraph"/>
    <w:basedOn w:val="Normal"/>
    <w:uiPriority w:val="99"/>
    <w:qFormat/>
    <w:rsid w:val="006D7DB2"/>
    <w:pPr>
      <w:widowControl/>
      <w:adjustRightInd/>
      <w:spacing w:after="200" w:line="276" w:lineRule="auto"/>
      <w:ind w:left="720"/>
      <w:contextualSpacing/>
      <w:jc w:val="left"/>
    </w:pPr>
    <w:rPr>
      <w:rFonts w:ascii="Calibri" w:hAnsi="Calibri"/>
      <w:sz w:val="22"/>
      <w:szCs w:val="22"/>
      <w:lang w:eastAsia="en-US"/>
    </w:rPr>
  </w:style>
  <w:style w:type="paragraph" w:styleId="FootnoteText">
    <w:name w:val="footnote text"/>
    <w:basedOn w:val="Normal"/>
    <w:link w:val="FootnoteTextChar"/>
    <w:uiPriority w:val="99"/>
    <w:unhideWhenUsed/>
    <w:rsid w:val="006D7DB2"/>
    <w:pPr>
      <w:widowControl/>
      <w:adjustRightInd/>
      <w:jc w:val="left"/>
    </w:pPr>
    <w:rPr>
      <w:rFonts w:ascii="Calibri" w:eastAsia="MS Mincho" w:hAnsi="Calibri"/>
      <w:sz w:val="20"/>
      <w:szCs w:val="20"/>
    </w:rPr>
  </w:style>
  <w:style w:type="character" w:customStyle="1" w:styleId="FootnoteTextChar">
    <w:name w:val="Footnote Text Char"/>
    <w:basedOn w:val="DefaultParagraphFont"/>
    <w:link w:val="FootnoteText"/>
    <w:uiPriority w:val="99"/>
    <w:locked/>
    <w:rsid w:val="006D7DB2"/>
    <w:rPr>
      <w:rFonts w:ascii="Calibri" w:eastAsia="MS Mincho" w:hAnsi="Calibri" w:cs="Times New Roman"/>
      <w:sz w:val="20"/>
      <w:szCs w:val="20"/>
      <w:rtl w:val="0"/>
      <w:cs w:val="0"/>
      <w:lang w:val="x-none" w:eastAsia="sk-SK"/>
    </w:rPr>
  </w:style>
  <w:style w:type="character" w:styleId="FootnoteReference">
    <w:name w:val="footnote reference"/>
    <w:basedOn w:val="DefaultParagraphFont"/>
    <w:uiPriority w:val="99"/>
    <w:semiHidden/>
    <w:unhideWhenUsed/>
    <w:rsid w:val="006D7DB2"/>
    <w:rPr>
      <w:rFonts w:cs="Times New Roman"/>
      <w:vertAlign w:val="superscript"/>
      <w:rtl w:val="0"/>
      <w:cs w:val="0"/>
    </w:rPr>
  </w:style>
  <w:style w:type="paragraph" w:styleId="BodyText2">
    <w:name w:val="Body Text 2"/>
    <w:basedOn w:val="Normal"/>
    <w:link w:val="BodyText2Char"/>
    <w:uiPriority w:val="99"/>
    <w:rsid w:val="006D7DB2"/>
    <w:pPr>
      <w:widowControl/>
      <w:adjustRightInd/>
      <w:spacing w:after="120" w:line="480" w:lineRule="auto"/>
      <w:jc w:val="left"/>
    </w:pPr>
  </w:style>
  <w:style w:type="character" w:customStyle="1" w:styleId="BodyText2Char">
    <w:name w:val="Body Text 2 Char"/>
    <w:basedOn w:val="DefaultParagraphFont"/>
    <w:link w:val="BodyText2"/>
    <w:uiPriority w:val="99"/>
    <w:locked/>
    <w:rsid w:val="006D7DB2"/>
    <w:rPr>
      <w:rFonts w:ascii="Times New Roman" w:hAnsi="Times New Roman" w:cs="Times New Roman"/>
      <w:sz w:val="24"/>
      <w:szCs w:val="24"/>
      <w:rtl w:val="0"/>
      <w:cs w:val="0"/>
      <w:lang w:val="x-none" w:eastAsia="sk-SK"/>
    </w:rPr>
  </w:style>
  <w:style w:type="paragraph" w:styleId="NormalWeb">
    <w:name w:val="Normal (Web)"/>
    <w:basedOn w:val="Normal"/>
    <w:uiPriority w:val="99"/>
    <w:rsid w:val="006D7DB2"/>
    <w:pPr>
      <w:widowControl/>
      <w:adjustRightInd/>
      <w:spacing w:before="100" w:beforeAutospacing="1" w:after="100" w:afterAutospacing="1"/>
      <w:jc w:val="left"/>
    </w:pPr>
  </w:style>
  <w:style w:type="paragraph" w:styleId="BodyText3">
    <w:name w:val="Body Text 3"/>
    <w:basedOn w:val="Normal"/>
    <w:link w:val="BodyText3Char"/>
    <w:uiPriority w:val="99"/>
    <w:semiHidden/>
    <w:unhideWhenUsed/>
    <w:rsid w:val="006D7DB2"/>
    <w:pPr>
      <w:spacing w:after="120"/>
      <w:jc w:val="left"/>
    </w:pPr>
    <w:rPr>
      <w:sz w:val="16"/>
      <w:szCs w:val="16"/>
    </w:rPr>
  </w:style>
  <w:style w:type="character" w:customStyle="1" w:styleId="BodyText3Char">
    <w:name w:val="Body Text 3 Char"/>
    <w:basedOn w:val="DefaultParagraphFont"/>
    <w:link w:val="BodyText3"/>
    <w:uiPriority w:val="99"/>
    <w:semiHidden/>
    <w:locked/>
    <w:rsid w:val="006D7DB2"/>
    <w:rPr>
      <w:rFonts w:ascii="Times New Roman" w:hAnsi="Times New Roman" w:cs="Times New Roman"/>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4683</Words>
  <Characters>26696</Characters>
  <Application>Microsoft Office Word</Application>
  <DocSecurity>0</DocSecurity>
  <Lines>0</Lines>
  <Paragraphs>0</Paragraphs>
  <ScaleCrop>false</ScaleCrop>
  <Company>Hewlett-Packard Company</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Turčanová Zlata</dc:creator>
  <cp:lastModifiedBy>Gašparíková, Jarmila</cp:lastModifiedBy>
  <cp:revision>2</cp:revision>
  <cp:lastPrinted>2015-08-31T11:58:00Z</cp:lastPrinted>
  <dcterms:created xsi:type="dcterms:W3CDTF">2015-09-02T10:04:00Z</dcterms:created>
  <dcterms:modified xsi:type="dcterms:W3CDTF">2015-09-02T10:04:00Z</dcterms:modified>
</cp:coreProperties>
</file>