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81591D" w:rsidP="0048564D">
      <w:pPr>
        <w:tabs>
          <w:tab w:val="left" w:pos="2085"/>
        </w:tabs>
        <w:bidi w:val="0"/>
        <w:rPr>
          <w:b/>
        </w:rPr>
      </w:pPr>
    </w:p>
    <w:p w:rsidR="0081591D" w:rsidRPr="00AC73A6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AC73A6" w:rsidP="00721405">
      <w:pPr>
        <w:bidi w:val="0"/>
        <w:ind w:firstLine="708"/>
        <w:jc w:val="both"/>
        <w:rPr>
          <w:rFonts w:cs="Times New Roman"/>
          <w:bCs/>
        </w:rPr>
      </w:pPr>
      <w:r w:rsidR="00721405">
        <w:rPr>
          <w:rFonts w:cs="Times New Roman" w:hint="default"/>
          <w:bCs/>
        </w:rPr>
        <w:t>Predkladaný</w:t>
      </w:r>
      <w:r w:rsidR="00721405">
        <w:rPr>
          <w:rFonts w:cs="Times New Roman" w:hint="default"/>
          <w:bCs/>
        </w:rPr>
        <w:t xml:space="preserve"> ná</w:t>
      </w:r>
      <w:r w:rsidR="00721405">
        <w:rPr>
          <w:rFonts w:cs="Times New Roman" w:hint="default"/>
          <w:bCs/>
        </w:rPr>
        <w:t>vrh zá</w:t>
      </w:r>
      <w:r w:rsidR="00721405">
        <w:rPr>
          <w:rFonts w:cs="Times New Roman" w:hint="default"/>
          <w:bCs/>
        </w:rPr>
        <w:t>kona,</w:t>
      </w:r>
      <w:r w:rsidRPr="00721405" w:rsidR="0048564D">
        <w:rPr>
          <w:rFonts w:cs="Times New Roman"/>
          <w:bCs/>
        </w:rPr>
        <w:t xml:space="preserve"> </w:t>
      </w:r>
      <w:r w:rsidRPr="00721405" w:rsidR="00721405">
        <w:rPr>
          <w:rFonts w:cs="Times New Roman" w:hint="default"/>
        </w:rPr>
        <w:t>ktorý</w:t>
      </w:r>
      <w:r w:rsidRPr="00721405" w:rsidR="00721405">
        <w:rPr>
          <w:rFonts w:cs="Times New Roman" w:hint="default"/>
        </w:rPr>
        <w:t>m sa mení</w:t>
      </w:r>
      <w:r w:rsidRPr="00721405" w:rsidR="00721405">
        <w:rPr>
          <w:rFonts w:cs="Times New Roman" w:hint="default"/>
        </w:rPr>
        <w:t xml:space="preserve"> a dopĺň</w:t>
      </w:r>
      <w:r w:rsidRPr="00721405" w:rsidR="00721405">
        <w:rPr>
          <w:rFonts w:cs="Times New Roman" w:hint="default"/>
        </w:rPr>
        <w:t>a zá</w:t>
      </w:r>
      <w:r w:rsidRPr="00721405" w:rsidR="00721405">
        <w:rPr>
          <w:rFonts w:cs="Times New Roman" w:hint="default"/>
        </w:rPr>
        <w:t>kon č</w:t>
      </w:r>
      <w:r w:rsidRPr="00721405" w:rsidR="00721405">
        <w:rPr>
          <w:rFonts w:cs="Times New Roman" w:hint="default"/>
        </w:rPr>
        <w:t xml:space="preserve">. 417/2013 Z. z. </w:t>
      </w:r>
      <w:r w:rsidRPr="00721405" w:rsidR="00721405">
        <w:rPr>
          <w:rFonts w:eastAsia="Times New Roman" w:cs="Times New Roman"/>
          <w:color w:val="000000"/>
          <w:lang w:eastAsia="cs-CZ"/>
        </w:rPr>
        <w:t xml:space="preserve">o pomoci v hmotnej núdzi a o zmene a doplnení niektorých zákonov </w:t>
      </w:r>
      <w:r w:rsidRPr="00721405" w:rsidR="00721405">
        <w:rPr>
          <w:rFonts w:cs="Times New Roman"/>
        </w:rPr>
        <w:t>v </w:t>
      </w:r>
      <w:r w:rsidRPr="00721405" w:rsidR="00721405">
        <w:rPr>
          <w:rFonts w:cs="Times New Roman" w:hint="default"/>
        </w:rPr>
        <w:t>znení</w:t>
      </w:r>
      <w:r w:rsidRPr="00721405" w:rsidR="00721405">
        <w:rPr>
          <w:rFonts w:cs="Times New Roman" w:hint="default"/>
        </w:rPr>
        <w:t xml:space="preserve"> neskorší</w:t>
      </w:r>
      <w:r w:rsidRPr="00721405" w:rsidR="00721405">
        <w:rPr>
          <w:rFonts w:cs="Times New Roman" w:hint="default"/>
        </w:rPr>
        <w:t>ch predpisov</w:t>
      </w:r>
      <w:r w:rsidRPr="00721405" w:rsidR="00721405">
        <w:rPr>
          <w:rFonts w:eastAsia="Times New Roman" w:cs="Times New Roman"/>
          <w:color w:val="000000"/>
          <w:lang w:eastAsia="cs-CZ"/>
        </w:rPr>
        <w:t xml:space="preserve"> </w:t>
      </w:r>
      <w:r w:rsidRPr="00721405" w:rsidR="0048564D">
        <w:rPr>
          <w:rFonts w:cs="Times New Roman"/>
          <w:bCs/>
        </w:rPr>
        <w:t>je</w:t>
      </w:r>
      <w:r w:rsidR="00721405">
        <w:rPr>
          <w:rFonts w:cs="Times New Roman" w:hint="default"/>
          <w:bCs/>
        </w:rPr>
        <w:t xml:space="preserve"> predovš</w:t>
      </w:r>
      <w:r w:rsidR="00721405">
        <w:rPr>
          <w:rFonts w:cs="Times New Roman" w:hint="default"/>
          <w:bCs/>
        </w:rPr>
        <w:t>etký</w:t>
      </w:r>
      <w:r w:rsidR="00721405">
        <w:rPr>
          <w:rFonts w:cs="Times New Roman" w:hint="default"/>
          <w:bCs/>
        </w:rPr>
        <w:t>m snahou o </w:t>
      </w:r>
      <w:r w:rsidR="00721405">
        <w:rPr>
          <w:rFonts w:cs="Times New Roman" w:hint="default"/>
          <w:bCs/>
        </w:rPr>
        <w:t>č</w:t>
      </w:r>
      <w:r w:rsidR="00721405">
        <w:rPr>
          <w:rFonts w:cs="Times New Roman" w:hint="default"/>
          <w:bCs/>
        </w:rPr>
        <w:t>iastoč</w:t>
      </w:r>
      <w:r w:rsidR="00721405">
        <w:rPr>
          <w:rFonts w:cs="Times New Roman" w:hint="default"/>
          <w:bCs/>
        </w:rPr>
        <w:t>né</w:t>
      </w:r>
      <w:r w:rsidR="00721405">
        <w:rPr>
          <w:rFonts w:cs="Times New Roman" w:hint="default"/>
          <w:bCs/>
        </w:rPr>
        <w:t xml:space="preserve"> rieš</w:t>
      </w:r>
      <w:r w:rsidR="00721405">
        <w:rPr>
          <w:rFonts w:cs="Times New Roman" w:hint="default"/>
          <w:bCs/>
        </w:rPr>
        <w:t>enie neudrž</w:t>
      </w:r>
      <w:r w:rsidR="00721405">
        <w:rPr>
          <w:rFonts w:cs="Times New Roman" w:hint="default"/>
          <w:bCs/>
        </w:rPr>
        <w:t>at</w:t>
      </w:r>
      <w:r w:rsidR="00721405">
        <w:rPr>
          <w:rFonts w:cs="Times New Roman" w:hint="default"/>
          <w:bCs/>
        </w:rPr>
        <w:t>eľ</w:t>
      </w:r>
      <w:r w:rsidR="00721405">
        <w:rPr>
          <w:rFonts w:cs="Times New Roman" w:hint="default"/>
          <w:bCs/>
        </w:rPr>
        <w:t>nej situá</w:t>
      </w:r>
      <w:r w:rsidR="00721405">
        <w:rPr>
          <w:rFonts w:cs="Times New Roman" w:hint="default"/>
          <w:bCs/>
        </w:rPr>
        <w:t>cie v </w:t>
      </w:r>
      <w:r w:rsidR="00721405">
        <w:rPr>
          <w:rFonts w:cs="Times New Roman" w:hint="default"/>
          <w:bCs/>
        </w:rPr>
        <w:t>sociá</w:t>
      </w:r>
      <w:r w:rsidR="00721405">
        <w:rPr>
          <w:rFonts w:cs="Times New Roman" w:hint="default"/>
          <w:bCs/>
        </w:rPr>
        <w:t>lne vylúč</w:t>
      </w:r>
      <w:r w:rsidR="00721405">
        <w:rPr>
          <w:rFonts w:cs="Times New Roman" w:hint="default"/>
          <w:bCs/>
        </w:rPr>
        <w:t>ený</w:t>
      </w:r>
      <w:r w:rsidR="00721405">
        <w:rPr>
          <w:rFonts w:cs="Times New Roman" w:hint="default"/>
          <w:bCs/>
        </w:rPr>
        <w:t>ch spoloč</w:t>
      </w:r>
      <w:r w:rsidR="00721405">
        <w:rPr>
          <w:rFonts w:cs="Times New Roman" w:hint="default"/>
          <w:bCs/>
        </w:rPr>
        <w:t>enstvá</w:t>
      </w:r>
      <w:r w:rsidR="00721405">
        <w:rPr>
          <w:rFonts w:cs="Times New Roman" w:hint="default"/>
          <w:bCs/>
        </w:rPr>
        <w:t xml:space="preserve">ch </w:t>
      </w:r>
      <w:r w:rsidR="002E31A9">
        <w:rPr>
          <w:rFonts w:cs="Times New Roman"/>
          <w:bCs/>
        </w:rPr>
        <w:t>a </w:t>
      </w:r>
      <w:r w:rsidR="002E31A9">
        <w:rPr>
          <w:rFonts w:cs="Times New Roman" w:hint="default"/>
          <w:bCs/>
        </w:rPr>
        <w:t>sociá</w:t>
      </w:r>
      <w:r w:rsidR="002E31A9">
        <w:rPr>
          <w:rFonts w:cs="Times New Roman" w:hint="default"/>
          <w:bCs/>
        </w:rPr>
        <w:t>lne neprispô</w:t>
      </w:r>
      <w:r w:rsidR="002E31A9">
        <w:rPr>
          <w:rFonts w:cs="Times New Roman" w:hint="default"/>
          <w:bCs/>
        </w:rPr>
        <w:t>sobivý</w:t>
      </w:r>
      <w:r w:rsidR="002E31A9">
        <w:rPr>
          <w:rFonts w:cs="Times New Roman" w:hint="default"/>
          <w:bCs/>
        </w:rPr>
        <w:t>ch obč</w:t>
      </w:r>
      <w:r w:rsidR="002E31A9">
        <w:rPr>
          <w:rFonts w:cs="Times New Roman" w:hint="default"/>
          <w:bCs/>
        </w:rPr>
        <w:t xml:space="preserve">anov </w:t>
      </w:r>
      <w:r w:rsidR="00721405">
        <w:rPr>
          <w:rFonts w:cs="Times New Roman" w:hint="default"/>
          <w:bCs/>
        </w:rPr>
        <w:t>–</w:t>
      </w:r>
      <w:r w:rsidR="00721405">
        <w:rPr>
          <w:rFonts w:cs="Times New Roman" w:hint="default"/>
          <w:bCs/>
        </w:rPr>
        <w:t xml:space="preserve"> </w:t>
      </w:r>
      <w:r w:rsidR="002E31A9">
        <w:rPr>
          <w:rFonts w:cs="Times New Roman" w:hint="default"/>
          <w:bCs/>
        </w:rPr>
        <w:t>ktorí</w:t>
      </w:r>
      <w:r w:rsidR="002E31A9">
        <w:rPr>
          <w:rFonts w:cs="Times New Roman" w:hint="default"/>
          <w:bCs/>
        </w:rPr>
        <w:t xml:space="preserve"> sú</w:t>
      </w:r>
      <w:r w:rsidR="002E31A9">
        <w:rPr>
          <w:rFonts w:cs="Times New Roman" w:hint="default"/>
          <w:bCs/>
        </w:rPr>
        <w:t xml:space="preserve"> č</w:t>
      </w:r>
      <w:r w:rsidR="002E31A9">
        <w:rPr>
          <w:rFonts w:cs="Times New Roman" w:hint="default"/>
          <w:bCs/>
        </w:rPr>
        <w:t>asto</w:t>
      </w:r>
      <w:r w:rsidR="00721405">
        <w:rPr>
          <w:rFonts w:cs="Times New Roman"/>
          <w:bCs/>
        </w:rPr>
        <w:t xml:space="preserve"> </w:t>
      </w:r>
      <w:r w:rsidR="002E31A9">
        <w:rPr>
          <w:rFonts w:cs="Times New Roman" w:hint="default"/>
          <w:bCs/>
        </w:rPr>
        <w:t>reá</w:t>
      </w:r>
      <w:r w:rsidR="002E31A9">
        <w:rPr>
          <w:rFonts w:cs="Times New Roman" w:hint="default"/>
          <w:bCs/>
        </w:rPr>
        <w:t>lne nepostihnuteľ</w:t>
      </w:r>
      <w:r w:rsidR="002E31A9">
        <w:rPr>
          <w:rFonts w:cs="Times New Roman" w:hint="default"/>
          <w:bCs/>
        </w:rPr>
        <w:t>ní</w:t>
      </w:r>
      <w:r w:rsidR="00721405">
        <w:rPr>
          <w:rFonts w:cs="Times New Roman"/>
          <w:bCs/>
        </w:rPr>
        <w:t xml:space="preserve"> za priestupok a s </w:t>
      </w:r>
      <w:r w:rsidR="00721405">
        <w:rPr>
          <w:rFonts w:cs="Times New Roman" w:hint="default"/>
          <w:bCs/>
        </w:rPr>
        <w:t>tý</w:t>
      </w:r>
      <w:r w:rsidR="00721405">
        <w:rPr>
          <w:rFonts w:cs="Times New Roman" w:hint="default"/>
          <w:bCs/>
        </w:rPr>
        <w:t xml:space="preserve">mto </w:t>
      </w:r>
      <w:r w:rsidR="002E31A9">
        <w:rPr>
          <w:rFonts w:cs="Times New Roman" w:hint="default"/>
          <w:bCs/>
        </w:rPr>
        <w:t>vedomí</w:t>
      </w:r>
      <w:r w:rsidR="002E31A9">
        <w:rPr>
          <w:rFonts w:cs="Times New Roman" w:hint="default"/>
          <w:bCs/>
        </w:rPr>
        <w:t xml:space="preserve">m </w:t>
      </w:r>
      <w:r w:rsidR="00721405">
        <w:rPr>
          <w:rFonts w:cs="Times New Roman" w:hint="default"/>
          <w:bCs/>
        </w:rPr>
        <w:t>pá</w:t>
      </w:r>
      <w:r w:rsidR="00721405">
        <w:rPr>
          <w:rFonts w:cs="Times New Roman" w:hint="default"/>
          <w:bCs/>
        </w:rPr>
        <w:t>chajú</w:t>
      </w:r>
      <w:r w:rsidR="00721405">
        <w:rPr>
          <w:rFonts w:cs="Times New Roman" w:hint="default"/>
          <w:bCs/>
        </w:rPr>
        <w:t xml:space="preserve"> priestupky alebo aj trestné</w:t>
      </w:r>
      <w:r w:rsidR="00721405">
        <w:rPr>
          <w:rFonts w:cs="Times New Roman" w:hint="default"/>
          <w:bCs/>
        </w:rPr>
        <w:t xml:space="preserve"> č</w:t>
      </w:r>
      <w:r w:rsidR="00721405">
        <w:rPr>
          <w:rFonts w:cs="Times New Roman" w:hint="default"/>
          <w:bCs/>
        </w:rPr>
        <w:t xml:space="preserve">iny. </w:t>
      </w:r>
    </w:p>
    <w:p w:rsidR="00721405" w:rsidP="00721405">
      <w:pPr>
        <w:bidi w:val="0"/>
        <w:ind w:firstLine="708"/>
        <w:jc w:val="both"/>
        <w:rPr>
          <w:rFonts w:cs="Times New Roman"/>
          <w:bCs/>
        </w:rPr>
      </w:pPr>
    </w:p>
    <w:p w:rsidR="00721405" w:rsidP="00721405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            </w:t>
      </w:r>
    </w:p>
    <w:p w:rsidR="002E31A9" w:rsidP="00C730A5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  <w:r w:rsidR="00721405">
        <w:rPr>
          <w:rFonts w:eastAsia="Times New Roman" w:cs="Times New Roman"/>
          <w:color w:val="000000"/>
          <w:lang w:eastAsia="cs-CZ"/>
        </w:rPr>
        <w:t xml:space="preserve">Navrhovaná novela zákona č. 417/2013 Z. z. </w:t>
      </w:r>
      <w:r w:rsidRPr="00721405" w:rsidR="00721405">
        <w:rPr>
          <w:rFonts w:eastAsia="Times New Roman" w:cs="Times New Roman"/>
          <w:color w:val="000000"/>
          <w:lang w:eastAsia="cs-CZ"/>
        </w:rPr>
        <w:t xml:space="preserve">o pomoci v hmotnej núdzi a o zmene a doplnení niektorých zákonov </w:t>
      </w:r>
      <w:r w:rsidRPr="00721405" w:rsidR="00721405">
        <w:rPr>
          <w:rFonts w:cs="Times New Roman"/>
        </w:rPr>
        <w:t>v </w:t>
      </w:r>
      <w:r w:rsidRPr="00721405" w:rsidR="00721405">
        <w:rPr>
          <w:rFonts w:cs="Times New Roman" w:hint="default"/>
        </w:rPr>
        <w:t>znení</w:t>
      </w:r>
      <w:r w:rsidRPr="00721405" w:rsidR="00721405">
        <w:rPr>
          <w:rFonts w:cs="Times New Roman" w:hint="default"/>
        </w:rPr>
        <w:t xml:space="preserve"> neskorší</w:t>
      </w:r>
      <w:r w:rsidRPr="00721405" w:rsidR="00721405">
        <w:rPr>
          <w:rFonts w:cs="Times New Roman" w:hint="default"/>
        </w:rPr>
        <w:t>ch predpisov</w:t>
      </w:r>
      <w:r w:rsidRPr="00721405" w:rsidR="00721405">
        <w:rPr>
          <w:rFonts w:eastAsia="Times New Roman" w:cs="Times New Roman"/>
          <w:color w:val="000000"/>
          <w:lang w:eastAsia="cs-CZ"/>
        </w:rPr>
        <w:t xml:space="preserve"> </w:t>
      </w:r>
      <w:r w:rsidR="00721405">
        <w:rPr>
          <w:rFonts w:eastAsia="Times New Roman" w:cs="Times New Roman"/>
          <w:color w:val="000000"/>
          <w:lang w:eastAsia="cs-CZ"/>
        </w:rPr>
        <w:t>zavádza novú právnu úpravu v tom zmysle, že d</w:t>
      </w:r>
      <w:r w:rsidRPr="003243BA" w:rsidR="00721405">
        <w:rPr>
          <w:rFonts w:eastAsia="Times New Roman" w:cs="Times New Roman"/>
          <w:color w:val="000000"/>
          <w:lang w:eastAsia="cs-CZ"/>
        </w:rPr>
        <w:t xml:space="preserve">ávka </w:t>
      </w:r>
      <w:r w:rsidR="00721405">
        <w:rPr>
          <w:rFonts w:eastAsia="Times New Roman" w:cs="Times New Roman"/>
          <w:color w:val="000000"/>
          <w:lang w:eastAsia="cs-CZ"/>
        </w:rPr>
        <w:t xml:space="preserve">v hmotnej núdzi (v peňažnej forme) </w:t>
      </w:r>
      <w:r w:rsidRPr="003243BA" w:rsidR="00721405">
        <w:rPr>
          <w:rFonts w:eastAsia="Times New Roman" w:cs="Times New Roman"/>
          <w:color w:val="000000"/>
          <w:lang w:eastAsia="cs-CZ"/>
        </w:rPr>
        <w:t xml:space="preserve">sa znižuje o sumu 61,60 eura za každého plnoletého člena domácnosti, ktorý </w:t>
      </w:r>
      <w:r w:rsidR="00721405">
        <w:rPr>
          <w:rFonts w:eastAsia="Times New Roman" w:cs="Times New Roman"/>
          <w:color w:val="000000"/>
          <w:lang w:eastAsia="cs-CZ"/>
        </w:rPr>
        <w:t>spácha tri priestupky podľa osobitného predpisu</w:t>
      </w:r>
      <w:r w:rsidR="00C730A5">
        <w:rPr>
          <w:rFonts w:cs="Times New Roman"/>
          <w:bCs/>
          <w:vertAlign w:val="superscript"/>
        </w:rPr>
        <w:t xml:space="preserve"> </w:t>
      </w:r>
      <w:r w:rsidR="00721405">
        <w:rPr>
          <w:rFonts w:eastAsia="Times New Roman" w:cs="Times New Roman"/>
          <w:color w:val="000000"/>
          <w:lang w:eastAsia="cs-CZ"/>
        </w:rPr>
        <w:t xml:space="preserve">a za ktoré v zmysle právoplatných a vykonateľných rozhodnutí </w:t>
      </w:r>
      <w:r w:rsidR="00C730A5">
        <w:rPr>
          <w:rFonts w:eastAsia="Times New Roman" w:cs="Times New Roman"/>
          <w:color w:val="000000"/>
          <w:lang w:eastAsia="cs-CZ"/>
        </w:rPr>
        <w:t>(</w:t>
      </w:r>
      <w:r w:rsidR="00721405">
        <w:rPr>
          <w:rFonts w:eastAsia="Times New Roman" w:cs="Times New Roman"/>
          <w:color w:val="000000"/>
          <w:lang w:eastAsia="cs-CZ"/>
        </w:rPr>
        <w:t>podľa osobitného predpis</w:t>
      </w:r>
      <w:r w:rsidR="00C730A5">
        <w:rPr>
          <w:rFonts w:eastAsia="Times New Roman" w:cs="Times New Roman"/>
          <w:color w:val="000000"/>
          <w:lang w:eastAsia="cs-CZ"/>
        </w:rPr>
        <w:t>u)</w:t>
      </w:r>
      <w:r w:rsidR="00721405">
        <w:rPr>
          <w:rFonts w:eastAsia="Times New Roman" w:cs="Times New Roman"/>
          <w:color w:val="000000"/>
          <w:lang w:eastAsia="cs-CZ"/>
        </w:rPr>
        <w:t xml:space="preserve">  nezaplatil pokutu</w:t>
      </w:r>
      <w:r w:rsidRPr="00435DA8" w:rsidR="00721405">
        <w:rPr>
          <w:rFonts w:eastAsia="Times New Roman" w:cs="Times New Roman"/>
          <w:color w:val="000000"/>
          <w:lang w:eastAsia="cs-CZ"/>
        </w:rPr>
        <w:t xml:space="preserve"> </w:t>
      </w:r>
      <w:r w:rsidR="00721405">
        <w:rPr>
          <w:rFonts w:eastAsia="Times New Roman" w:cs="Times New Roman"/>
          <w:color w:val="000000"/>
          <w:lang w:eastAsia="cs-CZ"/>
        </w:rPr>
        <w:t>a to na dobu 6 mesiacov odo dňa nadobudnutia právoplatnosti a vykonateľnosti posledného z týchto rozhodnutí. D</w:t>
      </w:r>
      <w:r w:rsidRPr="003243BA" w:rsidR="00721405">
        <w:rPr>
          <w:rFonts w:eastAsia="Times New Roman" w:cs="Times New Roman"/>
          <w:color w:val="000000"/>
          <w:lang w:eastAsia="cs-CZ"/>
        </w:rPr>
        <w:t xml:space="preserve">ávka </w:t>
      </w:r>
      <w:r>
        <w:rPr>
          <w:rFonts w:eastAsia="Times New Roman" w:cs="Times New Roman"/>
          <w:color w:val="000000"/>
          <w:lang w:eastAsia="cs-CZ"/>
        </w:rPr>
        <w:t xml:space="preserve">v hmotnej núdzi </w:t>
      </w:r>
      <w:r w:rsidRPr="003243BA" w:rsidR="00721405">
        <w:rPr>
          <w:rFonts w:eastAsia="Times New Roman" w:cs="Times New Roman"/>
          <w:color w:val="000000"/>
          <w:lang w:eastAsia="cs-CZ"/>
        </w:rPr>
        <w:t xml:space="preserve">podľa </w:t>
      </w:r>
      <w:r w:rsidR="00C730A5">
        <w:rPr>
          <w:rFonts w:eastAsia="Times New Roman" w:cs="Times New Roman"/>
          <w:color w:val="000000"/>
          <w:lang w:eastAsia="cs-CZ"/>
        </w:rPr>
        <w:t>§ 10 ods.</w:t>
      </w:r>
      <w:r w:rsidRPr="003243BA" w:rsidR="00721405">
        <w:rPr>
          <w:rFonts w:eastAsia="Times New Roman" w:cs="Times New Roman"/>
          <w:color w:val="000000"/>
          <w:lang w:eastAsia="cs-CZ"/>
        </w:rPr>
        <w:t xml:space="preserve"> 2 sa </w:t>
      </w:r>
      <w:r w:rsidR="00721405">
        <w:rPr>
          <w:rFonts w:eastAsia="Times New Roman" w:cs="Times New Roman"/>
          <w:color w:val="000000"/>
          <w:lang w:eastAsia="cs-CZ"/>
        </w:rPr>
        <w:t xml:space="preserve">taktiež </w:t>
      </w:r>
      <w:r w:rsidRPr="003243BA" w:rsidR="00721405">
        <w:rPr>
          <w:rFonts w:eastAsia="Times New Roman" w:cs="Times New Roman"/>
          <w:color w:val="000000"/>
          <w:lang w:eastAsia="cs-CZ"/>
        </w:rPr>
        <w:t xml:space="preserve">znižuje o sumu 61,60 eura za každého plnoletého člena domácnosti, ktorý </w:t>
      </w:r>
      <w:r w:rsidR="00721405">
        <w:rPr>
          <w:rFonts w:eastAsia="Times New Roman" w:cs="Times New Roman"/>
          <w:color w:val="000000"/>
          <w:lang w:eastAsia="cs-CZ"/>
        </w:rPr>
        <w:t>spácha tres</w:t>
      </w:r>
      <w:r w:rsidR="00C730A5">
        <w:rPr>
          <w:rFonts w:eastAsia="Times New Roman" w:cs="Times New Roman"/>
          <w:color w:val="000000"/>
          <w:lang w:eastAsia="cs-CZ"/>
        </w:rPr>
        <w:t xml:space="preserve">tný čin podľa Trestného zákona </w:t>
      </w:r>
      <w:r w:rsidR="00721405">
        <w:rPr>
          <w:rFonts w:eastAsia="Times New Roman" w:cs="Times New Roman"/>
          <w:color w:val="000000"/>
          <w:lang w:eastAsia="cs-CZ"/>
        </w:rPr>
        <w:t xml:space="preserve">a to na dobu 12 mesiacov od dňa nadobudnutia právoplatnosti a vykonateľnosti príslušného rozsudku v trestnom konaní. </w:t>
      </w:r>
    </w:p>
    <w:p w:rsidR="00C730A5" w:rsidRPr="001D5C20" w:rsidP="00C730A5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  <w:r w:rsidR="00721405">
        <w:rPr>
          <w:rFonts w:eastAsia="Times New Roman" w:cs="Times New Roman"/>
          <w:color w:val="000000"/>
          <w:lang w:eastAsia="cs-CZ"/>
        </w:rPr>
        <w:t xml:space="preserve">Dávka sa v prípadoch podľa tohto odseku poskytne vo vecnej forme podľa </w:t>
      </w:r>
      <w:r>
        <w:rPr>
          <w:rFonts w:eastAsia="Times New Roman" w:cs="Times New Roman"/>
          <w:color w:val="000000"/>
          <w:lang w:eastAsia="cs-CZ"/>
        </w:rPr>
        <w:t xml:space="preserve">nového ustanovenia </w:t>
      </w:r>
      <w:r w:rsidR="00721405">
        <w:rPr>
          <w:rFonts w:eastAsia="Times New Roman" w:cs="Times New Roman"/>
          <w:color w:val="000000"/>
          <w:lang w:eastAsia="cs-CZ"/>
        </w:rPr>
        <w:t>§ 18 ods. 3</w:t>
      </w:r>
      <w:r>
        <w:rPr>
          <w:rFonts w:eastAsia="Times New Roman" w:cs="Times New Roman"/>
          <w:color w:val="000000"/>
          <w:lang w:eastAsia="cs-CZ"/>
        </w:rPr>
        <w:t xml:space="preserve"> zákona – a to predovšetkým jedno teplé jedlo denne, pričom podmienky, f</w:t>
      </w:r>
      <w:r w:rsidRPr="008C2CF6">
        <w:rPr>
          <w:rFonts w:eastAsia="Times New Roman" w:cs="Times New Roman"/>
          <w:color w:val="000000"/>
          <w:lang w:eastAsia="cs-CZ"/>
        </w:rPr>
        <w:t xml:space="preserve">ormu a spôsob poskytovania pomoci v hmotnej núdzi </w:t>
      </w:r>
      <w:r>
        <w:rPr>
          <w:rFonts w:eastAsia="Times New Roman" w:cs="Times New Roman"/>
          <w:color w:val="000000"/>
          <w:lang w:eastAsia="cs-CZ"/>
        </w:rPr>
        <w:t xml:space="preserve">vo vecnej forme </w:t>
      </w:r>
      <w:r w:rsidRPr="001D5C20">
        <w:rPr>
          <w:rFonts w:eastAsia="Times New Roman" w:cs="Times New Roman"/>
          <w:lang w:eastAsia="cs-CZ"/>
        </w:rPr>
        <w:t>(</w:t>
      </w:r>
      <w:r>
        <w:rPr>
          <w:rFonts w:eastAsia="Times New Roman" w:cs="Times New Roman"/>
          <w:lang w:eastAsia="cs-CZ"/>
        </w:rPr>
        <w:t>§ 10 ods. 12 zákona</w:t>
      </w:r>
      <w:r w:rsidRPr="001D5C20">
        <w:rPr>
          <w:rFonts w:eastAsia="Times New Roman" w:cs="Times New Roman"/>
          <w:lang w:eastAsia="cs-CZ"/>
        </w:rPr>
        <w:t xml:space="preserve">) </w:t>
      </w:r>
      <w:r>
        <w:rPr>
          <w:rFonts w:eastAsia="Times New Roman" w:cs="Times New Roman"/>
          <w:color w:val="000000"/>
          <w:lang w:eastAsia="cs-CZ"/>
        </w:rPr>
        <w:t xml:space="preserve">ustanoví Ministerstvo práce, sociálnych vecí a rodiny Slovenskej republiky </w:t>
      </w:r>
      <w:r w:rsidRPr="001D5C20">
        <w:rPr>
          <w:rFonts w:eastAsia="Times New Roman" w:cs="Times New Roman"/>
          <w:color w:val="000000"/>
          <w:lang w:eastAsia="cs-CZ"/>
        </w:rPr>
        <w:t>všeobecne záväzným právnym predpisom.</w:t>
      </w:r>
    </w:p>
    <w:p w:rsidR="00C730A5" w:rsidRPr="003243BA" w:rsidP="00C730A5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951FC2" w:rsidP="00721405">
      <w:pPr>
        <w:tabs>
          <w:tab w:val="left" w:pos="2085"/>
        </w:tabs>
        <w:bidi w:val="0"/>
        <w:jc w:val="both"/>
        <w:rPr>
          <w:rFonts w:cs="Times New Roman"/>
        </w:rPr>
      </w:pPr>
    </w:p>
    <w:p w:rsidR="009E2C97" w:rsidRPr="002E31A9" w:rsidP="002E31A9">
      <w:pPr>
        <w:tabs>
          <w:tab w:val="left" w:pos="2085"/>
        </w:tabs>
        <w:bidi w:val="0"/>
        <w:jc w:val="both"/>
        <w:rPr>
          <w:rFonts w:cs="Times New Roman"/>
          <w:color w:val="000000"/>
          <w:shd w:val="clear" w:color="auto" w:fill="D5D5D5"/>
        </w:rPr>
      </w:pPr>
    </w:p>
    <w:p w:rsidR="0048564D" w:rsidRPr="00AC73A6" w:rsidP="0048564D">
      <w:pPr>
        <w:bidi w:val="0"/>
        <w:jc w:val="both"/>
        <w:rPr>
          <w:rFonts w:cs="Times New Roman"/>
        </w:rPr>
      </w:pPr>
      <w:r w:rsidRPr="00AC73A6">
        <w:rPr>
          <w:rFonts w:cs="Times New Roman"/>
        </w:rPr>
        <w:tab/>
      </w:r>
    </w:p>
    <w:p w:rsidR="0048564D" w:rsidRPr="00AC73A6" w:rsidP="00951FC2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sociá</w:t>
      </w:r>
      <w:r w:rsidRPr="00AC73A6">
        <w:rPr>
          <w:rFonts w:cs="Times New Roman" w:hint="default"/>
        </w:rPr>
        <w:t>lne vplyvy, 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</w:t>
      </w:r>
      <w:r w:rsidRPr="00AC73A6">
        <w:rPr>
          <w:rFonts w:cs="Times New Roman" w:hint="default"/>
        </w:rPr>
        <w:t>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 ani 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PlaceholderText"/>
          <w:color w:val="000000"/>
        </w:rPr>
      </w:pPr>
    </w:p>
    <w:p w:rsidR="00D93D34" w:rsidP="00951FC2">
      <w:pPr>
        <w:pStyle w:val="BodyText"/>
        <w:bidi w:val="0"/>
        <w:ind w:firstLine="708"/>
        <w:jc w:val="both"/>
        <w:rPr>
          <w:rFonts w:hint="default"/>
        </w:rPr>
      </w:pPr>
      <w:r>
        <w:rPr>
          <w:rStyle w:val="PlaceholderText"/>
          <w:rFonts w:hint="default"/>
          <w:color w:val="000000"/>
        </w:rPr>
        <w:t>Ná</w:t>
      </w:r>
      <w:r>
        <w:rPr>
          <w:rStyle w:val="PlaceholderText"/>
          <w:rFonts w:hint="default"/>
          <w:color w:val="000000"/>
        </w:rPr>
        <w:t>vrh zá</w:t>
      </w:r>
      <w:r>
        <w:rPr>
          <w:rStyle w:val="PlaceholderText"/>
          <w:rFonts w:hint="default"/>
          <w:color w:val="000000"/>
        </w:rPr>
        <w:t>kona je v </w:t>
      </w:r>
      <w:r>
        <w:rPr>
          <w:rStyle w:val="PlaceholderText"/>
          <w:rFonts w:hint="default"/>
          <w:color w:val="000000"/>
        </w:rPr>
        <w:t>sú</w:t>
      </w:r>
      <w:r>
        <w:rPr>
          <w:rStyle w:val="PlaceholderText"/>
          <w:rFonts w:hint="default"/>
          <w:color w:val="000000"/>
        </w:rPr>
        <w:t>lade s </w:t>
      </w:r>
      <w:r>
        <w:rPr>
          <w:rStyle w:val="PlaceholderText"/>
          <w:rFonts w:hint="default"/>
          <w:color w:val="000000"/>
        </w:rPr>
        <w:t>Ú</w:t>
      </w:r>
      <w:r>
        <w:rPr>
          <w:rStyle w:val="PlaceholderText"/>
          <w:rFonts w:hint="default"/>
          <w:color w:val="000000"/>
        </w:rPr>
        <w:t>stavou Slovenskej republiky, ú</w:t>
      </w:r>
      <w:r>
        <w:rPr>
          <w:rStyle w:val="PlaceholderText"/>
          <w:rFonts w:hint="default"/>
          <w:color w:val="000000"/>
        </w:rPr>
        <w:t>stavný</w:t>
      </w:r>
      <w:r>
        <w:rPr>
          <w:rStyle w:val="PlaceholderText"/>
          <w:rFonts w:hint="default"/>
          <w:color w:val="000000"/>
        </w:rPr>
        <w:t>mi zá</w:t>
      </w:r>
      <w:r>
        <w:rPr>
          <w:rStyle w:val="PlaceholderText"/>
          <w:rFonts w:hint="default"/>
          <w:color w:val="000000"/>
        </w:rPr>
        <w:t>konmi, medziná</w:t>
      </w:r>
      <w:r>
        <w:rPr>
          <w:rStyle w:val="PlaceholderText"/>
          <w:rFonts w:hint="default"/>
          <w:color w:val="000000"/>
        </w:rPr>
        <w:t>rodný</w:t>
      </w:r>
      <w:r>
        <w:rPr>
          <w:rStyle w:val="PlaceholderText"/>
          <w:rFonts w:hint="default"/>
          <w:color w:val="000000"/>
        </w:rPr>
        <w:t>mi</w:t>
      </w:r>
      <w:r>
        <w:rPr>
          <w:rFonts w:hint="default"/>
        </w:rPr>
        <w:t xml:space="preserve"> zmluvami,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 xml:space="preserve"> a </w:t>
      </w:r>
      <w:r>
        <w:rPr>
          <w:rFonts w:hint="default"/>
        </w:rPr>
        <w:t>zá</w:t>
      </w:r>
      <w:r>
        <w:rPr>
          <w:rFonts w:hint="default"/>
        </w:rPr>
        <w:t>konmi a </w:t>
      </w:r>
      <w:r>
        <w:rPr>
          <w:rFonts w:hint="default"/>
        </w:rPr>
        <w:t>súč</w:t>
      </w:r>
      <w:r>
        <w:rPr>
          <w:rFonts w:hint="default"/>
        </w:rPr>
        <w:t>asne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>nie.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6C6025" w:rsidP="0048564D">
      <w:pPr>
        <w:bidi w:val="0"/>
        <w:rPr>
          <w:rFonts w:cs="Times New Roman"/>
        </w:rPr>
      </w:pPr>
    </w:p>
    <w:p w:rsidR="006C6025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</w:t>
      </w:r>
      <w:r w:rsidRPr="009E2C97">
        <w:rPr>
          <w:rFonts w:cs="Times New Roman"/>
        </w:rPr>
        <w:t>ina</w:t>
      </w:r>
    </w:p>
    <w:p w:rsidR="0048564D" w:rsidP="00D93D34">
      <w:pPr>
        <w:widowControl w:val="0"/>
        <w:bidi w:val="0"/>
        <w:jc w:val="both"/>
        <w:rPr>
          <w:rFonts w:cs="Times New Roman"/>
        </w:rPr>
      </w:pPr>
    </w:p>
    <w:p w:rsidR="0081591D" w:rsidRPr="0081591D" w:rsidP="00D93D34">
      <w:pPr>
        <w:widowControl w:val="0"/>
        <w:bidi w:val="0"/>
        <w:jc w:val="both"/>
        <w:rPr>
          <w:rFonts w:cs="Times New Roman"/>
          <w:b/>
        </w:rPr>
      </w:pPr>
    </w:p>
    <w:p w:rsidR="0081591D" w:rsidRPr="0081591D" w:rsidP="0081591D">
      <w:pPr>
        <w:bidi w:val="0"/>
        <w:jc w:val="both"/>
        <w:rPr>
          <w:rFonts w:cs="Times New Roman"/>
        </w:rPr>
      </w:pPr>
      <w:r w:rsidRPr="0081591D" w:rsidR="00D93D34">
        <w:rPr>
          <w:rFonts w:cs="Times New Roman"/>
          <w:b/>
        </w:rPr>
        <w:t xml:space="preserve">2.  </w:t>
      </w:r>
      <w:r w:rsidRPr="0081591D" w:rsidR="0048564D">
        <w:rPr>
          <w:rFonts w:cs="Times New Roman" w:hint="default"/>
          <w:b/>
          <w:bCs/>
        </w:rPr>
        <w:t>Ná</w:t>
      </w:r>
      <w:r w:rsidRPr="0081591D" w:rsidR="0048564D">
        <w:rPr>
          <w:rFonts w:cs="Times New Roman" w:hint="default"/>
          <w:b/>
          <w:bCs/>
        </w:rPr>
        <w:t>zov ná</w:t>
      </w:r>
      <w:r w:rsidRPr="0081591D" w:rsidR="0048564D">
        <w:rPr>
          <w:rFonts w:cs="Times New Roman" w:hint="default"/>
          <w:b/>
          <w:bCs/>
        </w:rPr>
        <w:t>vrhu zá</w:t>
      </w:r>
      <w:r w:rsidRPr="0081591D" w:rsidR="0048564D">
        <w:rPr>
          <w:rFonts w:cs="Times New Roman" w:hint="default"/>
          <w:b/>
          <w:bCs/>
        </w:rPr>
        <w:t>kona:</w:t>
      </w:r>
      <w:r w:rsidRPr="0081591D" w:rsidR="0048564D">
        <w:rPr>
          <w:rFonts w:cs="Times New Roman"/>
          <w:bCs/>
        </w:rPr>
        <w:t xml:space="preserve"> </w:t>
      </w:r>
      <w:r w:rsidRPr="0081591D" w:rsidR="00D93D34">
        <w:rPr>
          <w:rFonts w:cs="Times New Roman" w:hint="default"/>
        </w:rPr>
        <w:t>Ná</w:t>
      </w:r>
      <w:r w:rsidRPr="0081591D" w:rsidR="00D93D34">
        <w:rPr>
          <w:rFonts w:cs="Times New Roman" w:hint="default"/>
        </w:rPr>
        <w:t xml:space="preserve">vrh </w:t>
      </w:r>
      <w:r w:rsidRPr="0081591D" w:rsidR="00D93D34">
        <w:rPr>
          <w:rFonts w:cs="Times New Roman" w:hint="default"/>
          <w:bCs/>
        </w:rPr>
        <w:t>zá</w:t>
      </w:r>
      <w:r w:rsidRPr="0081591D" w:rsidR="00D93D34">
        <w:rPr>
          <w:rFonts w:cs="Times New Roman" w:hint="default"/>
          <w:bCs/>
        </w:rPr>
        <w:t>kona,</w:t>
      </w:r>
      <w:r w:rsidRPr="0081591D" w:rsidR="00D93D34">
        <w:rPr>
          <w:rFonts w:cs="Times New Roman"/>
        </w:rPr>
        <w:t xml:space="preserve"> </w:t>
      </w:r>
      <w:r w:rsidRPr="00721405" w:rsidR="00C730A5">
        <w:rPr>
          <w:rFonts w:cs="Times New Roman" w:hint="default"/>
        </w:rPr>
        <w:t>ktorý</w:t>
      </w:r>
      <w:r w:rsidRPr="00721405" w:rsidR="00C730A5">
        <w:rPr>
          <w:rFonts w:cs="Times New Roman" w:hint="default"/>
        </w:rPr>
        <w:t>m sa mení</w:t>
      </w:r>
      <w:r w:rsidRPr="00721405" w:rsidR="00C730A5">
        <w:rPr>
          <w:rFonts w:cs="Times New Roman" w:hint="default"/>
        </w:rPr>
        <w:t xml:space="preserve"> a dopĺň</w:t>
      </w:r>
      <w:r w:rsidRPr="00721405" w:rsidR="00C730A5">
        <w:rPr>
          <w:rFonts w:cs="Times New Roman" w:hint="default"/>
        </w:rPr>
        <w:t>a zá</w:t>
      </w:r>
      <w:r w:rsidRPr="00721405" w:rsidR="00C730A5">
        <w:rPr>
          <w:rFonts w:cs="Times New Roman" w:hint="default"/>
        </w:rPr>
        <w:t>kon č</w:t>
      </w:r>
      <w:r w:rsidRPr="00721405" w:rsidR="00C730A5">
        <w:rPr>
          <w:rFonts w:cs="Times New Roman" w:hint="default"/>
        </w:rPr>
        <w:t xml:space="preserve">. 417/2013 Z. z. </w:t>
      </w:r>
      <w:r w:rsidRPr="00721405" w:rsidR="00C730A5">
        <w:rPr>
          <w:rFonts w:eastAsia="Times New Roman" w:cs="Times New Roman"/>
          <w:color w:val="000000"/>
          <w:lang w:eastAsia="cs-CZ"/>
        </w:rPr>
        <w:t xml:space="preserve">o pomoci v hmotnej núdzi a o zmene a doplnení niektorých zákonov </w:t>
      </w:r>
      <w:r w:rsidRPr="00721405" w:rsidR="00C730A5">
        <w:rPr>
          <w:rFonts w:cs="Times New Roman"/>
        </w:rPr>
        <w:t>v </w:t>
      </w:r>
      <w:r w:rsidRPr="00721405" w:rsidR="00C730A5">
        <w:rPr>
          <w:rFonts w:cs="Times New Roman" w:hint="default"/>
        </w:rPr>
        <w:t>znení</w:t>
      </w:r>
      <w:r w:rsidRPr="00721405" w:rsidR="00C730A5">
        <w:rPr>
          <w:rFonts w:cs="Times New Roman" w:hint="default"/>
        </w:rPr>
        <w:t xml:space="preserve"> neskorší</w:t>
      </w:r>
      <w:r w:rsidRPr="00721405" w:rsidR="00C730A5">
        <w:rPr>
          <w:rFonts w:cs="Times New Roman" w:hint="default"/>
        </w:rPr>
        <w:t>ch predpisov</w:t>
      </w:r>
      <w:r w:rsidR="00C730A5">
        <w:rPr>
          <w:rFonts w:cs="Times New Roman"/>
        </w:rPr>
        <w:t>.</w:t>
      </w:r>
    </w:p>
    <w:p w:rsidR="009E2C97" w:rsidRPr="00D93D34" w:rsidP="00D93D34">
      <w:pPr>
        <w:bidi w:val="0"/>
        <w:jc w:val="both"/>
        <w:rPr>
          <w:rFonts w:cs="Times New Roman"/>
        </w:rPr>
      </w:pPr>
    </w:p>
    <w:p w:rsidR="0081591D" w:rsidRPr="00E66EE4" w:rsidP="0081591D">
      <w:pPr>
        <w:bidi w:val="0"/>
        <w:ind w:left="360" w:hanging="360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360" w:hanging="360"/>
        <w:rPr>
          <w:color w:val="000000"/>
          <w:sz w:val="27"/>
          <w:szCs w:val="27"/>
        </w:rPr>
      </w:pPr>
      <w:r w:rsidRPr="00E66EE4">
        <w:rPr>
          <w:b/>
          <w:bCs/>
          <w:color w:val="000000"/>
        </w:rPr>
        <w:t>3.              </w:t>
      </w:r>
      <w:r w:rsidRPr="00E66EE4">
        <w:rPr>
          <w:rFonts w:hint="default"/>
          <w:b/>
          <w:bCs/>
          <w:color w:val="000000"/>
        </w:rPr>
        <w:t>Problematika ná</w:t>
      </w:r>
      <w:r w:rsidRPr="00E66EE4">
        <w:rPr>
          <w:rFonts w:hint="default"/>
          <w:b/>
          <w:bCs/>
          <w:color w:val="000000"/>
        </w:rPr>
        <w:t xml:space="preserve">vrhu </w:t>
      </w:r>
      <w:r>
        <w:rPr>
          <w:rFonts w:hint="default"/>
          <w:b/>
          <w:bCs/>
          <w:color w:val="000000"/>
        </w:rPr>
        <w:t>zá</w:t>
      </w:r>
      <w:r>
        <w:rPr>
          <w:rFonts w:hint="default"/>
          <w:b/>
          <w:bCs/>
          <w:color w:val="000000"/>
        </w:rPr>
        <w:t>kona</w:t>
      </w:r>
      <w:r w:rsidRPr="00E66EE4">
        <w:rPr>
          <w:b/>
          <w:bCs/>
          <w:color w:val="000000"/>
        </w:rPr>
        <w:t>:</w:t>
      </w:r>
    </w:p>
    <w:p w:rsidR="00C730A5" w:rsidRPr="00433368" w:rsidP="00C730A5">
      <w:pPr>
        <w:bidi w:val="0"/>
        <w:ind w:firstLine="360"/>
      </w:pPr>
      <w:r w:rsidRPr="00E66EE4" w:rsidR="0081591D">
        <w:rPr>
          <w:color w:val="000000"/>
        </w:rPr>
        <w:t> </w:t>
      </w:r>
    </w:p>
    <w:p w:rsidR="00C730A5" w:rsidRPr="00433368" w:rsidP="00C730A5">
      <w:pPr>
        <w:bidi w:val="0"/>
        <w:ind w:left="709" w:hanging="349"/>
        <w:rPr>
          <w:rFonts w:hint="default"/>
        </w:rPr>
      </w:pPr>
      <w:r w:rsidRPr="00433368">
        <w:t>a)</w:t>
        <w:tab/>
      </w:r>
      <w:r w:rsidRPr="00433368">
        <w:rPr>
          <w:rFonts w:hint="default"/>
        </w:rPr>
        <w:t>je upravená</w:t>
      </w:r>
      <w:r w:rsidRPr="00433368">
        <w:rPr>
          <w:rFonts w:hint="default"/>
        </w:rPr>
        <w:t xml:space="preserve"> v </w:t>
      </w:r>
      <w:r w:rsidRPr="00433368">
        <w:rPr>
          <w:rFonts w:hint="default"/>
        </w:rPr>
        <w:t>prá</w:t>
      </w:r>
      <w:r w:rsidRPr="00433368">
        <w:rPr>
          <w:rFonts w:hint="default"/>
        </w:rPr>
        <w:t>ve Euró</w:t>
      </w:r>
      <w:r w:rsidRPr="00433368">
        <w:rPr>
          <w:rFonts w:hint="default"/>
        </w:rPr>
        <w:t>pskej ú</w:t>
      </w:r>
      <w:r w:rsidRPr="00433368">
        <w:rPr>
          <w:rFonts w:hint="default"/>
        </w:rPr>
        <w:t>nie</w:t>
      </w:r>
    </w:p>
    <w:p w:rsidR="00C730A5" w:rsidRPr="00433368" w:rsidP="00C730A5">
      <w:pPr>
        <w:bidi w:val="0"/>
        <w:ind w:left="360"/>
      </w:pPr>
    </w:p>
    <w:p w:rsidR="00C730A5" w:rsidRPr="00433368" w:rsidP="00C730A5">
      <w:pPr>
        <w:tabs>
          <w:tab w:val="left" w:pos="1068"/>
        </w:tabs>
        <w:bidi w:val="0"/>
        <w:ind w:left="709" w:hanging="171"/>
        <w:rPr>
          <w:rFonts w:hint="default"/>
          <w:i/>
        </w:rPr>
      </w:pPr>
      <w:r w:rsidRPr="00433368">
        <w:t>-</w:t>
        <w:tab/>
      </w:r>
      <w:r w:rsidRPr="00433368">
        <w:rPr>
          <w:rFonts w:hint="default"/>
          <w:i/>
        </w:rPr>
        <w:t>primá</w:t>
      </w:r>
      <w:r w:rsidRPr="00433368">
        <w:rPr>
          <w:rFonts w:hint="default"/>
          <w:i/>
        </w:rPr>
        <w:t>rnom</w:t>
      </w:r>
    </w:p>
    <w:p w:rsidR="00C730A5" w:rsidRPr="00433368" w:rsidP="00C730A5">
      <w:pPr>
        <w:bidi w:val="0"/>
        <w:ind w:left="538" w:firstLine="170"/>
        <w:jc w:val="both"/>
        <w:rPr>
          <w:rFonts w:hint="default"/>
        </w:rPr>
      </w:pPr>
      <w:r w:rsidRPr="00433368">
        <w:rPr>
          <w:rFonts w:hint="default"/>
        </w:rPr>
        <w:t>č</w:t>
      </w:r>
      <w:r w:rsidRPr="00433368">
        <w:rPr>
          <w:rFonts w:hint="default"/>
        </w:rPr>
        <w:t>l. 151 a 153 Zmluvy o </w:t>
      </w:r>
      <w:r w:rsidRPr="00433368">
        <w:rPr>
          <w:rFonts w:hint="default"/>
        </w:rPr>
        <w:t>fungovaní</w:t>
      </w:r>
      <w:r w:rsidRPr="00433368">
        <w:rPr>
          <w:rFonts w:hint="default"/>
        </w:rPr>
        <w:t xml:space="preserve"> Euró</w:t>
      </w:r>
      <w:r w:rsidRPr="00433368">
        <w:rPr>
          <w:rFonts w:hint="default"/>
        </w:rPr>
        <w:t>pskej ú</w:t>
      </w:r>
      <w:r w:rsidRPr="00433368">
        <w:rPr>
          <w:rFonts w:hint="default"/>
        </w:rPr>
        <w:t>nie,</w:t>
      </w:r>
    </w:p>
    <w:p w:rsidR="00C730A5" w:rsidRPr="00433368" w:rsidP="00C730A5">
      <w:pPr>
        <w:bidi w:val="0"/>
        <w:ind w:left="709"/>
      </w:pPr>
    </w:p>
    <w:p w:rsidR="00C730A5" w:rsidRPr="00433368" w:rsidP="00C730A5">
      <w:pPr>
        <w:tabs>
          <w:tab w:val="left" w:pos="1068"/>
        </w:tabs>
        <w:bidi w:val="0"/>
        <w:ind w:left="709" w:hanging="171"/>
        <w:jc w:val="both"/>
        <w:rPr>
          <w:rFonts w:hint="default"/>
          <w:i/>
        </w:rPr>
      </w:pPr>
      <w:r w:rsidRPr="00433368">
        <w:t>-</w:t>
        <w:tab/>
      </w:r>
      <w:r w:rsidRPr="00433368">
        <w:rPr>
          <w:rFonts w:hint="default"/>
          <w:i/>
        </w:rPr>
        <w:t>sekundá</w:t>
      </w:r>
      <w:r w:rsidRPr="00433368">
        <w:rPr>
          <w:rFonts w:hint="default"/>
          <w:i/>
        </w:rPr>
        <w:t>rnom (prijatom po nadobudnutí</w:t>
      </w:r>
      <w:r w:rsidRPr="00433368">
        <w:rPr>
          <w:rFonts w:hint="default"/>
          <w:i/>
        </w:rPr>
        <w:t>m platnosti Lisabonskej zmluvy, ktorou sa mení</w:t>
      </w:r>
      <w:r w:rsidRPr="00433368">
        <w:rPr>
          <w:rFonts w:hint="default"/>
          <w:i/>
        </w:rPr>
        <w:t xml:space="preserve"> a</w:t>
      </w:r>
      <w:r>
        <w:rPr>
          <w:i/>
        </w:rPr>
        <w:t> </w:t>
      </w:r>
      <w:r w:rsidRPr="00433368">
        <w:rPr>
          <w:rFonts w:hint="default"/>
          <w:i/>
        </w:rPr>
        <w:t>dopĺň</w:t>
      </w:r>
      <w:r w:rsidRPr="00433368">
        <w:rPr>
          <w:rFonts w:hint="default"/>
          <w:i/>
        </w:rPr>
        <w:t>a Zmluva o Euró</w:t>
      </w:r>
      <w:r w:rsidRPr="00433368">
        <w:rPr>
          <w:rFonts w:hint="default"/>
          <w:i/>
        </w:rPr>
        <w:t>pskom spoloč</w:t>
      </w:r>
      <w:r w:rsidRPr="00433368">
        <w:rPr>
          <w:rFonts w:hint="default"/>
          <w:i/>
        </w:rPr>
        <w:t>enstve a Zmluva o Euró</w:t>
      </w:r>
      <w:r w:rsidRPr="00433368">
        <w:rPr>
          <w:rFonts w:hint="default"/>
          <w:i/>
        </w:rPr>
        <w:t>pskej ú</w:t>
      </w:r>
      <w:r w:rsidRPr="00433368">
        <w:rPr>
          <w:rFonts w:hint="default"/>
          <w:i/>
        </w:rPr>
        <w:t xml:space="preserve">nii </w:t>
      </w:r>
      <w:r w:rsidRPr="00433368">
        <w:rPr>
          <w:rFonts w:hint="default"/>
          <w:i/>
        </w:rPr>
        <w:t>–</w:t>
      </w:r>
      <w:r w:rsidRPr="00433368">
        <w:rPr>
          <w:rFonts w:hint="default"/>
          <w:i/>
        </w:rPr>
        <w:t xml:space="preserve"> po 30. novembri 20</w:t>
      </w:r>
      <w:r w:rsidRPr="00433368">
        <w:rPr>
          <w:rFonts w:hint="default"/>
          <w:i/>
        </w:rPr>
        <w:t>09)</w:t>
      </w:r>
    </w:p>
    <w:p w:rsidR="00C730A5" w:rsidRPr="00433368" w:rsidP="00C730A5">
      <w:pPr>
        <w:bidi w:val="0"/>
        <w:ind w:left="1068" w:hanging="360"/>
        <w:jc w:val="both"/>
        <w:rPr>
          <w:rFonts w:hint="default"/>
        </w:rPr>
      </w:pPr>
      <w:r w:rsidRPr="00433368">
        <w:t>1.</w:t>
        <w:tab/>
      </w:r>
      <w:r w:rsidRPr="00433368">
        <w:rPr>
          <w:rFonts w:hint="default"/>
        </w:rPr>
        <w:t>legislatí</w:t>
      </w:r>
      <w:r w:rsidRPr="00433368">
        <w:rPr>
          <w:rFonts w:hint="default"/>
        </w:rPr>
        <w:t xml:space="preserve">vne akty: </w:t>
      </w:r>
    </w:p>
    <w:p w:rsidR="00C730A5" w:rsidP="00C730A5">
      <w:pPr>
        <w:bidi w:val="0"/>
        <w:ind w:left="1069" w:hanging="1"/>
        <w:jc w:val="both"/>
      </w:pPr>
      <w:r w:rsidRPr="00433368">
        <w:rPr>
          <w:rFonts w:hint="default"/>
        </w:rPr>
        <w:t>Smernica Euró</w:t>
      </w:r>
      <w:r w:rsidRPr="00433368">
        <w:rPr>
          <w:rFonts w:hint="default"/>
        </w:rPr>
        <w:t>pskeho parlamentu a Rady 2011/95/EÚ</w:t>
      </w:r>
      <w:r w:rsidRPr="00433368">
        <w:rPr>
          <w:rFonts w:hint="default"/>
        </w:rPr>
        <w:t xml:space="preserve"> z 13. decembra 2011 o</w:t>
      </w:r>
      <w:r>
        <w:t> </w:t>
      </w:r>
      <w:r w:rsidRPr="00433368">
        <w:rPr>
          <w:rFonts w:hint="default"/>
        </w:rPr>
        <w:t>normá</w:t>
      </w:r>
      <w:r w:rsidRPr="00433368">
        <w:rPr>
          <w:rFonts w:hint="default"/>
        </w:rPr>
        <w:t>ch pre oprá</w:t>
      </w:r>
      <w:r w:rsidRPr="00433368">
        <w:rPr>
          <w:rFonts w:hint="default"/>
        </w:rPr>
        <w:t>vnenie š</w:t>
      </w:r>
      <w:r w:rsidRPr="00433368">
        <w:rPr>
          <w:rFonts w:hint="default"/>
        </w:rPr>
        <w:t>tá</w:t>
      </w:r>
      <w:r w:rsidRPr="00433368">
        <w:rPr>
          <w:rFonts w:hint="default"/>
        </w:rPr>
        <w:t>tnych prí</w:t>
      </w:r>
      <w:r w:rsidRPr="00433368">
        <w:rPr>
          <w:rFonts w:hint="default"/>
        </w:rPr>
        <w:t>sluš</w:t>
      </w:r>
      <w:r w:rsidRPr="00433368">
        <w:rPr>
          <w:rFonts w:hint="default"/>
        </w:rPr>
        <w:t>ní</w:t>
      </w:r>
      <w:r w:rsidRPr="00433368">
        <w:rPr>
          <w:rFonts w:hint="default"/>
        </w:rPr>
        <w:t>kov tretej krajiny alebo osô</w:t>
      </w:r>
      <w:r w:rsidRPr="00433368">
        <w:rPr>
          <w:rFonts w:hint="default"/>
        </w:rPr>
        <w:t>b bez š</w:t>
      </w:r>
      <w:r w:rsidRPr="00433368">
        <w:rPr>
          <w:rFonts w:hint="default"/>
        </w:rPr>
        <w:t>tá</w:t>
      </w:r>
      <w:r w:rsidRPr="00433368">
        <w:rPr>
          <w:rFonts w:hint="default"/>
        </w:rPr>
        <w:t>tneho obč</w:t>
      </w:r>
      <w:r w:rsidRPr="00433368">
        <w:rPr>
          <w:rFonts w:hint="default"/>
        </w:rPr>
        <w:t>ianstva mať</w:t>
      </w:r>
      <w:r w:rsidRPr="00433368">
        <w:rPr>
          <w:rFonts w:hint="default"/>
        </w:rPr>
        <w:t xml:space="preserve"> postavenie medziná</w:t>
      </w:r>
      <w:r w:rsidRPr="00433368">
        <w:rPr>
          <w:rFonts w:hint="default"/>
        </w:rPr>
        <w:t>rodnej ochrany, o jednotnom postavení</w:t>
      </w:r>
      <w:r w:rsidRPr="00433368">
        <w:rPr>
          <w:rFonts w:hint="default"/>
        </w:rPr>
        <w:t xml:space="preserve"> ute</w:t>
      </w:r>
      <w:r w:rsidRPr="00433368">
        <w:rPr>
          <w:rFonts w:hint="default"/>
        </w:rPr>
        <w:t>č</w:t>
      </w:r>
      <w:r w:rsidRPr="00433368">
        <w:rPr>
          <w:rFonts w:hint="default"/>
        </w:rPr>
        <w:t>encov alebo osô</w:t>
      </w:r>
      <w:r w:rsidRPr="00433368">
        <w:rPr>
          <w:rFonts w:hint="default"/>
        </w:rPr>
        <w:t>b oprá</w:t>
      </w:r>
      <w:r w:rsidRPr="00433368">
        <w:rPr>
          <w:rFonts w:hint="default"/>
        </w:rPr>
        <w:t>vnený</w:t>
      </w:r>
      <w:r w:rsidRPr="00433368">
        <w:rPr>
          <w:rFonts w:hint="default"/>
        </w:rPr>
        <w:t>ch na doplnkovú</w:t>
      </w:r>
      <w:r w:rsidRPr="00433368">
        <w:rPr>
          <w:rFonts w:hint="default"/>
        </w:rPr>
        <w:t xml:space="preserve"> ochranu a o obsahu poskytovanej ochrany (prepracované</w:t>
      </w:r>
      <w:r w:rsidRPr="00433368">
        <w:rPr>
          <w:rFonts w:hint="default"/>
        </w:rPr>
        <w:t xml:space="preserve"> znenie)  (Ú</w:t>
      </w:r>
      <w:r w:rsidRPr="00433368">
        <w:rPr>
          <w:rFonts w:hint="default"/>
        </w:rPr>
        <w:t>. v. EÚ</w:t>
      </w:r>
      <w:r w:rsidRPr="00433368">
        <w:rPr>
          <w:rFonts w:hint="default"/>
        </w:rPr>
        <w:t xml:space="preserve"> L 337, 20. 12. 2011)</w:t>
      </w:r>
    </w:p>
    <w:p w:rsidR="00C730A5" w:rsidRPr="00433368" w:rsidP="00C730A5">
      <w:pPr>
        <w:bidi w:val="0"/>
        <w:ind w:left="1069" w:hanging="1"/>
        <w:jc w:val="both"/>
        <w:rPr>
          <w:color w:val="9BBB59"/>
        </w:rPr>
      </w:pPr>
    </w:p>
    <w:p w:rsidR="00C730A5" w:rsidRPr="00433368" w:rsidP="00C730A5">
      <w:pPr>
        <w:bidi w:val="0"/>
        <w:ind w:left="1068" w:hanging="360"/>
        <w:jc w:val="both"/>
        <w:rPr>
          <w:rFonts w:hint="default"/>
        </w:rPr>
      </w:pPr>
      <w:r w:rsidRPr="00433368">
        <w:t>2.</w:t>
        <w:tab/>
      </w:r>
      <w:r w:rsidRPr="00433368">
        <w:rPr>
          <w:rFonts w:hint="default"/>
        </w:rPr>
        <w:t>nelegislatí</w:t>
      </w:r>
      <w:r w:rsidRPr="00433368">
        <w:rPr>
          <w:rFonts w:hint="default"/>
        </w:rPr>
        <w:t>vne akty</w:t>
      </w:r>
    </w:p>
    <w:tbl>
      <w:tblPr>
        <w:tblStyle w:val="TableNormal"/>
        <w:tblW w:w="8658" w:type="dxa"/>
        <w:tblInd w:w="1101" w:type="dxa"/>
        <w:tblLayout w:type="fixed"/>
        <w:tblLook w:val="04A0"/>
      </w:tblPr>
      <w:tblGrid>
        <w:gridCol w:w="8658"/>
      </w:tblGrid>
      <w:tr>
        <w:tblPrEx>
          <w:tblW w:w="8658" w:type="dxa"/>
          <w:tblInd w:w="1101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C730A5" w:rsidP="00162FE2">
            <w:pPr>
              <w:bidi w:val="0"/>
              <w:jc w:val="both"/>
            </w:pPr>
            <w:r>
              <w:t xml:space="preserve">- </w:t>
            </w:r>
            <w:r w:rsidRPr="00433368">
              <w:rPr>
                <w:rFonts w:hint="default"/>
              </w:rPr>
              <w:t>nie je upravená, </w:t>
            </w:r>
          </w:p>
          <w:p w:rsidR="00C730A5" w:rsidRPr="00433368" w:rsidP="00162FE2">
            <w:pPr>
              <w:bidi w:val="0"/>
              <w:jc w:val="both"/>
            </w:pPr>
          </w:p>
        </w:tc>
      </w:tr>
    </w:tbl>
    <w:p w:rsidR="00C730A5" w:rsidRPr="00433368" w:rsidP="00C730A5">
      <w:pPr>
        <w:tabs>
          <w:tab w:val="left" w:pos="1068"/>
        </w:tabs>
        <w:bidi w:val="0"/>
        <w:ind w:left="709" w:hanging="171"/>
        <w:jc w:val="both"/>
      </w:pPr>
      <w:r w:rsidRPr="00433368">
        <w:t>-</w:t>
        <w:tab/>
      </w:r>
      <w:r w:rsidRPr="00433368">
        <w:rPr>
          <w:rFonts w:hint="default"/>
          <w:i/>
        </w:rPr>
        <w:t>sekundá</w:t>
      </w:r>
      <w:r w:rsidRPr="00433368">
        <w:rPr>
          <w:rFonts w:hint="default"/>
          <w:i/>
        </w:rPr>
        <w:t>rnom (prijatom pred nadobudnutí</w:t>
      </w:r>
      <w:r w:rsidRPr="00433368">
        <w:rPr>
          <w:rFonts w:hint="default"/>
          <w:i/>
        </w:rPr>
        <w:t>m platnosti Lisabonskej zmluvy, k</w:t>
      </w:r>
      <w:r w:rsidRPr="00433368">
        <w:rPr>
          <w:rFonts w:hint="default"/>
          <w:i/>
        </w:rPr>
        <w:t>torou sa mení</w:t>
      </w:r>
      <w:r w:rsidRPr="00433368">
        <w:rPr>
          <w:rFonts w:hint="default"/>
          <w:i/>
        </w:rPr>
        <w:t xml:space="preserve"> a dopĺň</w:t>
      </w:r>
      <w:r w:rsidRPr="00433368">
        <w:rPr>
          <w:rFonts w:hint="default"/>
          <w:i/>
        </w:rPr>
        <w:t>a Zmluva o Euró</w:t>
      </w:r>
      <w:r w:rsidRPr="00433368">
        <w:rPr>
          <w:rFonts w:hint="default"/>
          <w:i/>
        </w:rPr>
        <w:t>pskom spoloč</w:t>
      </w:r>
      <w:r w:rsidRPr="00433368">
        <w:rPr>
          <w:rFonts w:hint="default"/>
          <w:i/>
        </w:rPr>
        <w:t>enstve a Zmluva o Euró</w:t>
      </w:r>
      <w:r w:rsidRPr="00433368">
        <w:rPr>
          <w:rFonts w:hint="default"/>
          <w:i/>
        </w:rPr>
        <w:t>pskej ú</w:t>
      </w:r>
      <w:r w:rsidRPr="00433368">
        <w:rPr>
          <w:rFonts w:hint="default"/>
          <w:i/>
        </w:rPr>
        <w:t xml:space="preserve">nii </w:t>
      </w:r>
      <w:r w:rsidRPr="00433368">
        <w:rPr>
          <w:rFonts w:hint="default"/>
          <w:i/>
        </w:rPr>
        <w:t>–</w:t>
      </w:r>
      <w:r w:rsidRPr="00433368">
        <w:rPr>
          <w:rFonts w:hint="default"/>
          <w:i/>
        </w:rPr>
        <w:t xml:space="preserve"> do 30. novembra 2009)</w:t>
      </w:r>
    </w:p>
    <w:tbl>
      <w:tblPr>
        <w:tblStyle w:val="TableNormal"/>
        <w:tblW w:w="0" w:type="auto"/>
        <w:jc w:val="center"/>
        <w:tblLayout w:type="fixed"/>
        <w:tblLook w:val="04A0"/>
      </w:tblPr>
      <w:tblGrid>
        <w:gridCol w:w="8658"/>
      </w:tblGrid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730A5" w:rsidRPr="00433368" w:rsidP="00162FE2">
            <w:pPr>
              <w:bidi w:val="0"/>
              <w:ind w:left="227"/>
              <w:jc w:val="both"/>
              <w:rPr>
                <w:rFonts w:hint="default"/>
              </w:rPr>
            </w:pPr>
            <w:r w:rsidRPr="00433368">
              <w:rPr>
                <w:rFonts w:hint="default"/>
              </w:rPr>
              <w:t>- nie je upravená, 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730A5" w:rsidRPr="00433368" w:rsidP="00162FE2">
            <w:pPr>
              <w:bidi w:val="0"/>
              <w:jc w:val="both"/>
            </w:pPr>
          </w:p>
        </w:tc>
      </w:tr>
    </w:tbl>
    <w:p w:rsidR="00C730A5" w:rsidRPr="00433368" w:rsidP="00C730A5">
      <w:pPr>
        <w:bidi w:val="0"/>
        <w:ind w:left="709" w:hanging="349"/>
        <w:rPr>
          <w:rFonts w:hint="default"/>
        </w:rPr>
      </w:pPr>
      <w:r w:rsidRPr="00433368">
        <w:t>b)</w:t>
        <w:tab/>
      </w:r>
      <w:r w:rsidRPr="00433368">
        <w:rPr>
          <w:rFonts w:hint="default"/>
        </w:rPr>
        <w:t>je obsiahnutá</w:t>
      </w:r>
      <w:r w:rsidRPr="00433368">
        <w:rPr>
          <w:rFonts w:hint="default"/>
        </w:rPr>
        <w:t xml:space="preserve"> v judikatú</w:t>
      </w:r>
      <w:r w:rsidRPr="00433368">
        <w:rPr>
          <w:rFonts w:hint="default"/>
        </w:rPr>
        <w:t>re Sú</w:t>
      </w:r>
      <w:r w:rsidRPr="00433368">
        <w:rPr>
          <w:rFonts w:hint="default"/>
        </w:rPr>
        <w:t>dneho dvora Euró</w:t>
      </w:r>
      <w:r w:rsidRPr="00433368">
        <w:rPr>
          <w:rFonts w:hint="default"/>
        </w:rPr>
        <w:t>pskej ú</w:t>
      </w:r>
      <w:r w:rsidRPr="00433368">
        <w:rPr>
          <w:rFonts w:hint="default"/>
        </w:rPr>
        <w:t>nie.</w:t>
      </w:r>
    </w:p>
    <w:p w:rsidR="00C730A5" w:rsidRPr="00433368" w:rsidP="00C730A5">
      <w:pPr>
        <w:bidi w:val="0"/>
        <w:ind w:left="709" w:hanging="349"/>
        <w:rPr>
          <w:rFonts w:hint="default"/>
        </w:rPr>
      </w:pPr>
    </w:p>
    <w:p w:rsidR="00C730A5" w:rsidRPr="00433368" w:rsidP="00C730A5">
      <w:pPr>
        <w:bidi w:val="0"/>
        <w:ind w:left="720"/>
        <w:rPr>
          <w:rFonts w:hint="default"/>
        </w:rPr>
      </w:pPr>
      <w:r w:rsidRPr="00433368">
        <w:rPr>
          <w:rFonts w:hint="default"/>
        </w:rPr>
        <w:t>- bezpredmetné</w:t>
      </w:r>
    </w:p>
    <w:p w:rsidR="00C730A5" w:rsidRPr="00433368" w:rsidP="00C730A5">
      <w:pPr>
        <w:bidi w:val="0"/>
        <w:ind w:left="426"/>
      </w:pPr>
      <w:r w:rsidRPr="00433368">
        <w:t> </w:t>
      </w:r>
    </w:p>
    <w:p w:rsidR="00C730A5" w:rsidRPr="00433368" w:rsidP="00C730A5">
      <w:pPr>
        <w:bidi w:val="0"/>
        <w:ind w:left="360" w:hanging="360"/>
        <w:rPr>
          <w:rFonts w:hint="default"/>
          <w:b/>
        </w:rPr>
      </w:pPr>
      <w:r w:rsidRPr="00433368">
        <w:rPr>
          <w:b/>
        </w:rPr>
        <w:t>4.</w:t>
        <w:tab/>
      </w:r>
      <w:r w:rsidRPr="00433368">
        <w:rPr>
          <w:rFonts w:hint="default"/>
          <w:b/>
        </w:rPr>
        <w:t>Zá</w:t>
      </w:r>
      <w:r w:rsidRPr="00433368">
        <w:rPr>
          <w:rFonts w:hint="default"/>
          <w:b/>
        </w:rPr>
        <w:t>vä</w:t>
      </w:r>
      <w:r w:rsidRPr="00433368">
        <w:rPr>
          <w:rFonts w:hint="default"/>
          <w:b/>
        </w:rPr>
        <w:t>zky Slovenskej republiky vo vzť</w:t>
      </w:r>
      <w:r w:rsidRPr="00433368">
        <w:rPr>
          <w:rFonts w:hint="default"/>
          <w:b/>
        </w:rPr>
        <w:t>ahu k </w:t>
      </w:r>
      <w:r w:rsidRPr="00433368">
        <w:rPr>
          <w:rFonts w:hint="default"/>
          <w:b/>
        </w:rPr>
        <w:t>Euró</w:t>
      </w:r>
      <w:r w:rsidRPr="00433368">
        <w:rPr>
          <w:rFonts w:hint="default"/>
          <w:b/>
        </w:rPr>
        <w:t>ps</w:t>
      </w:r>
      <w:r w:rsidRPr="00433368">
        <w:rPr>
          <w:rFonts w:hint="default"/>
          <w:b/>
        </w:rPr>
        <w:t>kej ú</w:t>
      </w:r>
      <w:r w:rsidRPr="00433368">
        <w:rPr>
          <w:rFonts w:hint="default"/>
          <w:b/>
        </w:rPr>
        <w:t xml:space="preserve">nii: </w:t>
      </w:r>
    </w:p>
    <w:p w:rsidR="00C730A5" w:rsidRPr="00433368" w:rsidP="00C730A5">
      <w:pPr>
        <w:bidi w:val="0"/>
      </w:pPr>
    </w:p>
    <w:p w:rsidR="00C730A5" w:rsidRPr="00433368" w:rsidP="00C730A5">
      <w:pPr>
        <w:widowControl w:val="0"/>
        <w:numPr>
          <w:numId w:val="6"/>
        </w:numPr>
        <w:autoSpaceDE w:val="0"/>
        <w:autoSpaceDN w:val="0"/>
        <w:bidi w:val="0"/>
        <w:adjustRightInd w:val="0"/>
        <w:rPr>
          <w:rFonts w:hint="default"/>
        </w:rPr>
      </w:pPr>
      <w:r w:rsidRPr="00433368">
        <w:rPr>
          <w:rFonts w:hint="default"/>
        </w:rPr>
        <w:t>lehota na prebratie smernice alebo lehota na implementá</w:t>
      </w:r>
      <w:r w:rsidRPr="00433368">
        <w:rPr>
          <w:rFonts w:hint="default"/>
        </w:rPr>
        <w:t>ciu nariadenia alebo rozhodnutia</w:t>
      </w:r>
    </w:p>
    <w:p w:rsidR="00C730A5" w:rsidRPr="00433368" w:rsidP="00C730A5">
      <w:pPr>
        <w:bidi w:val="0"/>
        <w:ind w:firstLine="708"/>
      </w:pPr>
    </w:p>
    <w:p w:rsidR="00C730A5" w:rsidRPr="00433368" w:rsidP="00C730A5">
      <w:pPr>
        <w:bidi w:val="0"/>
        <w:ind w:firstLine="708"/>
      </w:pPr>
      <w:r w:rsidRPr="00433368">
        <w:t>- 21. 12. 2013</w:t>
      </w:r>
    </w:p>
    <w:p w:rsidR="00C730A5" w:rsidRPr="00433368" w:rsidP="00C730A5">
      <w:pPr>
        <w:bidi w:val="0"/>
        <w:ind w:firstLine="708"/>
      </w:pPr>
    </w:p>
    <w:p w:rsidR="00C730A5" w:rsidRPr="00433368" w:rsidP="00C730A5">
      <w:pPr>
        <w:bidi w:val="0"/>
        <w:ind w:left="709" w:hanging="349"/>
        <w:jc w:val="both"/>
        <w:rPr>
          <w:rFonts w:hint="default"/>
        </w:rPr>
      </w:pPr>
      <w:r w:rsidRPr="00433368">
        <w:t>b)</w:t>
        <w:tab/>
      </w:r>
      <w:r w:rsidRPr="00433368">
        <w:rPr>
          <w:rFonts w:hint="default"/>
        </w:rPr>
        <w:t>lehota urč</w:t>
      </w:r>
      <w:r w:rsidRPr="00433368">
        <w:rPr>
          <w:rFonts w:hint="default"/>
        </w:rPr>
        <w:t>ená</w:t>
      </w:r>
      <w:r w:rsidRPr="00433368">
        <w:rPr>
          <w:rFonts w:hint="default"/>
        </w:rPr>
        <w:t xml:space="preserve"> na predlož</w:t>
      </w:r>
      <w:r w:rsidRPr="00433368">
        <w:rPr>
          <w:rFonts w:hint="default"/>
        </w:rPr>
        <w:t>enie ná</w:t>
      </w:r>
      <w:r w:rsidRPr="00433368">
        <w:rPr>
          <w:rFonts w:hint="default"/>
        </w:rPr>
        <w:t>vrhu prá</w:t>
      </w:r>
      <w:r w:rsidRPr="00433368">
        <w:rPr>
          <w:rFonts w:hint="default"/>
        </w:rPr>
        <w:t>vneho predpisu na rokovanie vlá</w:t>
      </w:r>
      <w:r w:rsidRPr="00433368">
        <w:rPr>
          <w:rFonts w:hint="default"/>
        </w:rPr>
        <w:t>dy podľ</w:t>
      </w:r>
      <w:r w:rsidRPr="00433368">
        <w:rPr>
          <w:rFonts w:hint="default"/>
        </w:rPr>
        <w:t>a urč</w:t>
      </w:r>
      <w:r w:rsidRPr="00433368">
        <w:rPr>
          <w:rFonts w:hint="default"/>
        </w:rPr>
        <w:t>enia gestorský</w:t>
      </w:r>
      <w:r w:rsidRPr="00433368">
        <w:rPr>
          <w:rFonts w:hint="default"/>
        </w:rPr>
        <w:t>ch ú</w:t>
      </w:r>
      <w:r w:rsidRPr="00433368">
        <w:rPr>
          <w:rFonts w:hint="default"/>
        </w:rPr>
        <w:t>stredný</w:t>
      </w:r>
      <w:r w:rsidRPr="00433368">
        <w:rPr>
          <w:rFonts w:hint="default"/>
        </w:rPr>
        <w:t>ch orgá</w:t>
      </w:r>
      <w:r w:rsidRPr="00433368">
        <w:rPr>
          <w:rFonts w:hint="default"/>
        </w:rPr>
        <w:t>nov š</w:t>
      </w:r>
      <w:r w:rsidRPr="00433368">
        <w:rPr>
          <w:rFonts w:hint="default"/>
        </w:rPr>
        <w:t>tá</w:t>
      </w:r>
      <w:r w:rsidRPr="00433368">
        <w:rPr>
          <w:rFonts w:hint="default"/>
        </w:rPr>
        <w:t>tnej sprá</w:t>
      </w:r>
      <w:r w:rsidRPr="00433368">
        <w:rPr>
          <w:rFonts w:hint="default"/>
        </w:rPr>
        <w:t>vy zodpovedný</w:t>
      </w:r>
      <w:r w:rsidRPr="00433368">
        <w:rPr>
          <w:rFonts w:hint="default"/>
        </w:rPr>
        <w:t>ch za transpozí</w:t>
      </w:r>
      <w:r w:rsidRPr="00433368">
        <w:rPr>
          <w:rFonts w:hint="default"/>
        </w:rPr>
        <w:t>ciu smerní</w:t>
      </w:r>
      <w:r w:rsidRPr="00433368">
        <w:rPr>
          <w:rFonts w:hint="default"/>
        </w:rPr>
        <w:t>c a</w:t>
      </w:r>
      <w:r>
        <w:t> </w:t>
      </w:r>
      <w:r w:rsidRPr="00433368">
        <w:rPr>
          <w:rFonts w:hint="default"/>
        </w:rPr>
        <w:t>vypracovanie tabuliek zhody k ná</w:t>
      </w:r>
      <w:r w:rsidRPr="00433368">
        <w:rPr>
          <w:rFonts w:hint="default"/>
        </w:rPr>
        <w:t>vrhom vš</w:t>
      </w:r>
      <w:r w:rsidRPr="00433368">
        <w:rPr>
          <w:rFonts w:hint="default"/>
        </w:rPr>
        <w:t>eobecne zá</w:t>
      </w:r>
      <w:r w:rsidRPr="00433368">
        <w:rPr>
          <w:rFonts w:hint="default"/>
        </w:rPr>
        <w:t>vä</w:t>
      </w:r>
      <w:r w:rsidRPr="00433368">
        <w:rPr>
          <w:rFonts w:hint="default"/>
        </w:rPr>
        <w:t>zný</w:t>
      </w:r>
      <w:r w:rsidRPr="00433368">
        <w:rPr>
          <w:rFonts w:hint="default"/>
        </w:rPr>
        <w:t>ch prá</w:t>
      </w:r>
      <w:r w:rsidRPr="00433368">
        <w:rPr>
          <w:rFonts w:hint="default"/>
        </w:rPr>
        <w:t>vnych predpisov</w:t>
      </w:r>
    </w:p>
    <w:p w:rsidR="00C730A5" w:rsidRPr="00433368" w:rsidP="00C730A5">
      <w:pPr>
        <w:bidi w:val="0"/>
        <w:ind w:left="709" w:hanging="349"/>
      </w:pPr>
    </w:p>
    <w:p w:rsidR="00C730A5" w:rsidRPr="00433368" w:rsidP="00C730A5">
      <w:pPr>
        <w:bidi w:val="0"/>
        <w:ind w:left="720"/>
        <w:rPr>
          <w:rFonts w:hint="default"/>
        </w:rPr>
      </w:pPr>
      <w:r w:rsidRPr="00433368">
        <w:rPr>
          <w:rFonts w:hint="default"/>
        </w:rPr>
        <w:t>- bezpredmetné</w:t>
      </w:r>
    </w:p>
    <w:p w:rsidR="00C730A5" w:rsidRPr="00433368" w:rsidP="00C730A5">
      <w:pPr>
        <w:bidi w:val="0"/>
        <w:ind w:left="720"/>
        <w:rPr>
          <w:rFonts w:hint="default"/>
        </w:rPr>
      </w:pPr>
    </w:p>
    <w:p w:rsidR="00C730A5" w:rsidRPr="00433368" w:rsidP="00C730A5">
      <w:pPr>
        <w:bidi w:val="0"/>
        <w:ind w:left="709" w:hanging="349"/>
        <w:rPr>
          <w:rFonts w:hint="default"/>
        </w:rPr>
      </w:pPr>
      <w:r w:rsidRPr="00433368">
        <w:t>c)</w:t>
        <w:tab/>
      </w:r>
      <w:r w:rsidRPr="00433368">
        <w:rPr>
          <w:rFonts w:hint="default"/>
        </w:rPr>
        <w:t>informá</w:t>
      </w:r>
      <w:r w:rsidRPr="00433368">
        <w:rPr>
          <w:rFonts w:hint="default"/>
        </w:rPr>
        <w:t>cia o konaní</w:t>
      </w:r>
      <w:r w:rsidRPr="00433368">
        <w:rPr>
          <w:rFonts w:hint="default"/>
        </w:rPr>
        <w:t xml:space="preserve"> zač</w:t>
      </w:r>
      <w:r w:rsidRPr="00433368">
        <w:rPr>
          <w:rFonts w:hint="default"/>
        </w:rPr>
        <w:t>ato</w:t>
      </w:r>
      <w:r w:rsidRPr="00433368">
        <w:rPr>
          <w:rFonts w:hint="default"/>
        </w:rPr>
        <w:t>m proti Slovenskej republike o poruš</w:t>
      </w:r>
      <w:r w:rsidRPr="00433368">
        <w:rPr>
          <w:rFonts w:hint="default"/>
        </w:rPr>
        <w:t>ení</w:t>
      </w:r>
      <w:r w:rsidRPr="00433368">
        <w:rPr>
          <w:rFonts w:hint="default"/>
        </w:rPr>
        <w:t xml:space="preserve"> podľ</w:t>
      </w:r>
      <w:r w:rsidRPr="00433368">
        <w:rPr>
          <w:rFonts w:hint="default"/>
        </w:rPr>
        <w:t>a č</w:t>
      </w:r>
      <w:r w:rsidRPr="00433368">
        <w:rPr>
          <w:rFonts w:hint="default"/>
        </w:rPr>
        <w:t>l. 258 až</w:t>
      </w:r>
      <w:r w:rsidRPr="00433368">
        <w:rPr>
          <w:rFonts w:hint="default"/>
        </w:rPr>
        <w:t xml:space="preserve"> 260 Zmluvy o fungovaní</w:t>
      </w:r>
      <w:r w:rsidRPr="00433368">
        <w:rPr>
          <w:rFonts w:hint="default"/>
        </w:rPr>
        <w:t xml:space="preserve"> Euró</w:t>
      </w:r>
      <w:r w:rsidRPr="00433368">
        <w:rPr>
          <w:rFonts w:hint="default"/>
        </w:rPr>
        <w:t>pskej ú</w:t>
      </w:r>
      <w:r w:rsidRPr="00433368">
        <w:rPr>
          <w:rFonts w:hint="default"/>
        </w:rPr>
        <w:t>nie</w:t>
      </w:r>
    </w:p>
    <w:p w:rsidR="00C730A5" w:rsidRPr="00433368" w:rsidP="00C730A5">
      <w:pPr>
        <w:bidi w:val="0"/>
        <w:ind w:left="720"/>
      </w:pPr>
    </w:p>
    <w:p w:rsidR="00C730A5" w:rsidRPr="00433368" w:rsidP="00C730A5">
      <w:pPr>
        <w:bidi w:val="0"/>
        <w:ind w:left="720"/>
        <w:rPr>
          <w:rFonts w:hint="default"/>
        </w:rPr>
      </w:pPr>
      <w:r w:rsidRPr="00433368">
        <w:rPr>
          <w:rFonts w:hint="default"/>
        </w:rPr>
        <w:t>- bezpredmetné</w:t>
      </w:r>
    </w:p>
    <w:p w:rsidR="00C730A5" w:rsidRPr="00433368" w:rsidP="00C730A5">
      <w:pPr>
        <w:bidi w:val="0"/>
        <w:ind w:firstLine="708"/>
      </w:pPr>
    </w:p>
    <w:p w:rsidR="00C730A5" w:rsidRPr="00433368" w:rsidP="00C730A5">
      <w:pPr>
        <w:bidi w:val="0"/>
        <w:ind w:left="709" w:hanging="349"/>
        <w:rPr>
          <w:rFonts w:hint="default"/>
        </w:rPr>
      </w:pPr>
      <w:r w:rsidRPr="00433368">
        <w:t>d)</w:t>
        <w:tab/>
      </w:r>
      <w:r w:rsidRPr="00433368">
        <w:rPr>
          <w:rFonts w:hint="default"/>
        </w:rPr>
        <w:t>informá</w:t>
      </w:r>
      <w:r w:rsidRPr="00433368">
        <w:rPr>
          <w:rFonts w:hint="default"/>
        </w:rPr>
        <w:t>cia o prá</w:t>
      </w:r>
      <w:r w:rsidRPr="00433368">
        <w:rPr>
          <w:rFonts w:hint="default"/>
        </w:rPr>
        <w:t>vnych predpisoch, v ktorý</w:t>
      </w:r>
      <w:r w:rsidRPr="00433368">
        <w:rPr>
          <w:rFonts w:hint="default"/>
        </w:rPr>
        <w:t>ch sú</w:t>
      </w:r>
      <w:r w:rsidRPr="00433368">
        <w:rPr>
          <w:rFonts w:hint="default"/>
        </w:rPr>
        <w:t xml:space="preserve"> preberané</w:t>
      </w:r>
      <w:r w:rsidRPr="00433368">
        <w:rPr>
          <w:rFonts w:hint="default"/>
        </w:rPr>
        <w:t xml:space="preserve"> smernice už</w:t>
      </w:r>
      <w:r w:rsidRPr="00433368">
        <w:rPr>
          <w:rFonts w:hint="default"/>
        </w:rPr>
        <w:t xml:space="preserve"> prebraté</w:t>
      </w:r>
      <w:r w:rsidRPr="00433368">
        <w:rPr>
          <w:rFonts w:hint="default"/>
        </w:rPr>
        <w:t xml:space="preserve"> spolu s uvedení</w:t>
      </w:r>
      <w:r w:rsidRPr="00433368">
        <w:rPr>
          <w:rFonts w:hint="default"/>
        </w:rPr>
        <w:t>m rozsahu tohto prebratia</w:t>
      </w:r>
    </w:p>
    <w:p w:rsidR="00C730A5" w:rsidRPr="00433368" w:rsidP="00C730A5">
      <w:pPr>
        <w:bidi w:val="0"/>
        <w:ind w:left="720"/>
      </w:pPr>
    </w:p>
    <w:p w:rsidR="00C730A5" w:rsidRPr="00433368" w:rsidP="00C730A5">
      <w:pPr>
        <w:bidi w:val="0"/>
        <w:ind w:left="720"/>
        <w:rPr>
          <w:rFonts w:hint="default"/>
        </w:rPr>
      </w:pPr>
      <w:r w:rsidRPr="00433368">
        <w:rPr>
          <w:rFonts w:hint="default"/>
        </w:rPr>
        <w:t>- bezpredmetné</w:t>
      </w:r>
    </w:p>
    <w:p w:rsidR="00C730A5" w:rsidRPr="00433368" w:rsidP="00C730A5">
      <w:pPr>
        <w:bidi w:val="0"/>
      </w:pPr>
    </w:p>
    <w:p w:rsidR="00C730A5" w:rsidRPr="00433368" w:rsidP="00C730A5">
      <w:pPr>
        <w:bidi w:val="0"/>
        <w:ind w:left="360" w:hanging="360"/>
        <w:rPr>
          <w:rFonts w:hint="default"/>
          <w:b/>
        </w:rPr>
      </w:pPr>
      <w:r w:rsidRPr="00433368">
        <w:rPr>
          <w:b/>
        </w:rPr>
        <w:t>5.</w:t>
        <w:tab/>
        <w:t>St</w:t>
      </w:r>
      <w:r w:rsidRPr="00433368">
        <w:rPr>
          <w:rFonts w:hint="default"/>
          <w:b/>
        </w:rPr>
        <w:t>upeň</w:t>
      </w:r>
      <w:r w:rsidRPr="00433368">
        <w:rPr>
          <w:rFonts w:hint="default"/>
          <w:b/>
        </w:rPr>
        <w:t xml:space="preserve"> zluč</w:t>
      </w:r>
      <w:r w:rsidRPr="00433368">
        <w:rPr>
          <w:rFonts w:hint="default"/>
          <w:b/>
        </w:rPr>
        <w:t>iteľ</w:t>
      </w:r>
      <w:r w:rsidRPr="00433368">
        <w:rPr>
          <w:rFonts w:hint="default"/>
          <w:b/>
        </w:rPr>
        <w:t>nosti ná</w:t>
      </w:r>
      <w:r w:rsidRPr="00433368">
        <w:rPr>
          <w:rFonts w:hint="default"/>
          <w:b/>
        </w:rPr>
        <w:t>vrhu prá</w:t>
      </w:r>
      <w:r w:rsidRPr="00433368">
        <w:rPr>
          <w:rFonts w:hint="default"/>
          <w:b/>
        </w:rPr>
        <w:t>vneho predpisu s </w:t>
      </w:r>
      <w:r w:rsidRPr="00433368">
        <w:rPr>
          <w:rFonts w:hint="default"/>
          <w:b/>
        </w:rPr>
        <w:t>prá</w:t>
      </w:r>
      <w:r w:rsidRPr="00433368">
        <w:rPr>
          <w:rFonts w:hint="default"/>
          <w:b/>
        </w:rPr>
        <w:t>vom Euró</w:t>
      </w:r>
      <w:r w:rsidRPr="00433368">
        <w:rPr>
          <w:rFonts w:hint="default"/>
          <w:b/>
        </w:rPr>
        <w:t>pskej ú</w:t>
      </w:r>
      <w:r w:rsidRPr="00433368">
        <w:rPr>
          <w:rFonts w:hint="default"/>
          <w:b/>
        </w:rPr>
        <w:t>nie:</w:t>
      </w:r>
    </w:p>
    <w:p w:rsidR="00C730A5" w:rsidRPr="00433368" w:rsidP="00C730A5">
      <w:pPr>
        <w:bidi w:val="0"/>
      </w:pPr>
    </w:p>
    <w:p w:rsidR="00C730A5" w:rsidRPr="00433368" w:rsidP="00C730A5">
      <w:pPr>
        <w:bidi w:val="0"/>
        <w:ind w:firstLine="360"/>
        <w:rPr>
          <w:rFonts w:hint="default"/>
        </w:rPr>
      </w:pPr>
      <w:r w:rsidRPr="00433368">
        <w:rPr>
          <w:rFonts w:hint="default"/>
        </w:rPr>
        <w:t>Stupeň</w:t>
      </w:r>
      <w:r w:rsidRPr="00433368">
        <w:rPr>
          <w:rFonts w:hint="default"/>
        </w:rPr>
        <w:t xml:space="preserve"> zluč</w:t>
      </w:r>
      <w:r w:rsidRPr="00433368">
        <w:rPr>
          <w:rFonts w:hint="default"/>
        </w:rPr>
        <w:t>iteľ</w:t>
      </w:r>
      <w:r w:rsidRPr="00433368">
        <w:rPr>
          <w:rFonts w:hint="default"/>
        </w:rPr>
        <w:t>nosti - ú</w:t>
      </w:r>
      <w:r w:rsidRPr="00433368">
        <w:rPr>
          <w:rFonts w:hint="default"/>
        </w:rPr>
        <w:t>plný </w:t>
      </w:r>
    </w:p>
    <w:p w:rsidR="00C730A5" w:rsidRPr="00433368" w:rsidP="00C730A5">
      <w:pPr>
        <w:bidi w:val="0"/>
      </w:pPr>
    </w:p>
    <w:p w:rsidR="00D93D34" w:rsidP="00D93D34">
      <w:pPr>
        <w:bidi w:val="0"/>
        <w:jc w:val="both"/>
      </w:pPr>
    </w:p>
    <w:p w:rsidR="00D93D34" w:rsidP="00D93D34">
      <w:pPr>
        <w:bidi w:val="0"/>
        <w:ind w:left="360" w:hanging="360"/>
        <w:jc w:val="both"/>
        <w:rPr>
          <w:rFonts w:hint="default"/>
          <w:b/>
        </w:rPr>
      </w:pPr>
      <w:r>
        <w:rPr>
          <w:b/>
        </w:rPr>
        <w:t>6.</w:t>
        <w:tab/>
        <w:t>Gestor a </w:t>
      </w:r>
      <w:r>
        <w:rPr>
          <w:rFonts w:hint="default"/>
          <w:b/>
        </w:rPr>
        <w:t>spolupracujú</w:t>
      </w:r>
      <w:r>
        <w:rPr>
          <w:rFonts w:hint="default"/>
          <w:b/>
        </w:rPr>
        <w:t xml:space="preserve">ce rezorty: </w:t>
      </w:r>
    </w:p>
    <w:p w:rsidR="00D93D34" w:rsidP="00D93D34">
      <w:pPr>
        <w:tabs>
          <w:tab w:val="left" w:pos="360"/>
        </w:tabs>
        <w:bidi w:val="0"/>
        <w:ind w:left="360"/>
        <w:jc w:val="both"/>
      </w:pPr>
    </w:p>
    <w:p w:rsidR="00D93D34" w:rsidP="00D93D34">
      <w:pPr>
        <w:tabs>
          <w:tab w:val="left" w:pos="360"/>
        </w:tabs>
        <w:bidi w:val="0"/>
        <w:ind w:left="360"/>
        <w:jc w:val="both"/>
      </w:pPr>
      <w:r>
        <w:t> </w:t>
      </w:r>
    </w:p>
    <w:p w:rsidR="00D93D34" w:rsidP="00D93D34">
      <w:pPr>
        <w:tabs>
          <w:tab w:val="left" w:pos="360"/>
        </w:tabs>
        <w:bidi w:val="0"/>
        <w:jc w:val="both"/>
      </w:pPr>
    </w:p>
    <w:p w:rsidR="00D93D34" w:rsidP="00D93D34">
      <w:pPr>
        <w:bidi w:val="0"/>
        <w:jc w:val="both"/>
      </w:pPr>
    </w:p>
    <w:p w:rsidR="00D93D34" w:rsidP="00D93D34">
      <w:pPr>
        <w:tabs>
          <w:tab w:val="left" w:pos="360"/>
        </w:tabs>
        <w:bidi w:val="0"/>
        <w:ind w:left="360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C730A5" w:rsidP="00D93D34">
      <w:pPr>
        <w:bidi w:val="0"/>
        <w:ind w:firstLine="708"/>
        <w:jc w:val="both"/>
      </w:pPr>
    </w:p>
    <w:p w:rsidR="00C730A5" w:rsidP="00D93D34">
      <w:pPr>
        <w:bidi w:val="0"/>
        <w:ind w:firstLine="708"/>
        <w:jc w:val="both"/>
      </w:pPr>
    </w:p>
    <w:p w:rsidR="00C730A5" w:rsidP="00D93D34">
      <w:pPr>
        <w:bidi w:val="0"/>
        <w:ind w:firstLine="708"/>
        <w:jc w:val="both"/>
      </w:pPr>
    </w:p>
    <w:p w:rsidR="00C730A5" w:rsidP="00D93D34">
      <w:pPr>
        <w:bidi w:val="0"/>
        <w:ind w:firstLine="708"/>
        <w:jc w:val="both"/>
      </w:pPr>
    </w:p>
    <w:p w:rsidR="00C730A5" w:rsidP="00D93D34">
      <w:pPr>
        <w:bidi w:val="0"/>
        <w:ind w:firstLine="708"/>
        <w:jc w:val="both"/>
      </w:pPr>
    </w:p>
    <w:p w:rsidR="00C730A5" w:rsidP="00D93D34">
      <w:pPr>
        <w:bidi w:val="0"/>
        <w:ind w:firstLine="708"/>
        <w:jc w:val="both"/>
      </w:pPr>
    </w:p>
    <w:p w:rsidR="00C730A5" w:rsidP="00D93D34">
      <w:pPr>
        <w:bidi w:val="0"/>
        <w:ind w:firstLine="708"/>
        <w:jc w:val="both"/>
      </w:pPr>
    </w:p>
    <w:p w:rsidR="00C730A5" w:rsidP="00D93D34">
      <w:pPr>
        <w:bidi w:val="0"/>
        <w:ind w:firstLine="708"/>
        <w:jc w:val="both"/>
      </w:pPr>
    </w:p>
    <w:p w:rsidR="002E31A9" w:rsidP="00D93D34">
      <w:pPr>
        <w:bidi w:val="0"/>
        <w:ind w:firstLine="708"/>
        <w:jc w:val="both"/>
      </w:pPr>
    </w:p>
    <w:p w:rsidR="002E31A9" w:rsidP="00D93D34">
      <w:pPr>
        <w:bidi w:val="0"/>
        <w:ind w:firstLine="708"/>
        <w:jc w:val="both"/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9E2C97" w:rsidP="0048564D">
      <w:pPr>
        <w:bidi w:val="0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A.1. Ná</w:t>
      </w:r>
      <w:r w:rsidRPr="009E2C97">
        <w:rPr>
          <w:rFonts w:cs="Times New Roman" w:hint="default"/>
          <w:b/>
          <w:bCs/>
        </w:rPr>
        <w:t>zov materiá</w:t>
      </w:r>
      <w:r w:rsidRPr="009E2C97">
        <w:rPr>
          <w:rFonts w:cs="Times New Roman" w:hint="default"/>
          <w:b/>
          <w:bCs/>
        </w:rPr>
        <w:t xml:space="preserve">lu: </w:t>
      </w:r>
    </w:p>
    <w:p w:rsidR="006C6025" w:rsidP="006C6025">
      <w:pPr>
        <w:bidi w:val="0"/>
        <w:jc w:val="center"/>
        <w:rPr>
          <w:rFonts w:cs="Times New Roman"/>
        </w:rPr>
      </w:pPr>
      <w:r w:rsidRPr="009E2C97" w:rsidR="0048564D">
        <w:rPr>
          <w:rFonts w:cs="Times New Roman"/>
        </w:rPr>
        <w:t xml:space="preserve">      </w:t>
      </w:r>
      <w:r>
        <w:rPr>
          <w:rFonts w:cs="Times New Roman"/>
        </w:rPr>
        <w:t xml:space="preserve">  </w:t>
      </w:r>
    </w:p>
    <w:p w:rsidR="006C6025" w:rsidRPr="006C6025" w:rsidP="006C6025">
      <w:pPr>
        <w:bidi w:val="0"/>
        <w:jc w:val="center"/>
        <w:rPr>
          <w:rFonts w:cs="Times New Roman"/>
        </w:rPr>
      </w:pPr>
      <w:r>
        <w:rPr>
          <w:rFonts w:cs="Times New Roman"/>
        </w:rPr>
        <w:t xml:space="preserve">          </w:t>
      </w:r>
      <w:r w:rsidRPr="006C6025" w:rsidR="00D93D34">
        <w:rPr>
          <w:rFonts w:cs="Times New Roman" w:hint="default"/>
        </w:rPr>
        <w:t>Ná</w:t>
      </w:r>
      <w:r w:rsidRPr="006C6025" w:rsidR="00D93D34">
        <w:rPr>
          <w:rFonts w:cs="Times New Roman" w:hint="default"/>
        </w:rPr>
        <w:t xml:space="preserve">vrh </w:t>
      </w:r>
      <w:r w:rsidRPr="006C6025" w:rsidR="00D93D34">
        <w:rPr>
          <w:rFonts w:cs="Times New Roman" w:hint="default"/>
          <w:bCs/>
        </w:rPr>
        <w:t>zá</w:t>
      </w:r>
      <w:r w:rsidRPr="006C6025" w:rsidR="00D93D34">
        <w:rPr>
          <w:rFonts w:cs="Times New Roman" w:hint="default"/>
          <w:bCs/>
        </w:rPr>
        <w:t xml:space="preserve">kona, </w:t>
      </w:r>
      <w:r w:rsidRPr="00721405" w:rsidR="00C730A5">
        <w:rPr>
          <w:rFonts w:cs="Times New Roman" w:hint="default"/>
        </w:rPr>
        <w:t>ktorý</w:t>
      </w:r>
      <w:r w:rsidRPr="00721405" w:rsidR="00C730A5">
        <w:rPr>
          <w:rFonts w:cs="Times New Roman" w:hint="default"/>
        </w:rPr>
        <w:t>m sa mení</w:t>
      </w:r>
      <w:r w:rsidRPr="00721405" w:rsidR="00C730A5">
        <w:rPr>
          <w:rFonts w:cs="Times New Roman" w:hint="default"/>
        </w:rPr>
        <w:t xml:space="preserve"> a dopĺň</w:t>
      </w:r>
      <w:r w:rsidRPr="00721405" w:rsidR="00C730A5">
        <w:rPr>
          <w:rFonts w:cs="Times New Roman" w:hint="default"/>
        </w:rPr>
        <w:t>a zá</w:t>
      </w:r>
      <w:r w:rsidRPr="00721405" w:rsidR="00C730A5">
        <w:rPr>
          <w:rFonts w:cs="Times New Roman" w:hint="default"/>
        </w:rPr>
        <w:t>kon č</w:t>
      </w:r>
      <w:r w:rsidRPr="00721405" w:rsidR="00C730A5">
        <w:rPr>
          <w:rFonts w:cs="Times New Roman" w:hint="default"/>
        </w:rPr>
        <w:t xml:space="preserve">. 417/2013 Z. z. </w:t>
      </w:r>
      <w:r w:rsidRPr="00721405" w:rsidR="00C730A5">
        <w:rPr>
          <w:rFonts w:eastAsia="Times New Roman" w:cs="Times New Roman"/>
          <w:color w:val="000000"/>
          <w:lang w:eastAsia="cs-CZ"/>
        </w:rPr>
        <w:t xml:space="preserve">o pomoci v hmotnej núdzi a o zmene a doplnení niektorých zákonov </w:t>
      </w:r>
      <w:r w:rsidRPr="00721405" w:rsidR="00C730A5">
        <w:rPr>
          <w:rFonts w:cs="Times New Roman"/>
        </w:rPr>
        <w:t>v </w:t>
      </w:r>
      <w:r w:rsidRPr="00721405" w:rsidR="00C730A5">
        <w:rPr>
          <w:rFonts w:cs="Times New Roman" w:hint="default"/>
        </w:rPr>
        <w:t>znení</w:t>
      </w:r>
      <w:r w:rsidRPr="00721405" w:rsidR="00C730A5">
        <w:rPr>
          <w:rFonts w:cs="Times New Roman" w:hint="default"/>
        </w:rPr>
        <w:t xml:space="preserve"> neskorší</w:t>
      </w:r>
      <w:r w:rsidRPr="00721405" w:rsidR="00C730A5">
        <w:rPr>
          <w:rFonts w:cs="Times New Roman" w:hint="default"/>
        </w:rPr>
        <w:t>ch predpisov</w:t>
      </w:r>
      <w:r w:rsidR="00C730A5">
        <w:rPr>
          <w:rFonts w:cs="Times New Roman"/>
        </w:rPr>
        <w:t>.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A.2. Vplyvy: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E2C97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Pozitívne</w:t>
            </w:r>
            <w:r w:rsidRPr="009E2C97">
              <w:rPr>
                <w:rFonts w:ascii="Times New Roman" w:hAnsi="Times New Roman"/>
                <w:vertAlign w:val="superscript"/>
              </w:rPr>
              <w:t>*</w:t>
            </w:r>
            <w:r w:rsidRPr="009E2C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Žiadne</w:t>
            </w:r>
            <w:r w:rsidRPr="009E2C97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Negatívne</w:t>
            </w:r>
            <w:r w:rsidRPr="009E2C97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1. Vplyvy na rozpočet verejnej správy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X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 xml:space="preserve">3, Sociálne vplyvy 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– vplyvy  na hospodárenie obyvateľstva,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-sociálnu exklúziu,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</w:tbl>
    <w:p w:rsidR="0048564D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*</w:t>
      </w:r>
      <w:r w:rsidRPr="009E2C97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má pozitívne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6C6025" w:rsidP="0048564D">
      <w:pPr>
        <w:bidi w:val="0"/>
        <w:rPr>
          <w:rFonts w:cs="Times New Roman"/>
        </w:rPr>
      </w:pPr>
    </w:p>
    <w:p w:rsidR="006C6025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>K bodu 1</w:t>
      </w:r>
      <w:r w:rsidR="006C6025">
        <w:rPr>
          <w:rFonts w:cs="Times New Roman"/>
        </w:rPr>
        <w:t xml:space="preserve"> </w:t>
      </w:r>
    </w:p>
    <w:p w:rsidR="006C6025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="00C730A5">
        <w:rPr>
          <w:lang w:eastAsia="cs-CZ"/>
        </w:rPr>
        <w:t xml:space="preserve">            </w:t>
      </w:r>
      <w:r w:rsidRPr="007E5E00" w:rsidR="00C730A5">
        <w:rPr>
          <w:lang w:eastAsia="cs-CZ"/>
        </w:rPr>
        <w:t>Ide o</w:t>
      </w:r>
      <w:r w:rsidRPr="003A6176" w:rsidR="00C730A5">
        <w:rPr>
          <w:lang w:eastAsia="cs-CZ"/>
        </w:rPr>
        <w:t> </w:t>
      </w:r>
      <w:r w:rsidRPr="007E5E00" w:rsidR="00C730A5">
        <w:rPr>
          <w:rFonts w:hint="default"/>
          <w:lang w:eastAsia="cs-CZ"/>
        </w:rPr>
        <w:t>legislatí</w:t>
      </w:r>
      <w:r w:rsidRPr="007E5E00" w:rsidR="00C730A5">
        <w:rPr>
          <w:rFonts w:hint="default"/>
          <w:lang w:eastAsia="cs-CZ"/>
        </w:rPr>
        <w:t>vnotechni</w:t>
      </w:r>
      <w:r w:rsidRPr="007E5E00" w:rsidR="00C730A5">
        <w:rPr>
          <w:rFonts w:hint="default"/>
          <w:lang w:eastAsia="cs-CZ"/>
        </w:rPr>
        <w:t>ckú</w:t>
      </w:r>
      <w:r w:rsidRPr="007E5E00" w:rsidR="00C730A5">
        <w:rPr>
          <w:rFonts w:hint="default"/>
          <w:lang w:eastAsia="cs-CZ"/>
        </w:rPr>
        <w:t xml:space="preserve"> ú</w:t>
      </w:r>
      <w:r w:rsidRPr="007E5E00" w:rsidR="00C730A5">
        <w:rPr>
          <w:rFonts w:hint="default"/>
          <w:lang w:eastAsia="cs-CZ"/>
        </w:rPr>
        <w:t>pravu</w:t>
      </w:r>
      <w:r w:rsidR="00C730A5">
        <w:rPr>
          <w:lang w:eastAsia="cs-CZ"/>
        </w:rPr>
        <w:t xml:space="preserve"> v </w:t>
      </w:r>
      <w:r w:rsidR="00C730A5">
        <w:rPr>
          <w:rFonts w:hint="default"/>
          <w:lang w:eastAsia="cs-CZ"/>
        </w:rPr>
        <w:t>kontexte predkladanej novely zá</w:t>
      </w:r>
      <w:r w:rsidR="00C730A5">
        <w:rPr>
          <w:rFonts w:hint="default"/>
          <w:lang w:eastAsia="cs-CZ"/>
        </w:rPr>
        <w:t>kona</w:t>
      </w:r>
      <w:r w:rsidRPr="007E5E00" w:rsidR="00C730A5">
        <w:rPr>
          <w:lang w:eastAsia="cs-CZ"/>
        </w:rPr>
        <w:t>.</w:t>
      </w:r>
    </w:p>
    <w:p w:rsidR="00A737F9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>K bodu 2</w:t>
      </w:r>
      <w:r w:rsidR="00A737F9">
        <w:rPr>
          <w:rFonts w:cs="Times New Roman"/>
        </w:rPr>
        <w:t xml:space="preserve"> </w:t>
      </w:r>
    </w:p>
    <w:p w:rsidR="00317354" w:rsidP="00317354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C730A5" w:rsidP="00C730A5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Ustanovenie § 10 sa dopĺňa novým odsekom 12 v zmysle ktorého d</w:t>
      </w:r>
      <w:r w:rsidRPr="003243BA">
        <w:rPr>
          <w:rFonts w:eastAsia="Times New Roman" w:cs="Times New Roman"/>
          <w:color w:val="000000"/>
          <w:lang w:eastAsia="cs-CZ"/>
        </w:rPr>
        <w:t>ávka</w:t>
      </w:r>
      <w:r w:rsidR="002E31A9">
        <w:rPr>
          <w:rFonts w:eastAsia="Times New Roman" w:cs="Times New Roman"/>
          <w:color w:val="000000"/>
          <w:lang w:eastAsia="cs-CZ"/>
        </w:rPr>
        <w:t xml:space="preserve"> v hmotnej núdzi</w:t>
      </w:r>
      <w:r w:rsidRPr="003243BA">
        <w:rPr>
          <w:rFonts w:eastAsia="Times New Roman" w:cs="Times New Roman"/>
          <w:color w:val="000000"/>
          <w:lang w:eastAsia="cs-CZ"/>
        </w:rPr>
        <w:t xml:space="preserve"> podľa </w:t>
      </w:r>
      <w:r>
        <w:rPr>
          <w:rFonts w:eastAsia="Times New Roman" w:cs="Times New Roman"/>
          <w:color w:val="000000"/>
          <w:lang w:eastAsia="cs-CZ"/>
        </w:rPr>
        <w:t>§ 10 ods.</w:t>
      </w:r>
      <w:r w:rsidRPr="003243BA">
        <w:rPr>
          <w:rFonts w:eastAsia="Times New Roman" w:cs="Times New Roman"/>
          <w:color w:val="000000"/>
          <w:lang w:eastAsia="cs-CZ"/>
        </w:rPr>
        <w:t xml:space="preserve"> 2 </w:t>
      </w:r>
      <w:r w:rsidR="002E31A9">
        <w:rPr>
          <w:rFonts w:eastAsia="Times New Roman" w:cs="Times New Roman"/>
          <w:color w:val="000000"/>
          <w:lang w:eastAsia="cs-CZ"/>
        </w:rPr>
        <w:t xml:space="preserve">zákona </w:t>
      </w:r>
      <w:r w:rsidRPr="003243BA">
        <w:rPr>
          <w:rFonts w:eastAsia="Times New Roman" w:cs="Times New Roman"/>
          <w:color w:val="000000"/>
          <w:lang w:eastAsia="cs-CZ"/>
        </w:rPr>
        <w:t xml:space="preserve">sa znižuje o sumu 61,60 eura za každého plnoletého člena domácnosti, ktorý </w:t>
      </w:r>
      <w:r>
        <w:rPr>
          <w:rFonts w:eastAsia="Times New Roman" w:cs="Times New Roman"/>
          <w:color w:val="000000"/>
          <w:lang w:eastAsia="cs-CZ"/>
        </w:rPr>
        <w:t xml:space="preserve">spácha tri priestupky podľa osobitného predpisu (napr. zákona </w:t>
      </w:r>
      <w:r w:rsidR="002E31A9">
        <w:rPr>
          <w:rFonts w:eastAsia="Times New Roman" w:cs="Times New Roman"/>
          <w:color w:val="000000"/>
          <w:lang w:eastAsia="cs-CZ"/>
        </w:rPr>
        <w:t xml:space="preserve">SNR </w:t>
      </w:r>
      <w:r>
        <w:rPr>
          <w:rFonts w:eastAsia="Times New Roman" w:cs="Times New Roman"/>
          <w:color w:val="000000"/>
          <w:lang w:eastAsia="cs-CZ"/>
        </w:rPr>
        <w:t>č. 372/1990 Zb. o priestupkoch v znení neskorších predpisov) a za ktoré v zmysle právoplatných a vykonateľných rozhodnutí podľa osobitného predpisu nezaplatil pokutu</w:t>
      </w:r>
      <w:r w:rsidRPr="00435DA8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a to na dobu 6 mesiacov odo dňa nadobudnutia právoplatnosti a vykonateľnosti posledného z týchto rozhodnutí. D</w:t>
      </w:r>
      <w:r w:rsidRPr="003243BA">
        <w:rPr>
          <w:rFonts w:eastAsia="Times New Roman" w:cs="Times New Roman"/>
          <w:color w:val="000000"/>
          <w:lang w:eastAsia="cs-CZ"/>
        </w:rPr>
        <w:t>ávka</w:t>
      </w:r>
      <w:r w:rsidR="002E31A9">
        <w:rPr>
          <w:rFonts w:eastAsia="Times New Roman" w:cs="Times New Roman"/>
          <w:color w:val="000000"/>
          <w:lang w:eastAsia="cs-CZ"/>
        </w:rPr>
        <w:t xml:space="preserve"> v hmotnej núdzi</w:t>
      </w:r>
      <w:r w:rsidRPr="003243BA">
        <w:rPr>
          <w:rFonts w:eastAsia="Times New Roman" w:cs="Times New Roman"/>
          <w:color w:val="000000"/>
          <w:lang w:eastAsia="cs-CZ"/>
        </w:rPr>
        <w:t xml:space="preserve"> podľa odseku 2 sa </w:t>
      </w:r>
      <w:r>
        <w:rPr>
          <w:rFonts w:eastAsia="Times New Roman" w:cs="Times New Roman"/>
          <w:color w:val="000000"/>
          <w:lang w:eastAsia="cs-CZ"/>
        </w:rPr>
        <w:t xml:space="preserve">taktiež </w:t>
      </w:r>
      <w:r w:rsidRPr="003243BA">
        <w:rPr>
          <w:rFonts w:eastAsia="Times New Roman" w:cs="Times New Roman"/>
          <w:color w:val="000000"/>
          <w:lang w:eastAsia="cs-CZ"/>
        </w:rPr>
        <w:t xml:space="preserve">znižuje o sumu 61,60 eura za každého plnoletého člena domácnosti, ktorý </w:t>
      </w:r>
      <w:r>
        <w:rPr>
          <w:rFonts w:eastAsia="Times New Roman" w:cs="Times New Roman"/>
          <w:color w:val="000000"/>
          <w:lang w:eastAsia="cs-CZ"/>
        </w:rPr>
        <w:t xml:space="preserve">spácha trestný čin podľa osobitného predpisu (Trestného zákona) to na dobu 12 mesiacov od dňa nadobudnutia právoplatnosti a vykonateľnosti príslušného rozsudku v trestnom konaní. Dávka sa v prípadoch podľa tohto odseku poskytne vo vecnej forme podľa </w:t>
      </w:r>
      <w:r w:rsidR="002E31A9">
        <w:rPr>
          <w:rFonts w:eastAsia="Times New Roman" w:cs="Times New Roman"/>
          <w:color w:val="000000"/>
          <w:lang w:eastAsia="cs-CZ"/>
        </w:rPr>
        <w:t xml:space="preserve">nového ustanovenia </w:t>
      </w:r>
      <w:r>
        <w:rPr>
          <w:rFonts w:eastAsia="Times New Roman" w:cs="Times New Roman"/>
          <w:color w:val="000000"/>
          <w:lang w:eastAsia="cs-CZ"/>
        </w:rPr>
        <w:t>§ 18 ods. 3</w:t>
      </w:r>
      <w:r w:rsidR="002E31A9">
        <w:rPr>
          <w:rFonts w:eastAsia="Times New Roman" w:cs="Times New Roman"/>
          <w:color w:val="000000"/>
          <w:lang w:eastAsia="cs-CZ"/>
        </w:rPr>
        <w:t xml:space="preserve"> zákona.</w:t>
      </w:r>
    </w:p>
    <w:p w:rsidR="0031735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A737F9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P="00E33086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>K</w:t>
      </w:r>
      <w:r w:rsidR="002E31A9">
        <w:rPr>
          <w:rFonts w:cs="Times New Roman"/>
          <w:u w:val="single"/>
        </w:rPr>
        <w:t> </w:t>
      </w:r>
      <w:r>
        <w:rPr>
          <w:rFonts w:cs="Times New Roman"/>
          <w:u w:val="single"/>
        </w:rPr>
        <w:t>bodu</w:t>
      </w:r>
      <w:r w:rsidR="002E31A9">
        <w:rPr>
          <w:rFonts w:cs="Times New Roman"/>
          <w:u w:val="single"/>
        </w:rPr>
        <w:t xml:space="preserve"> 3</w:t>
      </w:r>
      <w:r w:rsidR="00A737F9">
        <w:rPr>
          <w:rFonts w:cs="Times New Roman"/>
        </w:rPr>
        <w:t xml:space="preserve"> </w:t>
      </w:r>
    </w:p>
    <w:p w:rsidR="0031735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P="00A737F9">
      <w:pPr>
        <w:tabs>
          <w:tab w:val="left" w:pos="2085"/>
        </w:tabs>
        <w:bidi w:val="0"/>
        <w:jc w:val="both"/>
        <w:rPr>
          <w:rFonts w:cs="Times New Roman"/>
        </w:rPr>
      </w:pPr>
      <w:r w:rsidR="002E31A9">
        <w:rPr>
          <w:rFonts w:eastAsia="Times New Roman" w:cs="Times New Roman"/>
          <w:color w:val="000000"/>
          <w:lang w:eastAsia="cs-CZ"/>
        </w:rPr>
        <w:t xml:space="preserve">           Ustanovenie splnomocňuje Ministerstvo práce, sociálnych vecí a rodiny Slovenskej republiky </w:t>
      </w:r>
      <w:r w:rsidRPr="001D5C20" w:rsidR="002E31A9">
        <w:rPr>
          <w:rFonts w:eastAsia="Times New Roman" w:cs="Times New Roman"/>
          <w:color w:val="000000"/>
          <w:lang w:eastAsia="cs-CZ"/>
        </w:rPr>
        <w:t>všeobecne záväzným právnym predpisom</w:t>
      </w:r>
      <w:r w:rsidR="002E31A9">
        <w:rPr>
          <w:rFonts w:eastAsia="Times New Roman" w:cs="Times New Roman"/>
          <w:color w:val="000000"/>
          <w:lang w:eastAsia="cs-CZ"/>
        </w:rPr>
        <w:t xml:space="preserve"> upraviť presné podmienky, f</w:t>
      </w:r>
      <w:r w:rsidRPr="008C2CF6" w:rsidR="002E31A9">
        <w:rPr>
          <w:rFonts w:eastAsia="Times New Roman" w:cs="Times New Roman"/>
          <w:color w:val="000000"/>
          <w:lang w:eastAsia="cs-CZ"/>
        </w:rPr>
        <w:t xml:space="preserve">ormu a spôsob poskytovania pomoci v hmotnej núdzi </w:t>
      </w:r>
      <w:r w:rsidR="002E31A9">
        <w:rPr>
          <w:rFonts w:eastAsia="Times New Roman" w:cs="Times New Roman"/>
          <w:color w:val="000000"/>
          <w:lang w:eastAsia="cs-CZ"/>
        </w:rPr>
        <w:t xml:space="preserve">vo vecnej forme </w:t>
      </w:r>
      <w:r w:rsidRPr="001D5C20" w:rsidR="002E31A9">
        <w:rPr>
          <w:rFonts w:eastAsia="Times New Roman" w:cs="Times New Roman"/>
          <w:lang w:eastAsia="cs-CZ"/>
        </w:rPr>
        <w:t>(</w:t>
      </w:r>
      <w:r w:rsidR="002E31A9">
        <w:rPr>
          <w:rFonts w:eastAsia="Times New Roman" w:cs="Times New Roman"/>
          <w:lang w:eastAsia="cs-CZ"/>
        </w:rPr>
        <w:t>§ 10 ods. 12 zákona).</w:t>
      </w:r>
    </w:p>
    <w:p w:rsidR="00A737F9" w:rsidP="0048564D">
      <w:pPr>
        <w:bidi w:val="0"/>
        <w:rPr>
          <w:rFonts w:cs="Times New Roman"/>
        </w:rPr>
      </w:pPr>
    </w:p>
    <w:p w:rsidR="002E31A9" w:rsidP="0048564D">
      <w:pPr>
        <w:bidi w:val="0"/>
        <w:rPr>
          <w:rFonts w:cs="Times New Roman"/>
        </w:rPr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48564D" w:rsidRPr="00D93D34" w:rsidP="0048564D">
      <w:pPr>
        <w:bidi w:val="0"/>
        <w:rPr>
          <w:rFonts w:cs="Times New Roman"/>
        </w:rPr>
      </w:pPr>
    </w:p>
    <w:p w:rsidR="00E33086" w:rsidP="00E33086">
      <w:pPr>
        <w:bidi w:val="0"/>
        <w:ind w:firstLine="708"/>
        <w:jc w:val="both"/>
      </w:pPr>
      <w:r w:rsidRPr="00A07569">
        <w:t>S oh</w:t>
      </w:r>
      <w:r w:rsidRPr="00A07569">
        <w:rPr>
          <w:rFonts w:hint="default"/>
        </w:rPr>
        <w:t>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A737F9">
        <w:rPr>
          <w:rFonts w:hint="default"/>
        </w:rPr>
        <w:t>januá</w:t>
      </w:r>
      <w:r w:rsidR="00A737F9">
        <w:rPr>
          <w:rFonts w:hint="default"/>
        </w:rPr>
        <w:t>r 2016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223DD"/>
    <w:rsid w:val="00074D8C"/>
    <w:rsid w:val="001407AA"/>
    <w:rsid w:val="00162FE2"/>
    <w:rsid w:val="001D5C20"/>
    <w:rsid w:val="002E31A9"/>
    <w:rsid w:val="00312391"/>
    <w:rsid w:val="00317354"/>
    <w:rsid w:val="003243BA"/>
    <w:rsid w:val="003A6176"/>
    <w:rsid w:val="0040331C"/>
    <w:rsid w:val="00433368"/>
    <w:rsid w:val="00435DA8"/>
    <w:rsid w:val="0048564D"/>
    <w:rsid w:val="0051244F"/>
    <w:rsid w:val="00517579"/>
    <w:rsid w:val="005C1E35"/>
    <w:rsid w:val="005D26EA"/>
    <w:rsid w:val="005F1B56"/>
    <w:rsid w:val="006458E5"/>
    <w:rsid w:val="00656B67"/>
    <w:rsid w:val="006C6025"/>
    <w:rsid w:val="00721405"/>
    <w:rsid w:val="007E5E00"/>
    <w:rsid w:val="0081591D"/>
    <w:rsid w:val="00830876"/>
    <w:rsid w:val="008C2CF6"/>
    <w:rsid w:val="00933BF6"/>
    <w:rsid w:val="00951FC2"/>
    <w:rsid w:val="00962A46"/>
    <w:rsid w:val="009E2C97"/>
    <w:rsid w:val="009E3E82"/>
    <w:rsid w:val="009E491D"/>
    <w:rsid w:val="00A07569"/>
    <w:rsid w:val="00A737F9"/>
    <w:rsid w:val="00AC73A6"/>
    <w:rsid w:val="00B31020"/>
    <w:rsid w:val="00B90701"/>
    <w:rsid w:val="00C52881"/>
    <w:rsid w:val="00C730A5"/>
    <w:rsid w:val="00D93D34"/>
    <w:rsid w:val="00E33086"/>
    <w:rsid w:val="00E66EE4"/>
    <w:rsid w:val="00F323C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51FC2"/>
    <w:rPr>
      <w:rFonts w:cs="Times New Roman"/>
      <w:strike w:val="0"/>
      <w:dstrike w:val="0"/>
      <w:color w:val="05507A"/>
      <w:u w:val="none"/>
      <w:effect w:val="none"/>
      <w:rtl w:val="0"/>
      <w:cs w:val="0"/>
    </w:rPr>
  </w:style>
  <w:style w:type="paragraph" w:customStyle="1" w:styleId="l51">
    <w:name w:val="l51"/>
    <w:basedOn w:val="Normal"/>
    <w:rsid w:val="00951FC2"/>
    <w:pPr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1108</Words>
  <Characters>6321</Characters>
  <Application>Microsoft Office Word</Application>
  <DocSecurity>0</DocSecurity>
  <Lines>0</Lines>
  <Paragraphs>0</Paragraphs>
  <ScaleCrop>false</ScaleCrop>
  <Company>Kancelaria NR SR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2015-08-28T17:29:00Z</dcterms:created>
  <dcterms:modified xsi:type="dcterms:W3CDTF">2015-08-28T17:29:00Z</dcterms:modified>
</cp:coreProperties>
</file>