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81591D" w:rsidP="0048564D">
      <w:pPr>
        <w:tabs>
          <w:tab w:val="left" w:pos="2085"/>
        </w:tabs>
        <w:bidi w:val="0"/>
        <w:rPr>
          <w:b/>
        </w:rPr>
      </w:pPr>
    </w:p>
    <w:p w:rsidR="0081591D" w:rsidRPr="00AC73A6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AC73A6" w:rsidRPr="000C3B70" w:rsidP="0081591D">
      <w:pPr>
        <w:bidi w:val="0"/>
        <w:ind w:firstLine="708"/>
        <w:jc w:val="both"/>
        <w:rPr>
          <w:rFonts w:cs="Times New Roman"/>
        </w:rPr>
      </w:pPr>
      <w:r>
        <w:rPr>
          <w:rFonts w:cs="Times New Roman" w:hint="default"/>
          <w:bCs/>
        </w:rPr>
        <w:t>Novelizá</w:t>
      </w:r>
      <w:r>
        <w:rPr>
          <w:rFonts w:cs="Times New Roman" w:hint="default"/>
          <w:bCs/>
        </w:rPr>
        <w:t>cia</w:t>
      </w:r>
      <w:r w:rsidRPr="00AC73A6" w:rsidR="0048564D">
        <w:rPr>
          <w:rFonts w:cs="Times New Roman" w:hint="default"/>
          <w:bCs/>
        </w:rPr>
        <w:t xml:space="preserve"> zá</w:t>
      </w:r>
      <w:r w:rsidRPr="00AC73A6" w:rsidR="0048564D">
        <w:rPr>
          <w:rFonts w:cs="Times New Roman" w:hint="default"/>
          <w:bCs/>
        </w:rPr>
        <w:t xml:space="preserve">kona </w:t>
      </w:r>
      <w:r w:rsidR="0081591D">
        <w:rPr>
          <w:rFonts w:cs="Times New Roman"/>
          <w:bCs/>
        </w:rPr>
        <w:t>SNR</w:t>
      </w:r>
      <w:r>
        <w:rPr>
          <w:rFonts w:cs="Times New Roman"/>
          <w:bCs/>
        </w:rPr>
        <w:t xml:space="preserve"> </w:t>
      </w:r>
      <w:r w:rsidRPr="0081591D" w:rsidR="0081591D">
        <w:rPr>
          <w:rFonts w:hint="default"/>
          <w:color w:val="000000"/>
        </w:rPr>
        <w:t>č</w:t>
      </w:r>
      <w:r w:rsidRPr="0081591D" w:rsidR="0081591D">
        <w:rPr>
          <w:rFonts w:hint="default"/>
          <w:color w:val="000000"/>
        </w:rPr>
        <w:t xml:space="preserve">. 323/1992 Zb. </w:t>
      </w:r>
      <w:r w:rsidRPr="0081591D" w:rsidR="0081591D">
        <w:rPr>
          <w:rFonts w:eastAsia="Times New Roman" w:cs="Times New Roman"/>
          <w:color w:val="000000"/>
          <w:lang w:eastAsia="cs-CZ"/>
        </w:rPr>
        <w:t>o notároch a notárskej činnosti (Notársky poriadok) v znení neskorších predpisov</w:t>
      </w:r>
      <w:r w:rsidRPr="0081591D" w:rsidR="0081591D">
        <w:rPr>
          <w:rFonts w:cs="Times New Roman"/>
          <w:bCs/>
        </w:rPr>
        <w:t xml:space="preserve"> </w:t>
      </w:r>
      <w:r w:rsidR="0081591D">
        <w:rPr>
          <w:rFonts w:cs="Times New Roman" w:hint="default"/>
          <w:bCs/>
        </w:rPr>
        <w:t>(ď</w:t>
      </w:r>
      <w:r w:rsidR="0081591D">
        <w:rPr>
          <w:rFonts w:cs="Times New Roman" w:hint="default"/>
          <w:bCs/>
        </w:rPr>
        <w:t>alej aj len „</w:t>
      </w:r>
      <w:r w:rsidR="0081591D">
        <w:rPr>
          <w:rFonts w:cs="Times New Roman" w:hint="default"/>
          <w:bCs/>
        </w:rPr>
        <w:t>Notá</w:t>
      </w:r>
      <w:r w:rsidR="0081591D">
        <w:rPr>
          <w:rFonts w:cs="Times New Roman" w:hint="default"/>
          <w:bCs/>
        </w:rPr>
        <w:t>rsky</w:t>
      </w:r>
      <w:r>
        <w:rPr>
          <w:rFonts w:cs="Times New Roman" w:hint="default"/>
          <w:bCs/>
        </w:rPr>
        <w:t xml:space="preserve"> poriadok“</w:t>
      </w:r>
      <w:r>
        <w:rPr>
          <w:rFonts w:cs="Times New Roman" w:hint="default"/>
          <w:bCs/>
        </w:rPr>
        <w:t xml:space="preserve">) </w:t>
      </w:r>
      <w:r w:rsidRPr="00AC73A6" w:rsidR="0048564D">
        <w:rPr>
          <w:rFonts w:cs="Times New Roman" w:hint="default"/>
          <w:bCs/>
        </w:rPr>
        <w:t>je vzhľ</w:t>
      </w:r>
      <w:r w:rsidRPr="00AC73A6" w:rsidR="0048564D">
        <w:rPr>
          <w:rFonts w:cs="Times New Roman" w:hint="default"/>
          <w:bCs/>
        </w:rPr>
        <w:t>adom na súč</w:t>
      </w:r>
      <w:r w:rsidRPr="00AC73A6" w:rsidR="0048564D">
        <w:rPr>
          <w:rFonts w:cs="Times New Roman" w:hint="default"/>
          <w:bCs/>
        </w:rPr>
        <w:t>asný</w:t>
      </w:r>
      <w:r w:rsidRPr="00AC73A6" w:rsidR="0048564D">
        <w:rPr>
          <w:rFonts w:cs="Times New Roman" w:hint="default"/>
          <w:bCs/>
        </w:rPr>
        <w:t xml:space="preserve"> stav v </w:t>
      </w:r>
      <w:r w:rsidRPr="00AC73A6" w:rsidR="0048564D">
        <w:rPr>
          <w:rFonts w:cs="Times New Roman" w:hint="default"/>
          <w:bCs/>
        </w:rPr>
        <w:t>naš</w:t>
      </w:r>
      <w:r w:rsidRPr="00AC73A6" w:rsidR="0048564D">
        <w:rPr>
          <w:rFonts w:cs="Times New Roman" w:hint="default"/>
          <w:bCs/>
        </w:rPr>
        <w:t>ej spoloč</w:t>
      </w:r>
      <w:r w:rsidRPr="00AC73A6" w:rsidR="0048564D">
        <w:rPr>
          <w:rFonts w:cs="Times New Roman" w:hint="default"/>
          <w:bCs/>
        </w:rPr>
        <w:t>nosti nevyhnutná</w:t>
      </w:r>
      <w:r w:rsidRPr="00AC73A6" w:rsidR="0048564D">
        <w:rPr>
          <w:rFonts w:cs="Times New Roman" w:hint="default"/>
          <w:bCs/>
        </w:rPr>
        <w:t>. A</w:t>
      </w:r>
      <w:r>
        <w:rPr>
          <w:rFonts w:cs="Times New Roman" w:hint="default"/>
          <w:bCs/>
        </w:rPr>
        <w:t>ktuá</w:t>
      </w:r>
      <w:r>
        <w:rPr>
          <w:rFonts w:cs="Times New Roman" w:hint="default"/>
          <w:bCs/>
        </w:rPr>
        <w:t>lne platné</w:t>
      </w:r>
      <w:r w:rsidRPr="00AC73A6" w:rsidR="0048564D">
        <w:rPr>
          <w:rFonts w:cs="Times New Roman"/>
          <w:bCs/>
        </w:rPr>
        <w:t xml:space="preserve"> </w:t>
      </w:r>
      <w:r>
        <w:rPr>
          <w:rFonts w:cs="Times New Roman"/>
          <w:bCs/>
        </w:rPr>
        <w:t>a </w:t>
      </w:r>
      <w:r>
        <w:rPr>
          <w:rFonts w:cs="Times New Roman" w:hint="default"/>
          <w:bCs/>
        </w:rPr>
        <w:t>úč</w:t>
      </w:r>
      <w:r>
        <w:rPr>
          <w:rFonts w:cs="Times New Roman" w:hint="default"/>
          <w:bCs/>
        </w:rPr>
        <w:t>inné</w:t>
      </w:r>
      <w:r>
        <w:rPr>
          <w:rFonts w:cs="Times New Roman" w:hint="default"/>
          <w:bCs/>
        </w:rPr>
        <w:t xml:space="preserve"> ustanovenia </w:t>
      </w:r>
      <w:r w:rsidR="0081591D">
        <w:rPr>
          <w:rFonts w:cs="Times New Roman" w:hint="default"/>
          <w:bCs/>
        </w:rPr>
        <w:t>Notá</w:t>
      </w:r>
      <w:r w:rsidR="0081591D">
        <w:rPr>
          <w:rFonts w:cs="Times New Roman" w:hint="default"/>
          <w:bCs/>
        </w:rPr>
        <w:t>rskeho</w:t>
      </w:r>
      <w:r>
        <w:rPr>
          <w:rFonts w:cs="Times New Roman" w:hint="default"/>
          <w:bCs/>
        </w:rPr>
        <w:t xml:space="preserve"> poriadku neupravujú</w:t>
      </w:r>
      <w:r>
        <w:rPr>
          <w:rFonts w:cs="Times New Roman" w:hint="default"/>
          <w:bCs/>
        </w:rPr>
        <w:t xml:space="preserve"> </w:t>
      </w:r>
      <w:r w:rsidR="0081591D">
        <w:rPr>
          <w:rFonts w:hint="default"/>
          <w:color w:val="000000"/>
        </w:rPr>
        <w:t>spô</w:t>
      </w:r>
      <w:r w:rsidR="0081591D">
        <w:rPr>
          <w:rFonts w:hint="default"/>
          <w:color w:val="000000"/>
        </w:rPr>
        <w:t>sob odmeň</w:t>
      </w:r>
      <w:r w:rsidR="0081591D">
        <w:rPr>
          <w:rFonts w:hint="default"/>
          <w:color w:val="000000"/>
        </w:rPr>
        <w:t>ovania notá</w:t>
      </w:r>
      <w:r w:rsidR="0081591D">
        <w:rPr>
          <w:rFonts w:hint="default"/>
          <w:color w:val="000000"/>
        </w:rPr>
        <w:t>ra za č</w:t>
      </w:r>
      <w:r w:rsidR="0081591D">
        <w:rPr>
          <w:rFonts w:hint="default"/>
          <w:color w:val="000000"/>
        </w:rPr>
        <w:t>innosť</w:t>
      </w:r>
      <w:r w:rsidR="0081591D">
        <w:rPr>
          <w:rFonts w:hint="default"/>
          <w:color w:val="000000"/>
        </w:rPr>
        <w:t xml:space="preserve"> sú</w:t>
      </w:r>
      <w:r w:rsidR="0081591D">
        <w:rPr>
          <w:rFonts w:hint="default"/>
          <w:color w:val="000000"/>
        </w:rPr>
        <w:t>dneho komisá</w:t>
      </w:r>
      <w:r w:rsidR="0081591D">
        <w:rPr>
          <w:rFonts w:hint="default"/>
          <w:color w:val="000000"/>
        </w:rPr>
        <w:t>ra</w:t>
      </w:r>
      <w:r>
        <w:rPr>
          <w:rFonts w:eastAsia="Times New Roman" w:cs="Times New Roman"/>
          <w:lang w:eastAsia="cs-CZ"/>
        </w:rPr>
        <w:t>,</w:t>
      </w:r>
      <w:r w:rsidRPr="001D5C20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ale </w:t>
      </w:r>
      <w:r>
        <w:rPr>
          <w:rFonts w:eastAsia="Times New Roman" w:cs="Times New Roman"/>
          <w:color w:val="000000"/>
          <w:lang w:eastAsia="cs-CZ"/>
        </w:rPr>
        <w:t xml:space="preserve">ustanovuje ich vykonávacím </w:t>
      </w:r>
      <w:r w:rsidRPr="001D5C20">
        <w:rPr>
          <w:rFonts w:eastAsia="Times New Roman" w:cs="Times New Roman"/>
          <w:color w:val="000000"/>
          <w:lang w:eastAsia="cs-CZ"/>
        </w:rPr>
        <w:t>všeob</w:t>
      </w:r>
      <w:r>
        <w:rPr>
          <w:rFonts w:eastAsia="Times New Roman" w:cs="Times New Roman"/>
          <w:color w:val="000000"/>
          <w:lang w:eastAsia="cs-CZ"/>
        </w:rPr>
        <w:t xml:space="preserve">ecne záväzným právnym predpisom Ministerstvo spravodlivosti Slovenskej republiky a to </w:t>
      </w:r>
      <w:r>
        <w:rPr>
          <w:rFonts w:cs="Times New Roman" w:hint="default"/>
        </w:rPr>
        <w:t>vyhláš</w:t>
      </w:r>
      <w:r>
        <w:rPr>
          <w:rFonts w:cs="Times New Roman" w:hint="default"/>
        </w:rPr>
        <w:t>kou</w:t>
      </w:r>
      <w:r w:rsidRPr="000C3B70">
        <w:rPr>
          <w:rFonts w:cs="Times New Roman"/>
        </w:rPr>
        <w:t xml:space="preserve"> Minist</w:t>
      </w:r>
      <w:r w:rsidRPr="000C3B70">
        <w:rPr>
          <w:rFonts w:cs="Times New Roman" w:hint="default"/>
        </w:rPr>
        <w:t>erstva spravodlivosti Slovenskej republiky č.</w:t>
      </w:r>
      <w:r w:rsidR="0081591D">
        <w:rPr>
          <w:rFonts w:cs="Times New Roman"/>
        </w:rPr>
        <w:t xml:space="preserve"> 31/1993</w:t>
      </w:r>
      <w:r>
        <w:rPr>
          <w:rFonts w:cs="Times New Roman"/>
        </w:rPr>
        <w:t xml:space="preserve"> Z. z.</w:t>
      </w:r>
      <w:r w:rsidRPr="000C3B70">
        <w:rPr>
          <w:rFonts w:cs="Times New Roman"/>
        </w:rPr>
        <w:t xml:space="preserve"> </w:t>
      </w:r>
      <w:r w:rsidRPr="000C3B70">
        <w:rPr>
          <w:rFonts w:cs="Times New Roman" w:hint="default"/>
          <w:color w:val="000000"/>
          <w:shd w:val="clear" w:color="auto" w:fill="FFFFFF"/>
        </w:rPr>
        <w:t>o odmená</w:t>
      </w:r>
      <w:r w:rsidRPr="000C3B70">
        <w:rPr>
          <w:rFonts w:cs="Times New Roman" w:hint="default"/>
          <w:color w:val="000000"/>
          <w:shd w:val="clear" w:color="auto" w:fill="FFFFFF"/>
        </w:rPr>
        <w:t>ch a ná</w:t>
      </w:r>
      <w:r w:rsidRPr="000C3B70">
        <w:rPr>
          <w:rFonts w:cs="Times New Roman" w:hint="default"/>
          <w:color w:val="000000"/>
          <w:shd w:val="clear" w:color="auto" w:fill="FFFFFF"/>
        </w:rPr>
        <w:t>hradá</w:t>
      </w:r>
      <w:r w:rsidRPr="000C3B70">
        <w:rPr>
          <w:rFonts w:cs="Times New Roman" w:hint="default"/>
          <w:color w:val="000000"/>
          <w:shd w:val="clear" w:color="auto" w:fill="FFFFFF"/>
        </w:rPr>
        <w:t xml:space="preserve">ch </w:t>
      </w:r>
      <w:r w:rsidR="0081591D">
        <w:rPr>
          <w:rFonts w:cs="Times New Roman" w:hint="default"/>
          <w:color w:val="000000"/>
          <w:shd w:val="clear" w:color="auto" w:fill="FFFFFF"/>
        </w:rPr>
        <w:t>notá</w:t>
      </w:r>
      <w:r w:rsidR="0081591D">
        <w:rPr>
          <w:rFonts w:cs="Times New Roman" w:hint="default"/>
          <w:color w:val="000000"/>
          <w:shd w:val="clear" w:color="auto" w:fill="FFFFFF"/>
        </w:rPr>
        <w:t>ro</w:t>
      </w:r>
      <w:r>
        <w:rPr>
          <w:rFonts w:cs="Times New Roman"/>
          <w:color w:val="000000"/>
          <w:shd w:val="clear" w:color="auto" w:fill="FFFFFF"/>
        </w:rPr>
        <w:t>v </w:t>
      </w:r>
      <w:r>
        <w:rPr>
          <w:rFonts w:cs="Times New Roman" w:hint="default"/>
          <w:color w:val="000000"/>
          <w:shd w:val="clear" w:color="auto" w:fill="FFFFFF"/>
        </w:rPr>
        <w:t>znení</w:t>
      </w:r>
      <w:r>
        <w:rPr>
          <w:rFonts w:cs="Times New Roman" w:hint="default"/>
          <w:color w:val="000000"/>
          <w:shd w:val="clear" w:color="auto" w:fill="FFFFFF"/>
        </w:rPr>
        <w:t xml:space="preserve"> neskorší</w:t>
      </w:r>
      <w:r>
        <w:rPr>
          <w:rFonts w:cs="Times New Roman" w:hint="default"/>
          <w:color w:val="000000"/>
          <w:shd w:val="clear" w:color="auto" w:fill="FFFFFF"/>
        </w:rPr>
        <w:t>ch predpisov.</w:t>
      </w:r>
    </w:p>
    <w:p w:rsidR="0048564D" w:rsidRPr="00AC73A6" w:rsidP="0048564D">
      <w:pPr>
        <w:tabs>
          <w:tab w:val="left" w:pos="2085"/>
        </w:tabs>
        <w:bidi w:val="0"/>
        <w:jc w:val="both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jc w:val="both"/>
        <w:rPr>
          <w:rFonts w:cs="Times New Roman"/>
          <w:color w:val="000000"/>
          <w:shd w:val="clear" w:color="auto" w:fill="D5D5D5"/>
        </w:rPr>
      </w:pPr>
      <w:r w:rsidR="0081591D">
        <w:rPr>
          <w:rFonts w:cs="Times New Roman"/>
          <w:bCs/>
        </w:rPr>
        <w:t xml:space="preserve">           </w:t>
      </w:r>
      <w:r w:rsidR="00AC73A6">
        <w:rPr>
          <w:rFonts w:cs="Times New Roman" w:hint="default"/>
          <w:bCs/>
        </w:rPr>
        <w:t>Najvyšší</w:t>
      </w:r>
      <w:r w:rsidR="00AC73A6">
        <w:rPr>
          <w:rFonts w:cs="Times New Roman" w:hint="default"/>
          <w:bCs/>
        </w:rPr>
        <w:t xml:space="preserve"> orgá</w:t>
      </w:r>
      <w:r w:rsidR="00AC73A6">
        <w:rPr>
          <w:rFonts w:cs="Times New Roman" w:hint="default"/>
          <w:bCs/>
        </w:rPr>
        <w:t>n š</w:t>
      </w:r>
      <w:r w:rsidR="00AC73A6">
        <w:rPr>
          <w:rFonts w:cs="Times New Roman" w:hint="default"/>
          <w:bCs/>
        </w:rPr>
        <w:t>tá</w:t>
      </w:r>
      <w:r w:rsidR="00AC73A6">
        <w:rPr>
          <w:rFonts w:cs="Times New Roman" w:hint="default"/>
          <w:bCs/>
        </w:rPr>
        <w:t xml:space="preserve">tnej moci </w:t>
      </w:r>
      <w:r w:rsidR="0081591D">
        <w:rPr>
          <w:rFonts w:cs="Times New Roman"/>
          <w:bCs/>
        </w:rPr>
        <w:t xml:space="preserve">v Slovenskej republike </w:t>
      </w:r>
      <w:r w:rsidR="0081591D">
        <w:rPr>
          <w:rFonts w:cs="Times New Roman" w:hint="default"/>
          <w:bCs/>
        </w:rPr>
        <w:t>–</w:t>
      </w:r>
      <w:r w:rsidR="00AC73A6">
        <w:rPr>
          <w:rFonts w:cs="Times New Roman"/>
          <w:bCs/>
        </w:rPr>
        <w:t xml:space="preserve"> </w:t>
      </w:r>
      <w:r w:rsidR="0081591D">
        <w:rPr>
          <w:rFonts w:cs="Times New Roman" w:hint="default"/>
          <w:bCs/>
        </w:rPr>
        <w:t>Ná</w:t>
      </w:r>
      <w:r w:rsidR="0081591D">
        <w:rPr>
          <w:rFonts w:cs="Times New Roman" w:hint="default"/>
          <w:bCs/>
        </w:rPr>
        <w:t>rodná</w:t>
      </w:r>
      <w:r w:rsidR="0081591D">
        <w:rPr>
          <w:rFonts w:cs="Times New Roman" w:hint="default"/>
          <w:bCs/>
        </w:rPr>
        <w:t xml:space="preserve"> rada Slovenskej republiky</w:t>
      </w:r>
      <w:r w:rsidRPr="00AC73A6">
        <w:rPr>
          <w:rFonts w:cs="Times New Roman"/>
          <w:bCs/>
        </w:rPr>
        <w:t xml:space="preserve"> </w:t>
      </w:r>
      <w:r w:rsidR="00AC73A6">
        <w:rPr>
          <w:rFonts w:cs="Times New Roman"/>
          <w:bCs/>
        </w:rPr>
        <w:t xml:space="preserve">- </w:t>
      </w:r>
      <w:r w:rsidRPr="00AC73A6">
        <w:rPr>
          <w:rFonts w:cs="Times New Roman" w:hint="default"/>
          <w:bCs/>
        </w:rPr>
        <w:t>tý</w:t>
      </w:r>
      <w:r w:rsidRPr="00AC73A6">
        <w:rPr>
          <w:rFonts w:cs="Times New Roman" w:hint="default"/>
          <w:bCs/>
        </w:rPr>
        <w:t xml:space="preserve">mto </w:t>
      </w:r>
      <w:r w:rsidR="00B90701">
        <w:rPr>
          <w:rFonts w:cs="Times New Roman" w:hint="default"/>
          <w:bCs/>
        </w:rPr>
        <w:t>zá</w:t>
      </w:r>
      <w:r w:rsidR="00B90701">
        <w:rPr>
          <w:rFonts w:cs="Times New Roman" w:hint="default"/>
          <w:bCs/>
        </w:rPr>
        <w:t>konom upravuje aspoň</w:t>
      </w:r>
      <w:r w:rsidR="00B90701">
        <w:rPr>
          <w:rFonts w:cs="Times New Roman" w:hint="default"/>
          <w:bCs/>
        </w:rPr>
        <w:t xml:space="preserve"> č</w:t>
      </w:r>
      <w:r w:rsidR="00B90701">
        <w:rPr>
          <w:rFonts w:cs="Times New Roman" w:hint="default"/>
          <w:bCs/>
        </w:rPr>
        <w:t>iastoč</w:t>
      </w:r>
      <w:r w:rsidR="00B90701">
        <w:rPr>
          <w:rFonts w:cs="Times New Roman" w:hint="default"/>
          <w:bCs/>
        </w:rPr>
        <w:t>ne</w:t>
      </w:r>
      <w:r w:rsidR="0081591D">
        <w:rPr>
          <w:rFonts w:cs="Times New Roman"/>
          <w:bCs/>
        </w:rPr>
        <w:t xml:space="preserve"> nanovo</w:t>
      </w:r>
      <w:r w:rsidR="00B90701">
        <w:rPr>
          <w:rFonts w:cs="Times New Roman"/>
          <w:bCs/>
        </w:rPr>
        <w:t xml:space="preserve"> </w:t>
      </w:r>
      <w:r w:rsidR="0081591D">
        <w:rPr>
          <w:rFonts w:hint="default"/>
          <w:color w:val="000000"/>
        </w:rPr>
        <w:t>spô</w:t>
      </w:r>
      <w:r w:rsidR="0081591D">
        <w:rPr>
          <w:rFonts w:hint="default"/>
          <w:color w:val="000000"/>
        </w:rPr>
        <w:t>sob odmeň</w:t>
      </w:r>
      <w:r w:rsidR="0081591D">
        <w:rPr>
          <w:rFonts w:hint="default"/>
          <w:color w:val="000000"/>
        </w:rPr>
        <w:t>ovania notá</w:t>
      </w:r>
      <w:r w:rsidR="0081591D">
        <w:rPr>
          <w:rFonts w:hint="default"/>
          <w:color w:val="000000"/>
        </w:rPr>
        <w:t>ra za č</w:t>
      </w:r>
      <w:r w:rsidR="0081591D">
        <w:rPr>
          <w:rFonts w:hint="default"/>
          <w:color w:val="000000"/>
        </w:rPr>
        <w:t>innosť</w:t>
      </w:r>
      <w:r w:rsidR="0081591D">
        <w:rPr>
          <w:rFonts w:hint="default"/>
          <w:color w:val="000000"/>
        </w:rPr>
        <w:t xml:space="preserve"> sú</w:t>
      </w:r>
      <w:r w:rsidR="0081591D">
        <w:rPr>
          <w:rFonts w:hint="default"/>
          <w:color w:val="000000"/>
        </w:rPr>
        <w:t>dneho komisá</w:t>
      </w:r>
      <w:r w:rsidR="0081591D">
        <w:rPr>
          <w:rFonts w:hint="default"/>
          <w:color w:val="000000"/>
        </w:rPr>
        <w:t>ra</w:t>
      </w:r>
      <w:r w:rsidR="0081591D">
        <w:rPr>
          <w:rFonts w:cs="Times New Roman" w:hint="default"/>
          <w:bCs/>
        </w:rPr>
        <w:t xml:space="preserve"> nakoľ</w:t>
      </w:r>
      <w:r w:rsidR="0081591D">
        <w:rPr>
          <w:rFonts w:cs="Times New Roman" w:hint="default"/>
          <w:bCs/>
        </w:rPr>
        <w:t>ko má</w:t>
      </w:r>
      <w:r w:rsidR="0081591D">
        <w:rPr>
          <w:rFonts w:cs="Times New Roman" w:hint="default"/>
          <w:bCs/>
        </w:rPr>
        <w:t>me za to, ž</w:t>
      </w:r>
      <w:r w:rsidR="0081591D">
        <w:rPr>
          <w:rFonts w:cs="Times New Roman" w:hint="default"/>
          <w:bCs/>
        </w:rPr>
        <w:t>e súč</w:t>
      </w:r>
      <w:r w:rsidR="0081591D">
        <w:rPr>
          <w:rFonts w:cs="Times New Roman" w:hint="default"/>
          <w:bCs/>
        </w:rPr>
        <w:t>asná</w:t>
      </w:r>
      <w:r w:rsidR="0081591D">
        <w:rPr>
          <w:rFonts w:cs="Times New Roman" w:hint="default"/>
          <w:bCs/>
        </w:rPr>
        <w:t xml:space="preserve"> prá</w:t>
      </w:r>
      <w:r w:rsidR="0081591D">
        <w:rPr>
          <w:rFonts w:cs="Times New Roman" w:hint="default"/>
          <w:bCs/>
        </w:rPr>
        <w:t>vna ú</w:t>
      </w:r>
      <w:r w:rsidR="0081591D">
        <w:rPr>
          <w:rFonts w:cs="Times New Roman" w:hint="default"/>
          <w:bCs/>
        </w:rPr>
        <w:t>prava odmeň</w:t>
      </w:r>
      <w:r w:rsidR="0081591D">
        <w:rPr>
          <w:rFonts w:cs="Times New Roman" w:hint="default"/>
          <w:bCs/>
        </w:rPr>
        <w:t>ovania podľ</w:t>
      </w:r>
      <w:r w:rsidR="0081591D">
        <w:rPr>
          <w:rFonts w:cs="Times New Roman" w:hint="default"/>
          <w:bCs/>
        </w:rPr>
        <w:t xml:space="preserve">a </w:t>
      </w:r>
      <w:r w:rsidR="0081591D">
        <w:rPr>
          <w:rFonts w:cs="Times New Roman" w:hint="default"/>
        </w:rPr>
        <w:t>vyhláš</w:t>
      </w:r>
      <w:r w:rsidR="0081591D">
        <w:rPr>
          <w:rFonts w:cs="Times New Roman" w:hint="default"/>
        </w:rPr>
        <w:t>ky</w:t>
      </w:r>
      <w:r w:rsidRPr="000C3B70" w:rsidR="0081591D">
        <w:rPr>
          <w:rFonts w:cs="Times New Roman" w:hint="default"/>
        </w:rPr>
        <w:t xml:space="preserve"> Ministerstva spravodlivosti Slovenskej republiky č.</w:t>
      </w:r>
      <w:r w:rsidR="0081591D">
        <w:rPr>
          <w:rFonts w:cs="Times New Roman"/>
        </w:rPr>
        <w:t xml:space="preserve"> 31/1993 Z. z.</w:t>
      </w:r>
      <w:r w:rsidRPr="000C3B70" w:rsidR="0081591D">
        <w:rPr>
          <w:rFonts w:cs="Times New Roman"/>
        </w:rPr>
        <w:t xml:space="preserve"> </w:t>
      </w:r>
      <w:r w:rsidRPr="000C3B70" w:rsidR="0081591D">
        <w:rPr>
          <w:rFonts w:cs="Times New Roman" w:hint="default"/>
          <w:color w:val="000000"/>
          <w:shd w:val="clear" w:color="auto" w:fill="FFFFFF"/>
        </w:rPr>
        <w:t>o odmená</w:t>
      </w:r>
      <w:r w:rsidRPr="000C3B70" w:rsidR="0081591D">
        <w:rPr>
          <w:rFonts w:cs="Times New Roman" w:hint="default"/>
          <w:color w:val="000000"/>
          <w:shd w:val="clear" w:color="auto" w:fill="FFFFFF"/>
        </w:rPr>
        <w:t>ch a ná</w:t>
      </w:r>
      <w:r w:rsidRPr="000C3B70" w:rsidR="0081591D">
        <w:rPr>
          <w:rFonts w:cs="Times New Roman" w:hint="default"/>
          <w:color w:val="000000"/>
          <w:shd w:val="clear" w:color="auto" w:fill="FFFFFF"/>
        </w:rPr>
        <w:t>hradá</w:t>
      </w:r>
      <w:r w:rsidRPr="000C3B70" w:rsidR="0081591D">
        <w:rPr>
          <w:rFonts w:cs="Times New Roman" w:hint="default"/>
          <w:color w:val="000000"/>
          <w:shd w:val="clear" w:color="auto" w:fill="FFFFFF"/>
        </w:rPr>
        <w:t xml:space="preserve">ch </w:t>
      </w:r>
      <w:r w:rsidR="0081591D">
        <w:rPr>
          <w:rFonts w:cs="Times New Roman" w:hint="default"/>
          <w:color w:val="000000"/>
          <w:shd w:val="clear" w:color="auto" w:fill="FFFFFF"/>
        </w:rPr>
        <w:t>notá</w:t>
      </w:r>
      <w:r w:rsidR="0081591D">
        <w:rPr>
          <w:rFonts w:cs="Times New Roman" w:hint="default"/>
          <w:color w:val="000000"/>
          <w:shd w:val="clear" w:color="auto" w:fill="FFFFFF"/>
        </w:rPr>
        <w:t>rov </w:t>
      </w:r>
      <w:r w:rsidR="0081591D">
        <w:rPr>
          <w:rFonts w:cs="Times New Roman" w:hint="default"/>
          <w:color w:val="000000"/>
          <w:shd w:val="clear" w:color="auto" w:fill="FFFFFF"/>
        </w:rPr>
        <w:t>znení</w:t>
      </w:r>
      <w:r w:rsidR="0081591D">
        <w:rPr>
          <w:rFonts w:cs="Times New Roman" w:hint="default"/>
          <w:color w:val="000000"/>
          <w:shd w:val="clear" w:color="auto" w:fill="FFFFFF"/>
        </w:rPr>
        <w:t xml:space="preserve"> neskorší</w:t>
      </w:r>
      <w:r w:rsidR="0081591D">
        <w:rPr>
          <w:rFonts w:cs="Times New Roman" w:hint="default"/>
          <w:color w:val="000000"/>
          <w:shd w:val="clear" w:color="auto" w:fill="FFFFFF"/>
        </w:rPr>
        <w:t>ch predpi</w:t>
      </w:r>
      <w:r w:rsidR="0081591D">
        <w:rPr>
          <w:rFonts w:cs="Times New Roman" w:hint="default"/>
          <w:color w:val="000000"/>
          <w:shd w:val="clear" w:color="auto" w:fill="FFFFFF"/>
        </w:rPr>
        <w:t>sov je nespravodlivá</w:t>
      </w:r>
      <w:r w:rsidR="0081591D">
        <w:rPr>
          <w:rFonts w:cs="Times New Roman" w:hint="default"/>
          <w:color w:val="000000"/>
          <w:shd w:val="clear" w:color="auto" w:fill="FFFFFF"/>
        </w:rPr>
        <w:t xml:space="preserve"> a </w:t>
      </w:r>
      <w:r w:rsidR="0081591D">
        <w:rPr>
          <w:rFonts w:cs="Times New Roman" w:hint="default"/>
          <w:color w:val="000000"/>
          <w:shd w:val="clear" w:color="auto" w:fill="FFFFFF"/>
        </w:rPr>
        <w:t>nekorektná</w:t>
      </w:r>
      <w:r w:rsidR="0081591D">
        <w:rPr>
          <w:rFonts w:cs="Times New Roman" w:hint="default"/>
          <w:color w:val="000000"/>
          <w:shd w:val="clear" w:color="auto" w:fill="FFFFFF"/>
        </w:rPr>
        <w:t xml:space="preserve"> voč</w:t>
      </w:r>
      <w:r w:rsidR="0081591D">
        <w:rPr>
          <w:rFonts w:cs="Times New Roman" w:hint="default"/>
          <w:color w:val="000000"/>
          <w:shd w:val="clear" w:color="auto" w:fill="FFFFFF"/>
        </w:rPr>
        <w:t xml:space="preserve">i </w:t>
      </w:r>
      <w:r w:rsidR="00951FC2">
        <w:rPr>
          <w:rFonts w:cs="Times New Roman" w:hint="default"/>
          <w:color w:val="000000"/>
          <w:shd w:val="clear" w:color="auto" w:fill="FFFFFF"/>
        </w:rPr>
        <w:t>obč</w:t>
      </w:r>
      <w:r w:rsidR="00951FC2">
        <w:rPr>
          <w:rFonts w:cs="Times New Roman" w:hint="default"/>
          <w:color w:val="000000"/>
          <w:shd w:val="clear" w:color="auto" w:fill="FFFFFF"/>
        </w:rPr>
        <w:t>anom - dedič</w:t>
      </w:r>
      <w:r w:rsidR="00951FC2">
        <w:rPr>
          <w:rFonts w:cs="Times New Roman" w:hint="default"/>
          <w:color w:val="000000"/>
          <w:shd w:val="clear" w:color="auto" w:fill="FFFFFF"/>
        </w:rPr>
        <w:t>om po poruč</w:t>
      </w:r>
      <w:r w:rsidR="00951FC2">
        <w:rPr>
          <w:rFonts w:cs="Times New Roman" w:hint="default"/>
          <w:color w:val="000000"/>
          <w:shd w:val="clear" w:color="auto" w:fill="FFFFFF"/>
        </w:rPr>
        <w:t>iteľ</w:t>
      </w:r>
      <w:r w:rsidR="00951FC2">
        <w:rPr>
          <w:rFonts w:cs="Times New Roman" w:hint="default"/>
          <w:color w:val="000000"/>
          <w:shd w:val="clear" w:color="auto" w:fill="FFFFFF"/>
        </w:rPr>
        <w:t>ovi.</w:t>
      </w:r>
    </w:p>
    <w:p w:rsidR="0048564D" w:rsidP="0048564D">
      <w:pPr>
        <w:bidi w:val="0"/>
        <w:rPr>
          <w:rFonts w:cs="Times New Roman"/>
        </w:rPr>
      </w:pPr>
    </w:p>
    <w:p w:rsidR="00951FC2" w:rsidRPr="00951FC2" w:rsidP="00951FC2">
      <w:pPr>
        <w:pStyle w:val="l51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         Podľa súčasnej právnej úpravy je </w:t>
      </w:r>
      <w:r>
        <w:rPr>
          <w:rFonts w:ascii="Times New Roman" w:hAnsi="Times New Roman"/>
          <w:color w:val="000000"/>
        </w:rPr>
        <w:t>o</w:t>
      </w:r>
      <w:r w:rsidRPr="00951FC2">
        <w:rPr>
          <w:rFonts w:ascii="Times New Roman" w:hAnsi="Times New Roman"/>
          <w:color w:val="000000"/>
        </w:rPr>
        <w:t xml:space="preserve">dmena </w:t>
      </w:r>
      <w:r>
        <w:rPr>
          <w:rFonts w:ascii="Times New Roman" w:hAnsi="Times New Roman"/>
          <w:color w:val="000000"/>
        </w:rPr>
        <w:t xml:space="preserve">notára ako súdneho komisára okrem prípadu zastavenia konania o dedičstve určená vždy konkrétnym percentom z hodnoty dedičstva : </w:t>
      </w:r>
    </w:p>
    <w:tbl>
      <w:tblPr>
        <w:tblStyle w:val="TableNormal"/>
        <w:tblW w:w="0" w:type="auto"/>
        <w:tblCellMar>
          <w:left w:w="0" w:type="dxa"/>
          <w:right w:w="0" w:type="dxa"/>
        </w:tblCellMar>
        <w:tblLook w:val="04A0"/>
      </w:tblPr>
      <w:tblGrid>
        <w:gridCol w:w="7178"/>
        <w:gridCol w:w="1679"/>
      </w:tblGrid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36" w:type="dxa"/>
              <w:bottom w:w="24" w:type="dxa"/>
              <w:right w:w="36" w:type="dxa"/>
            </w:tcMar>
            <w:textDirection w:val="lrTb"/>
            <w:vAlign w:val="top"/>
            <w:hideMark/>
          </w:tcPr>
          <w:p w:rsidR="00951FC2" w:rsidRPr="00951FC2" w:rsidP="00951FC2">
            <w:pPr>
              <w:bidi w:val="0"/>
              <w:rPr>
                <w:rFonts w:eastAsia="Times New Roman" w:cs="Times New Roman"/>
                <w:color w:val="000000"/>
              </w:rPr>
            </w:pPr>
            <w:r w:rsidRPr="00951FC2">
              <w:rPr>
                <w:rFonts w:eastAsia="Times New Roman" w:cs="Times New Roman"/>
                <w:color w:val="000000"/>
              </w:rPr>
              <w:t>z prvých 3 300 eur základu ..........................................................................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36" w:type="dxa"/>
              <w:bottom w:w="24" w:type="dxa"/>
              <w:right w:w="36" w:type="dxa"/>
            </w:tcMar>
            <w:textDirection w:val="lrTb"/>
            <w:vAlign w:val="top"/>
            <w:hideMark/>
          </w:tcPr>
          <w:p w:rsidR="00951FC2" w:rsidRPr="00951FC2" w:rsidP="00951FC2">
            <w:pPr>
              <w:bidi w:val="0"/>
              <w:jc w:val="right"/>
              <w:rPr>
                <w:rFonts w:eastAsia="Times New Roman" w:cs="Times New Roman"/>
                <w:color w:val="000000"/>
              </w:rPr>
            </w:pPr>
            <w:r w:rsidRPr="00951FC2">
              <w:rPr>
                <w:rFonts w:eastAsia="Times New Roman" w:cs="Times New Roman"/>
                <w:color w:val="000000"/>
              </w:rPr>
              <w:t>2 %,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36" w:type="dxa"/>
              <w:bottom w:w="24" w:type="dxa"/>
              <w:right w:w="36" w:type="dxa"/>
            </w:tcMar>
            <w:textDirection w:val="lrTb"/>
            <w:vAlign w:val="top"/>
            <w:hideMark/>
          </w:tcPr>
          <w:p w:rsidR="00951FC2" w:rsidRPr="00951FC2" w:rsidP="00951FC2">
            <w:pPr>
              <w:bidi w:val="0"/>
              <w:rPr>
                <w:rFonts w:eastAsia="Times New Roman" w:cs="Times New Roman"/>
                <w:color w:val="000000"/>
              </w:rPr>
            </w:pPr>
            <w:r w:rsidRPr="00951FC2">
              <w:rPr>
                <w:rFonts w:eastAsia="Times New Roman" w:cs="Times New Roman"/>
                <w:color w:val="000000"/>
              </w:rPr>
              <w:t>z presahujúcej sumy až do 16 500 eur základu .....................................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36" w:type="dxa"/>
              <w:bottom w:w="24" w:type="dxa"/>
              <w:right w:w="36" w:type="dxa"/>
            </w:tcMar>
            <w:textDirection w:val="lrTb"/>
            <w:vAlign w:val="top"/>
            <w:hideMark/>
          </w:tcPr>
          <w:p w:rsidR="00951FC2" w:rsidRPr="00951FC2" w:rsidP="00951FC2">
            <w:pPr>
              <w:bidi w:val="0"/>
              <w:jc w:val="right"/>
              <w:rPr>
                <w:rFonts w:eastAsia="Times New Roman" w:cs="Times New Roman"/>
                <w:color w:val="000000"/>
              </w:rPr>
            </w:pPr>
            <w:r w:rsidRPr="00951FC2">
              <w:rPr>
                <w:rFonts w:eastAsia="Times New Roman" w:cs="Times New Roman"/>
                <w:color w:val="000000"/>
              </w:rPr>
              <w:t>1 %,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36" w:type="dxa"/>
              <w:bottom w:w="24" w:type="dxa"/>
              <w:right w:w="36" w:type="dxa"/>
            </w:tcMar>
            <w:textDirection w:val="lrTb"/>
            <w:vAlign w:val="top"/>
            <w:hideMark/>
          </w:tcPr>
          <w:p w:rsidR="00951FC2" w:rsidRPr="00951FC2" w:rsidP="00951FC2">
            <w:pPr>
              <w:bidi w:val="0"/>
              <w:rPr>
                <w:rFonts w:eastAsia="Times New Roman" w:cs="Times New Roman"/>
                <w:color w:val="000000"/>
              </w:rPr>
            </w:pPr>
            <w:r w:rsidRPr="00951FC2">
              <w:rPr>
                <w:rFonts w:eastAsia="Times New Roman" w:cs="Times New Roman"/>
                <w:color w:val="000000"/>
              </w:rPr>
              <w:t>z presahujúcej sumy až do 33 100 eur základu .....................................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36" w:type="dxa"/>
              <w:bottom w:w="24" w:type="dxa"/>
              <w:right w:w="36" w:type="dxa"/>
            </w:tcMar>
            <w:textDirection w:val="lrTb"/>
            <w:vAlign w:val="top"/>
            <w:hideMark/>
          </w:tcPr>
          <w:p w:rsidR="00951FC2" w:rsidRPr="00951FC2" w:rsidP="00951FC2">
            <w:pPr>
              <w:bidi w:val="0"/>
              <w:jc w:val="right"/>
              <w:rPr>
                <w:rFonts w:eastAsia="Times New Roman" w:cs="Times New Roman"/>
                <w:color w:val="000000"/>
              </w:rPr>
            </w:pPr>
            <w:r w:rsidRPr="00951FC2">
              <w:rPr>
                <w:rFonts w:eastAsia="Times New Roman" w:cs="Times New Roman"/>
                <w:color w:val="000000"/>
              </w:rPr>
              <w:t>0,7 %,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36" w:type="dxa"/>
              <w:bottom w:w="24" w:type="dxa"/>
              <w:right w:w="36" w:type="dxa"/>
            </w:tcMar>
            <w:textDirection w:val="lrTb"/>
            <w:vAlign w:val="top"/>
            <w:hideMark/>
          </w:tcPr>
          <w:p w:rsidR="00951FC2" w:rsidRPr="00951FC2" w:rsidP="00951FC2">
            <w:pPr>
              <w:bidi w:val="0"/>
              <w:rPr>
                <w:rFonts w:eastAsia="Times New Roman" w:cs="Times New Roman"/>
                <w:color w:val="000000"/>
              </w:rPr>
            </w:pPr>
            <w:r w:rsidRPr="00951FC2">
              <w:rPr>
                <w:rFonts w:eastAsia="Times New Roman" w:cs="Times New Roman"/>
                <w:color w:val="000000"/>
              </w:rPr>
              <w:t>z presahujúcej sumy až do 99 500 eur základu .....................................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36" w:type="dxa"/>
              <w:bottom w:w="24" w:type="dxa"/>
              <w:right w:w="36" w:type="dxa"/>
            </w:tcMar>
            <w:textDirection w:val="lrTb"/>
            <w:vAlign w:val="top"/>
            <w:hideMark/>
          </w:tcPr>
          <w:p w:rsidR="00951FC2" w:rsidRPr="00951FC2" w:rsidP="00951FC2">
            <w:pPr>
              <w:bidi w:val="0"/>
              <w:jc w:val="right"/>
              <w:rPr>
                <w:rFonts w:eastAsia="Times New Roman" w:cs="Times New Roman"/>
                <w:color w:val="000000"/>
              </w:rPr>
            </w:pPr>
            <w:r w:rsidRPr="00951FC2">
              <w:rPr>
                <w:rFonts w:eastAsia="Times New Roman" w:cs="Times New Roman"/>
                <w:color w:val="000000"/>
              </w:rPr>
              <w:t>0,4 %,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36" w:type="dxa"/>
              <w:bottom w:w="24" w:type="dxa"/>
              <w:right w:w="36" w:type="dxa"/>
            </w:tcMar>
            <w:textDirection w:val="lrTb"/>
            <w:vAlign w:val="top"/>
            <w:hideMark/>
          </w:tcPr>
          <w:p w:rsidR="00951FC2" w:rsidRPr="00951FC2" w:rsidP="00951FC2">
            <w:pPr>
              <w:bidi w:val="0"/>
              <w:rPr>
                <w:rFonts w:eastAsia="Times New Roman" w:cs="Times New Roman"/>
                <w:color w:val="000000"/>
              </w:rPr>
            </w:pPr>
            <w:r w:rsidRPr="00951FC2">
              <w:rPr>
                <w:rFonts w:eastAsia="Times New Roman" w:cs="Times New Roman"/>
                <w:color w:val="000000"/>
              </w:rPr>
              <w:t>z presahujúcej sumy až do 663 800 eur základu ...................................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36" w:type="dxa"/>
              <w:bottom w:w="24" w:type="dxa"/>
              <w:right w:w="36" w:type="dxa"/>
            </w:tcMar>
            <w:textDirection w:val="lrTb"/>
            <w:vAlign w:val="top"/>
            <w:hideMark/>
          </w:tcPr>
          <w:p w:rsidR="00951FC2" w:rsidRPr="00951FC2" w:rsidP="00951FC2">
            <w:pPr>
              <w:bidi w:val="0"/>
              <w:jc w:val="right"/>
              <w:rPr>
                <w:rFonts w:eastAsia="Times New Roman" w:cs="Times New Roman"/>
                <w:color w:val="000000"/>
              </w:rPr>
            </w:pPr>
            <w:r w:rsidRPr="00951FC2">
              <w:rPr>
                <w:rFonts w:eastAsia="Times New Roman" w:cs="Times New Roman"/>
                <w:color w:val="000000"/>
              </w:rPr>
              <w:t>0,2 %,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36" w:type="dxa"/>
              <w:bottom w:w="24" w:type="dxa"/>
              <w:right w:w="36" w:type="dxa"/>
            </w:tcMar>
            <w:textDirection w:val="lrTb"/>
            <w:vAlign w:val="top"/>
            <w:hideMark/>
          </w:tcPr>
          <w:p w:rsidR="00951FC2" w:rsidRPr="00951FC2" w:rsidP="00951FC2">
            <w:pPr>
              <w:bidi w:val="0"/>
              <w:rPr>
                <w:rFonts w:eastAsia="Times New Roman" w:cs="Times New Roman"/>
                <w:color w:val="000000"/>
              </w:rPr>
            </w:pPr>
            <w:r w:rsidRPr="00951FC2">
              <w:rPr>
                <w:rFonts w:eastAsia="Times New Roman" w:cs="Times New Roman"/>
                <w:color w:val="00000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36" w:type="dxa"/>
              <w:bottom w:w="24" w:type="dxa"/>
              <w:right w:w="36" w:type="dxa"/>
            </w:tcMar>
            <w:textDirection w:val="lrTb"/>
            <w:vAlign w:val="top"/>
            <w:hideMark/>
          </w:tcPr>
          <w:p w:rsidR="00951FC2" w:rsidRPr="00951FC2" w:rsidP="00951FC2">
            <w:pPr>
              <w:bidi w:val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najmenej 23 </w:t>
            </w:r>
            <w:r w:rsidRPr="00951FC2">
              <w:rPr>
                <w:rFonts w:eastAsia="Times New Roman" w:cs="Times New Roman"/>
                <w:color w:val="000000"/>
              </w:rPr>
              <w:t>eur.</w:t>
            </w:r>
          </w:p>
        </w:tc>
      </w:tr>
    </w:tbl>
    <w:p w:rsidR="00951FC2" w:rsidRPr="00951FC2" w:rsidP="00951FC2">
      <w:pPr>
        <w:bidi w:val="0"/>
        <w:jc w:val="both"/>
        <w:rPr>
          <w:rFonts w:eastAsia="Times New Roman" w:cs="Times New Roman"/>
          <w:color w:val="000000"/>
        </w:rPr>
      </w:pPr>
      <w:r w:rsidRPr="00951FC2">
        <w:rPr>
          <w:rFonts w:eastAsia="Times New Roman" w:cs="Times New Roman"/>
          <w:color w:val="000000"/>
        </w:rPr>
        <w:t>Suma nad 663 800 eur sa do základu nezapočítava.</w:t>
      </w:r>
    </w:p>
    <w:p w:rsidR="00951FC2" w:rsidP="0048564D">
      <w:pPr>
        <w:bidi w:val="0"/>
        <w:rPr>
          <w:rFonts w:cs="Times New Roman"/>
        </w:rPr>
      </w:pPr>
    </w:p>
    <w:p w:rsidR="00951FC2" w:rsidRPr="00AC73A6" w:rsidP="0048564D">
      <w:pPr>
        <w:bidi w:val="0"/>
        <w:rPr>
          <w:rFonts w:cs="Times New Roman"/>
        </w:rPr>
      </w:pPr>
    </w:p>
    <w:p w:rsidR="00951FC2" w:rsidP="009E2C97">
      <w:pPr>
        <w:tabs>
          <w:tab w:val="left" w:pos="2085"/>
        </w:tabs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 xml:space="preserve">           Má</w:t>
      </w:r>
      <w:r>
        <w:rPr>
          <w:rFonts w:cs="Times New Roman" w:hint="default"/>
        </w:rPr>
        <w:t>me za to, ž</w:t>
      </w:r>
      <w:r>
        <w:rPr>
          <w:rFonts w:cs="Times New Roman" w:hint="default"/>
        </w:rPr>
        <w:t>e vyšš</w:t>
      </w:r>
      <w:r>
        <w:rPr>
          <w:rFonts w:cs="Times New Roman" w:hint="default"/>
        </w:rPr>
        <w:t>ie uvedený</w:t>
      </w:r>
      <w:r>
        <w:rPr>
          <w:rFonts w:cs="Times New Roman" w:hint="default"/>
        </w:rPr>
        <w:t xml:space="preserve"> spô</w:t>
      </w:r>
      <w:r>
        <w:rPr>
          <w:rFonts w:cs="Times New Roman" w:hint="default"/>
        </w:rPr>
        <w:t>sob odmeň</w:t>
      </w:r>
      <w:r>
        <w:rPr>
          <w:rFonts w:cs="Times New Roman" w:hint="default"/>
        </w:rPr>
        <w:t>ovania je vrcholne nespravodlivý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nekorektný</w:t>
      </w:r>
      <w:r>
        <w:rPr>
          <w:rFonts w:cs="Times New Roman" w:hint="default"/>
        </w:rPr>
        <w:t xml:space="preserve"> voč</w:t>
      </w:r>
      <w:r>
        <w:rPr>
          <w:rFonts w:cs="Times New Roman" w:hint="default"/>
        </w:rPr>
        <w:t>i obč</w:t>
      </w:r>
      <w:r>
        <w:rPr>
          <w:rFonts w:cs="Times New Roman" w:hint="default"/>
        </w:rPr>
        <w:t xml:space="preserve">anom </w:t>
      </w:r>
      <w:r>
        <w:rPr>
          <w:rFonts w:cs="Times New Roman" w:hint="default"/>
        </w:rPr>
        <w:t>–</w:t>
      </w:r>
      <w:r>
        <w:rPr>
          <w:rFonts w:cs="Times New Roman" w:hint="default"/>
        </w:rPr>
        <w:t xml:space="preserve"> dedič</w:t>
      </w:r>
      <w:r>
        <w:rPr>
          <w:rFonts w:cs="Times New Roman" w:hint="default"/>
        </w:rPr>
        <w:t xml:space="preserve">om </w:t>
      </w:r>
      <w:r>
        <w:rPr>
          <w:rFonts w:cs="Times New Roman" w:hint="default"/>
        </w:rPr>
        <w:t>–</w:t>
      </w:r>
      <w:r>
        <w:rPr>
          <w:rFonts w:cs="Times New Roman" w:hint="default"/>
        </w:rPr>
        <w:t xml:space="preserve"> nakoľ</w:t>
      </w:r>
      <w:r>
        <w:rPr>
          <w:rFonts w:cs="Times New Roman" w:hint="default"/>
        </w:rPr>
        <w:t>ko pre dedič</w:t>
      </w:r>
      <w:r>
        <w:rPr>
          <w:rFonts w:cs="Times New Roman" w:hint="default"/>
        </w:rPr>
        <w:t>stve do 663 </w:t>
      </w:r>
      <w:r>
        <w:rPr>
          <w:rFonts w:cs="Times New Roman" w:hint="default"/>
        </w:rPr>
        <w:t>800 eur sa urč</w:t>
      </w:r>
      <w:r>
        <w:rPr>
          <w:rFonts w:cs="Times New Roman" w:hint="default"/>
        </w:rPr>
        <w:t>uje odmena vž</w:t>
      </w:r>
      <w:r>
        <w:rPr>
          <w:rFonts w:cs="Times New Roman" w:hint="default"/>
        </w:rPr>
        <w:t>dy konkré</w:t>
      </w:r>
      <w:r>
        <w:rPr>
          <w:rFonts w:cs="Times New Roman" w:hint="default"/>
        </w:rPr>
        <w:t>tnym percentom</w:t>
      </w:r>
      <w:r w:rsidR="006C6025">
        <w:rPr>
          <w:rFonts w:cs="Times New Roman"/>
        </w:rPr>
        <w:t>,</w:t>
      </w:r>
      <w:r>
        <w:rPr>
          <w:rFonts w:cs="Times New Roman" w:hint="default"/>
        </w:rPr>
        <w:t xml:space="preserve"> ale už</w:t>
      </w:r>
      <w:r>
        <w:rPr>
          <w:rFonts w:cs="Times New Roman" w:hint="default"/>
        </w:rPr>
        <w:t xml:space="preserve"> pri majetku nad </w:t>
      </w:r>
      <w:r>
        <w:rPr>
          <w:rFonts w:cs="Times New Roman" w:hint="default"/>
        </w:rPr>
        <w:t xml:space="preserve">663 800 eur </w:t>
      </w:r>
      <w:r w:rsidR="006C6025">
        <w:rPr>
          <w:rFonts w:cs="Times New Roman"/>
        </w:rPr>
        <w:t xml:space="preserve">sa </w:t>
      </w:r>
      <w:r>
        <w:rPr>
          <w:rFonts w:cs="Times New Roman"/>
        </w:rPr>
        <w:t>suma</w:t>
      </w:r>
      <w:r w:rsidR="006C6025">
        <w:rPr>
          <w:rFonts w:cs="Times New Roman"/>
        </w:rPr>
        <w:t xml:space="preserve"> nad 663 </w:t>
      </w:r>
      <w:r w:rsidR="006C6025">
        <w:rPr>
          <w:rFonts w:cs="Times New Roman" w:hint="default"/>
        </w:rPr>
        <w:t>800 eur vô</w:t>
      </w:r>
      <w:r w:rsidR="006C6025">
        <w:rPr>
          <w:rFonts w:cs="Times New Roman" w:hint="default"/>
        </w:rPr>
        <w:t xml:space="preserve">bec </w:t>
      </w:r>
      <w:r>
        <w:rPr>
          <w:rFonts w:cs="Times New Roman" w:hint="default"/>
        </w:rPr>
        <w:t>nezohľ</w:t>
      </w:r>
      <w:r>
        <w:rPr>
          <w:rFonts w:cs="Times New Roman" w:hint="default"/>
        </w:rPr>
        <w:t>adň</w:t>
      </w:r>
      <w:r>
        <w:rPr>
          <w:rFonts w:cs="Times New Roman" w:hint="default"/>
        </w:rPr>
        <w:t xml:space="preserve">uje. </w:t>
      </w:r>
    </w:p>
    <w:p w:rsidR="00951FC2" w:rsidP="009E2C97">
      <w:pPr>
        <w:tabs>
          <w:tab w:val="left" w:pos="2085"/>
        </w:tabs>
        <w:bidi w:val="0"/>
        <w:jc w:val="both"/>
        <w:rPr>
          <w:rFonts w:cs="Times New Roman" w:hint="default"/>
        </w:rPr>
      </w:pPr>
    </w:p>
    <w:p w:rsidR="00951FC2" w:rsidRPr="00951FC2" w:rsidP="00951FC2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  <w:r w:rsidRPr="00AC73A6" w:rsidR="0048564D">
        <w:rPr>
          <w:rFonts w:cs="Times New Roman" w:hint="default"/>
        </w:rPr>
        <w:t>Ná</w:t>
      </w:r>
      <w:r w:rsidRPr="00AC73A6" w:rsidR="0048564D">
        <w:rPr>
          <w:rFonts w:cs="Times New Roman" w:hint="default"/>
        </w:rPr>
        <w:t>vrh zmeny zá</w:t>
      </w:r>
      <w:r w:rsidRPr="00AC73A6" w:rsidR="0048564D">
        <w:rPr>
          <w:rFonts w:cs="Times New Roman" w:hint="default"/>
        </w:rPr>
        <w:t xml:space="preserve">kona </w:t>
      </w:r>
      <w:r w:rsidR="009E2C97">
        <w:rPr>
          <w:rFonts w:cs="Times New Roman" w:hint="default"/>
        </w:rPr>
        <w:t>predovš</w:t>
      </w:r>
      <w:r w:rsidR="009E2C97">
        <w:rPr>
          <w:rFonts w:cs="Times New Roman" w:hint="default"/>
        </w:rPr>
        <w:t>etký</w:t>
      </w:r>
      <w:r w:rsidR="009E2C97">
        <w:rPr>
          <w:rFonts w:cs="Times New Roman" w:hint="default"/>
        </w:rPr>
        <w:t>m z</w:t>
      </w:r>
      <w:r>
        <w:rPr>
          <w:rFonts w:cs="Times New Roman" w:hint="default"/>
        </w:rPr>
        <w:t>avá</w:t>
      </w:r>
      <w:r>
        <w:rPr>
          <w:rFonts w:cs="Times New Roman" w:hint="default"/>
        </w:rPr>
        <w:t>dza nový</w:t>
      </w:r>
      <w:r>
        <w:rPr>
          <w:rFonts w:cs="Times New Roman" w:hint="default"/>
        </w:rPr>
        <w:t xml:space="preserve"> systé</w:t>
      </w:r>
      <w:r>
        <w:rPr>
          <w:rFonts w:cs="Times New Roman" w:hint="default"/>
        </w:rPr>
        <w:t>m odmeň</w:t>
      </w:r>
      <w:r>
        <w:rPr>
          <w:rFonts w:cs="Times New Roman" w:hint="default"/>
        </w:rPr>
        <w:t>ovania notá</w:t>
      </w:r>
      <w:r>
        <w:rPr>
          <w:rFonts w:cs="Times New Roman" w:hint="default"/>
        </w:rPr>
        <w:t>ra ako sú</w:t>
      </w:r>
      <w:r>
        <w:rPr>
          <w:rFonts w:cs="Times New Roman" w:hint="default"/>
        </w:rPr>
        <w:t>dneho komisá</w:t>
      </w:r>
      <w:r>
        <w:rPr>
          <w:rFonts w:cs="Times New Roman" w:hint="default"/>
        </w:rPr>
        <w:t>ra a </w:t>
      </w:r>
      <w:r>
        <w:rPr>
          <w:rFonts w:cs="Times New Roman" w:hint="default"/>
        </w:rPr>
        <w:t>to pevne urč</w:t>
      </w:r>
      <w:r>
        <w:rPr>
          <w:rFonts w:cs="Times New Roman" w:hint="default"/>
        </w:rPr>
        <w:t>ený</w:t>
      </w:r>
      <w:r>
        <w:rPr>
          <w:rFonts w:cs="Times New Roman" w:hint="default"/>
        </w:rPr>
        <w:t>mi odmenami :</w:t>
      </w:r>
      <w:bookmarkStart w:id="0" w:name="p12-3"/>
      <w:bookmarkStart w:id="1" w:name="p13"/>
      <w:bookmarkStart w:id="2" w:name="p13-1"/>
      <w:bookmarkEnd w:id="0"/>
      <w:bookmarkEnd w:id="1"/>
      <w:bookmarkEnd w:id="2"/>
    </w:p>
    <w:tbl>
      <w:tblPr>
        <w:tblStyle w:val="TableNormal"/>
        <w:tblW w:w="0" w:type="auto"/>
        <w:tblCellMar>
          <w:left w:w="0" w:type="dxa"/>
          <w:right w:w="0" w:type="dxa"/>
        </w:tblCellMar>
        <w:tblLook w:val="04A0"/>
      </w:tblPr>
      <w:tblGrid>
        <w:gridCol w:w="7216"/>
        <w:gridCol w:w="937"/>
      </w:tblGrid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951FC2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 w:rsidRPr="00CF08D9">
              <w:rPr>
                <w:rFonts w:eastAsia="Times New Roman" w:cs="Times New Roman"/>
                <w:color w:val="000000"/>
              </w:rPr>
              <w:t>z prvých 3 300 eur základu ..........................................................................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951FC2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13 eur</w:t>
            </w:r>
            <w:r w:rsidRPr="00CF08D9">
              <w:rPr>
                <w:rFonts w:eastAsia="Times New Roman" w:cs="Times New Roman"/>
                <w:color w:val="000000"/>
              </w:rPr>
              <w:t>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951FC2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z presahujúcej sumy až do 100 0</w:t>
            </w:r>
            <w:r w:rsidRPr="00CF08D9">
              <w:rPr>
                <w:rFonts w:eastAsia="Times New Roman" w:cs="Times New Roman"/>
                <w:color w:val="000000"/>
              </w:rPr>
              <w:t>00 eur základu .....................................</w:t>
            </w:r>
            <w:r>
              <w:rPr>
                <w:rFonts w:eastAsia="Times New Roman" w:cs="Times New Roman"/>
                <w:color w:val="000000"/>
              </w:rPr>
              <w:t>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951FC2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66 eur</w:t>
            </w:r>
            <w:r w:rsidRPr="00CF08D9">
              <w:rPr>
                <w:rFonts w:eastAsia="Times New Roman" w:cs="Times New Roman"/>
                <w:color w:val="000000"/>
              </w:rPr>
              <w:t>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951FC2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z presahujúcej sumy až do 200 0</w:t>
            </w:r>
            <w:r w:rsidRPr="00CF08D9">
              <w:rPr>
                <w:rFonts w:eastAsia="Times New Roman" w:cs="Times New Roman"/>
                <w:color w:val="000000"/>
              </w:rPr>
              <w:t>00 eur základu ......</w:t>
            </w:r>
            <w:r>
              <w:rPr>
                <w:rFonts w:eastAsia="Times New Roman" w:cs="Times New Roman"/>
                <w:color w:val="000000"/>
              </w:rPr>
              <w:t>.....</w:t>
            </w:r>
            <w:r w:rsidRPr="00CF08D9">
              <w:rPr>
                <w:rFonts w:eastAsia="Times New Roman" w:cs="Times New Roman"/>
                <w:color w:val="000000"/>
              </w:rPr>
              <w:t>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951FC2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132 eur</w:t>
            </w:r>
            <w:r w:rsidRPr="00CF08D9">
              <w:rPr>
                <w:rFonts w:eastAsia="Times New Roman" w:cs="Times New Roman"/>
                <w:color w:val="000000"/>
              </w:rPr>
              <w:t>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951FC2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z presahujúcej sumy (nad 200 000 eur </w:t>
            </w:r>
            <w:r w:rsidRPr="00CF08D9">
              <w:rPr>
                <w:rFonts w:eastAsia="Times New Roman" w:cs="Times New Roman"/>
                <w:color w:val="000000"/>
              </w:rPr>
              <w:t>základu</w:t>
            </w:r>
            <w:r>
              <w:rPr>
                <w:rFonts w:eastAsia="Times New Roman" w:cs="Times New Roman"/>
                <w:color w:val="000000"/>
              </w:rPr>
              <w:t>)</w:t>
            </w:r>
            <w:r w:rsidRPr="00CF08D9">
              <w:rPr>
                <w:rFonts w:eastAsia="Times New Roman" w:cs="Times New Roman"/>
                <w:color w:val="000000"/>
              </w:rPr>
              <w:t xml:space="preserve"> .</w:t>
            </w:r>
            <w:r>
              <w:rPr>
                <w:rFonts w:eastAsia="Times New Roman" w:cs="Times New Roman"/>
                <w:color w:val="000000"/>
              </w:rPr>
              <w:t>.....</w:t>
            </w:r>
            <w:r w:rsidRPr="00CF08D9">
              <w:rPr>
                <w:rFonts w:eastAsia="Times New Roman" w:cs="Times New Roman"/>
                <w:color w:val="000000"/>
              </w:rPr>
              <w:t>....................................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951FC2" w:rsidRPr="00CF08D9" w:rsidP="00830876">
            <w:pPr>
              <w:bidi w:val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264 eur.</w:t>
            </w:r>
          </w:p>
        </w:tc>
      </w:tr>
    </w:tbl>
    <w:p w:rsidR="00951FC2" w:rsidP="009E2C97">
      <w:pPr>
        <w:tabs>
          <w:tab w:val="left" w:pos="2085"/>
        </w:tabs>
        <w:bidi w:val="0"/>
        <w:jc w:val="both"/>
        <w:rPr>
          <w:rFonts w:cs="Times New Roman"/>
        </w:rPr>
      </w:pPr>
    </w:p>
    <w:p w:rsidR="009E2C97" w:rsidRPr="00AC73A6" w:rsidP="009E2C97">
      <w:pPr>
        <w:tabs>
          <w:tab w:val="left" w:pos="2085"/>
        </w:tabs>
        <w:bidi w:val="0"/>
        <w:jc w:val="both"/>
        <w:rPr>
          <w:rFonts w:cs="Times New Roman"/>
          <w:color w:val="000000"/>
          <w:shd w:val="clear" w:color="auto" w:fill="D5D5D5"/>
        </w:rPr>
      </w:pPr>
      <w:r w:rsidR="00951FC2">
        <w:rPr>
          <w:rFonts w:cs="Times New Roman"/>
        </w:rPr>
        <w:t xml:space="preserve"> </w:t>
      </w:r>
    </w:p>
    <w:p w:rsidR="009E2C97" w:rsidRPr="00AC73A6" w:rsidP="009E2C97">
      <w:pPr>
        <w:bidi w:val="0"/>
        <w:rPr>
          <w:rFonts w:cs="Times New Roman"/>
        </w:rPr>
      </w:pPr>
    </w:p>
    <w:p w:rsidR="0048564D" w:rsidRPr="00AC73A6" w:rsidP="0048564D">
      <w:pPr>
        <w:bidi w:val="0"/>
        <w:jc w:val="both"/>
        <w:rPr>
          <w:rFonts w:cs="Times New Roman"/>
        </w:rPr>
      </w:pPr>
      <w:r w:rsidRPr="00AC73A6">
        <w:rPr>
          <w:rFonts w:cs="Times New Roman"/>
        </w:rPr>
        <w:tab/>
      </w:r>
    </w:p>
    <w:p w:rsidR="0048564D" w:rsidRPr="00AC73A6" w:rsidP="00951FC2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sociá</w:t>
      </w:r>
      <w:r w:rsidRPr="00AC73A6">
        <w:rPr>
          <w:rFonts w:cs="Times New Roman" w:hint="default"/>
        </w:rPr>
        <w:t>lne vplyvy, nebude mať</w:t>
      </w:r>
      <w:r w:rsidRPr="00AC73A6">
        <w:rPr>
          <w:rFonts w:cs="Times New Roman" w:hint="default"/>
        </w:rPr>
        <w:t xml:space="preserve"> nepriaznivý</w:t>
      </w:r>
      <w:r w:rsidRPr="00AC73A6">
        <w:rPr>
          <w:rFonts w:cs="Times New Roman" w:hint="default"/>
        </w:rPr>
        <w:t xml:space="preserve"> dopad na verejné</w:t>
      </w:r>
      <w:r w:rsidRPr="00AC73A6">
        <w:rPr>
          <w:rFonts w:cs="Times New Roman" w:hint="default"/>
        </w:rPr>
        <w:t xml:space="preserve"> rozpoč</w:t>
      </w:r>
      <w:r w:rsidRPr="00AC73A6">
        <w:rPr>
          <w:rFonts w:cs="Times New Roman" w:hint="default"/>
        </w:rPr>
        <w:t>ty ani 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</w:t>
      </w:r>
      <w:r w:rsidRPr="00AC73A6">
        <w:rPr>
          <w:rFonts w:cs="Times New Roman" w:hint="default"/>
        </w:rPr>
        <w:t>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PlaceholderText"/>
          <w:color w:val="000000"/>
        </w:rPr>
      </w:pPr>
    </w:p>
    <w:p w:rsidR="00D93D34" w:rsidP="00951FC2">
      <w:pPr>
        <w:pStyle w:val="BodyText"/>
        <w:bidi w:val="0"/>
        <w:ind w:firstLine="708"/>
        <w:jc w:val="both"/>
        <w:rPr>
          <w:rFonts w:hint="default"/>
        </w:rPr>
      </w:pPr>
      <w:r>
        <w:rPr>
          <w:rStyle w:val="PlaceholderText"/>
          <w:rFonts w:hint="default"/>
          <w:color w:val="000000"/>
        </w:rPr>
        <w:t>Ná</w:t>
      </w:r>
      <w:r>
        <w:rPr>
          <w:rStyle w:val="PlaceholderText"/>
          <w:rFonts w:hint="default"/>
          <w:color w:val="000000"/>
        </w:rPr>
        <w:t>vrh zá</w:t>
      </w:r>
      <w:r>
        <w:rPr>
          <w:rStyle w:val="PlaceholderText"/>
          <w:rFonts w:hint="default"/>
          <w:color w:val="000000"/>
        </w:rPr>
        <w:t>kona je v </w:t>
      </w:r>
      <w:r>
        <w:rPr>
          <w:rStyle w:val="PlaceholderText"/>
          <w:rFonts w:hint="default"/>
          <w:color w:val="000000"/>
        </w:rPr>
        <w:t>sú</w:t>
      </w:r>
      <w:r>
        <w:rPr>
          <w:rStyle w:val="PlaceholderText"/>
          <w:rFonts w:hint="default"/>
          <w:color w:val="000000"/>
        </w:rPr>
        <w:t>lade s </w:t>
      </w:r>
      <w:r>
        <w:rPr>
          <w:rStyle w:val="PlaceholderText"/>
          <w:rFonts w:hint="default"/>
          <w:color w:val="000000"/>
        </w:rPr>
        <w:t>Ú</w:t>
      </w:r>
      <w:r>
        <w:rPr>
          <w:rStyle w:val="PlaceholderText"/>
          <w:rFonts w:hint="default"/>
          <w:color w:val="000000"/>
        </w:rPr>
        <w:t>stavou Slovenskej republiky, ú</w:t>
      </w:r>
      <w:r>
        <w:rPr>
          <w:rStyle w:val="PlaceholderText"/>
          <w:rFonts w:hint="default"/>
          <w:color w:val="000000"/>
        </w:rPr>
        <w:t>stavný</w:t>
      </w:r>
      <w:r>
        <w:rPr>
          <w:rStyle w:val="PlaceholderText"/>
          <w:rFonts w:hint="default"/>
          <w:color w:val="000000"/>
        </w:rPr>
        <w:t>mi zá</w:t>
      </w:r>
      <w:r>
        <w:rPr>
          <w:rStyle w:val="PlaceholderText"/>
          <w:rFonts w:hint="default"/>
          <w:color w:val="000000"/>
        </w:rPr>
        <w:t>konmi, medziná</w:t>
      </w:r>
      <w:r>
        <w:rPr>
          <w:rStyle w:val="PlaceholderText"/>
          <w:rFonts w:hint="default"/>
          <w:color w:val="000000"/>
        </w:rPr>
        <w:t>rodný</w:t>
      </w:r>
      <w:r>
        <w:rPr>
          <w:rStyle w:val="PlaceholderText"/>
          <w:rFonts w:hint="default"/>
          <w:color w:val="000000"/>
        </w:rPr>
        <w:t>mi</w:t>
      </w:r>
      <w:r>
        <w:rPr>
          <w:rFonts w:hint="default"/>
        </w:rPr>
        <w:t xml:space="preserve"> zmluvami,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 xml:space="preserve"> a </w:t>
      </w:r>
      <w:r>
        <w:rPr>
          <w:rFonts w:hint="default"/>
        </w:rPr>
        <w:t>zá</w:t>
      </w:r>
      <w:r>
        <w:rPr>
          <w:rFonts w:hint="default"/>
        </w:rPr>
        <w:t>konmi a s</w:t>
      </w:r>
      <w:r>
        <w:rPr>
          <w:rFonts w:hint="default"/>
        </w:rPr>
        <w:t>úč</w:t>
      </w:r>
      <w:r>
        <w:rPr>
          <w:rFonts w:hint="default"/>
        </w:rPr>
        <w:t>asne je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>nie.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6C6025" w:rsidP="0048564D">
      <w:pPr>
        <w:bidi w:val="0"/>
        <w:rPr>
          <w:rFonts w:cs="Times New Roman"/>
        </w:rPr>
      </w:pPr>
    </w:p>
    <w:p w:rsidR="006C6025" w:rsidP="0048564D">
      <w:pPr>
        <w:bidi w:val="0"/>
        <w:rPr>
          <w:rFonts w:cs="Times New Roman"/>
        </w:rPr>
      </w:pPr>
    </w:p>
    <w:p w:rsidR="006C6025" w:rsidP="0048564D">
      <w:pPr>
        <w:bidi w:val="0"/>
        <w:rPr>
          <w:rFonts w:cs="Times New Roman"/>
        </w:rPr>
      </w:pPr>
    </w:p>
    <w:p w:rsidR="006C6025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48564D" w:rsidP="00D93D34">
      <w:pPr>
        <w:widowControl w:val="0"/>
        <w:bidi w:val="0"/>
        <w:jc w:val="both"/>
        <w:rPr>
          <w:rFonts w:cs="Times New Roman"/>
        </w:rPr>
      </w:pPr>
    </w:p>
    <w:p w:rsidR="0081591D" w:rsidRPr="0081591D" w:rsidP="00D93D34">
      <w:pPr>
        <w:widowControl w:val="0"/>
        <w:bidi w:val="0"/>
        <w:jc w:val="both"/>
        <w:rPr>
          <w:rFonts w:cs="Times New Roman"/>
          <w:b/>
        </w:rPr>
      </w:pPr>
    </w:p>
    <w:p w:rsidR="0081591D" w:rsidRPr="0081591D" w:rsidP="0081591D">
      <w:pPr>
        <w:bidi w:val="0"/>
        <w:jc w:val="both"/>
        <w:rPr>
          <w:rFonts w:cs="Times New Roman"/>
        </w:rPr>
      </w:pPr>
      <w:r w:rsidRPr="0081591D" w:rsidR="00D93D34">
        <w:rPr>
          <w:rFonts w:cs="Times New Roman"/>
          <w:b/>
        </w:rPr>
        <w:t xml:space="preserve">2.  </w:t>
      </w:r>
      <w:r w:rsidRPr="0081591D" w:rsidR="0048564D">
        <w:rPr>
          <w:rFonts w:cs="Times New Roman" w:hint="default"/>
          <w:b/>
          <w:bCs/>
        </w:rPr>
        <w:t>Ná</w:t>
      </w:r>
      <w:r w:rsidRPr="0081591D" w:rsidR="0048564D">
        <w:rPr>
          <w:rFonts w:cs="Times New Roman" w:hint="default"/>
          <w:b/>
          <w:bCs/>
        </w:rPr>
        <w:t>zov ná</w:t>
      </w:r>
      <w:r w:rsidRPr="0081591D" w:rsidR="0048564D">
        <w:rPr>
          <w:rFonts w:cs="Times New Roman" w:hint="default"/>
          <w:b/>
          <w:bCs/>
        </w:rPr>
        <w:t>vrhu zá</w:t>
      </w:r>
      <w:r w:rsidRPr="0081591D" w:rsidR="0048564D">
        <w:rPr>
          <w:rFonts w:cs="Times New Roman" w:hint="default"/>
          <w:b/>
          <w:bCs/>
        </w:rPr>
        <w:t>kona:</w:t>
      </w:r>
      <w:r w:rsidRPr="0081591D" w:rsidR="0048564D">
        <w:rPr>
          <w:rFonts w:cs="Times New Roman"/>
          <w:bCs/>
        </w:rPr>
        <w:t xml:space="preserve"> </w:t>
      </w:r>
      <w:r w:rsidRPr="0081591D" w:rsidR="00D93D34">
        <w:rPr>
          <w:rFonts w:cs="Times New Roman" w:hint="default"/>
        </w:rPr>
        <w:t>Ná</w:t>
      </w:r>
      <w:r w:rsidRPr="0081591D" w:rsidR="00D93D34">
        <w:rPr>
          <w:rFonts w:cs="Times New Roman" w:hint="default"/>
        </w:rPr>
        <w:t xml:space="preserve">vrh </w:t>
      </w:r>
      <w:r w:rsidRPr="0081591D" w:rsidR="00D93D34">
        <w:rPr>
          <w:rFonts w:cs="Times New Roman" w:hint="default"/>
          <w:bCs/>
        </w:rPr>
        <w:t>zá</w:t>
      </w:r>
      <w:r w:rsidRPr="0081591D" w:rsidR="00D93D34">
        <w:rPr>
          <w:rFonts w:cs="Times New Roman" w:hint="default"/>
          <w:bCs/>
        </w:rPr>
        <w:t>kona,</w:t>
      </w:r>
      <w:r w:rsidRPr="0081591D" w:rsidR="00D93D34">
        <w:rPr>
          <w:rFonts w:cs="Times New Roman"/>
        </w:rPr>
        <w:t xml:space="preserve"> </w:t>
      </w:r>
      <w:r w:rsidRPr="0081591D">
        <w:rPr>
          <w:rFonts w:hint="default"/>
        </w:rPr>
        <w:t>ktorý</w:t>
      </w:r>
      <w:r w:rsidRPr="0081591D">
        <w:rPr>
          <w:rFonts w:hint="default"/>
        </w:rPr>
        <w:t>m sa mení</w:t>
      </w:r>
      <w:r w:rsidRPr="0081591D">
        <w:rPr>
          <w:rFonts w:hint="default"/>
        </w:rPr>
        <w:t xml:space="preserve"> a dopĺň</w:t>
      </w:r>
      <w:r w:rsidRPr="0081591D">
        <w:rPr>
          <w:rFonts w:hint="default"/>
        </w:rPr>
        <w:t xml:space="preserve">a </w:t>
      </w:r>
      <w:r w:rsidRPr="0081591D">
        <w:rPr>
          <w:rFonts w:hint="default"/>
          <w:color w:val="000000"/>
        </w:rPr>
        <w:t>zá</w:t>
      </w:r>
      <w:r w:rsidRPr="0081591D">
        <w:rPr>
          <w:rFonts w:hint="default"/>
          <w:color w:val="000000"/>
        </w:rPr>
        <w:t>kon Slovenskej ná</w:t>
      </w:r>
      <w:r w:rsidRPr="0081591D">
        <w:rPr>
          <w:rFonts w:hint="default"/>
          <w:color w:val="000000"/>
        </w:rPr>
        <w:t>rodnej rady č</w:t>
      </w:r>
      <w:r w:rsidRPr="0081591D">
        <w:rPr>
          <w:rFonts w:hint="default"/>
          <w:color w:val="000000"/>
        </w:rPr>
        <w:t xml:space="preserve">. 323/1992 Zb. </w:t>
      </w:r>
      <w:r w:rsidRPr="0081591D">
        <w:rPr>
          <w:rFonts w:eastAsia="Times New Roman" w:cs="Times New Roman"/>
          <w:color w:val="000000"/>
          <w:lang w:eastAsia="cs-CZ"/>
        </w:rPr>
        <w:t>o notároch a notárskej činnosti (Notársky poriadok) v znení neskorších predpisov</w:t>
      </w:r>
    </w:p>
    <w:p w:rsidR="009E2C97" w:rsidRPr="00D93D34" w:rsidP="00D93D34">
      <w:pPr>
        <w:bidi w:val="0"/>
        <w:jc w:val="both"/>
        <w:rPr>
          <w:rFonts w:cs="Times New Roman"/>
        </w:rPr>
      </w:pPr>
    </w:p>
    <w:p w:rsidR="0081591D" w:rsidRPr="00E66EE4" w:rsidP="0081591D">
      <w:pPr>
        <w:bidi w:val="0"/>
        <w:ind w:left="360" w:hanging="360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p w:rsidR="0081591D" w:rsidRPr="00E66EE4" w:rsidP="0081591D">
      <w:pPr>
        <w:bidi w:val="0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p w:rsidR="0081591D" w:rsidRPr="00E66EE4" w:rsidP="0081591D">
      <w:pPr>
        <w:bidi w:val="0"/>
        <w:ind w:left="360" w:hanging="360"/>
        <w:rPr>
          <w:color w:val="000000"/>
          <w:sz w:val="27"/>
          <w:szCs w:val="27"/>
        </w:rPr>
      </w:pPr>
      <w:r w:rsidRPr="00E66EE4">
        <w:rPr>
          <w:b/>
          <w:bCs/>
          <w:color w:val="000000"/>
        </w:rPr>
        <w:t>3.              </w:t>
      </w:r>
      <w:r w:rsidRPr="00E66EE4">
        <w:rPr>
          <w:rFonts w:hint="default"/>
          <w:b/>
          <w:bCs/>
          <w:color w:val="000000"/>
        </w:rPr>
        <w:t>Problematika ná</w:t>
      </w:r>
      <w:r w:rsidRPr="00E66EE4">
        <w:rPr>
          <w:rFonts w:hint="default"/>
          <w:b/>
          <w:bCs/>
          <w:color w:val="000000"/>
        </w:rPr>
        <w:t xml:space="preserve">vrhu </w:t>
      </w:r>
      <w:r>
        <w:rPr>
          <w:rFonts w:hint="default"/>
          <w:b/>
          <w:bCs/>
          <w:color w:val="000000"/>
        </w:rPr>
        <w:t>zá</w:t>
      </w:r>
      <w:r>
        <w:rPr>
          <w:rFonts w:hint="default"/>
          <w:b/>
          <w:bCs/>
          <w:color w:val="000000"/>
        </w:rPr>
        <w:t>kona</w:t>
      </w:r>
      <w:r w:rsidRPr="00E66EE4">
        <w:rPr>
          <w:b/>
          <w:bCs/>
          <w:color w:val="000000"/>
        </w:rPr>
        <w:t>:</w:t>
      </w:r>
    </w:p>
    <w:p w:rsidR="0081591D" w:rsidRPr="00E66EE4" w:rsidP="0081591D">
      <w:pPr>
        <w:bidi w:val="0"/>
        <w:ind w:firstLine="360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p w:rsidR="0081591D" w:rsidRPr="00E66EE4" w:rsidP="0081591D">
      <w:pPr>
        <w:bidi w:val="0"/>
        <w:ind w:left="709" w:hanging="349"/>
        <w:rPr>
          <w:color w:val="000000"/>
          <w:sz w:val="27"/>
          <w:szCs w:val="27"/>
        </w:rPr>
      </w:pPr>
      <w:r w:rsidRPr="00E66EE4">
        <w:rPr>
          <w:color w:val="000000"/>
        </w:rPr>
        <w:t>a)              </w:t>
      </w:r>
      <w:r w:rsidRPr="00E66EE4">
        <w:rPr>
          <w:rFonts w:hint="default"/>
          <w:color w:val="000000"/>
        </w:rPr>
        <w:t>je upravená</w:t>
      </w:r>
      <w:r w:rsidRPr="00E66EE4">
        <w:rPr>
          <w:rFonts w:hint="default"/>
          <w:color w:val="000000"/>
        </w:rPr>
        <w:t xml:space="preserve"> v </w:t>
      </w:r>
      <w:r w:rsidRPr="00E66EE4">
        <w:rPr>
          <w:rFonts w:hint="default"/>
          <w:color w:val="000000"/>
        </w:rPr>
        <w:t>prá</w:t>
      </w:r>
      <w:r w:rsidRPr="00E66EE4">
        <w:rPr>
          <w:rFonts w:hint="default"/>
          <w:color w:val="000000"/>
        </w:rPr>
        <w:t>ve Eur</w:t>
      </w:r>
      <w:r w:rsidRPr="00E66EE4">
        <w:rPr>
          <w:rFonts w:hint="default"/>
          <w:color w:val="000000"/>
        </w:rPr>
        <w:t>ó</w:t>
      </w:r>
      <w:r w:rsidRPr="00E66EE4">
        <w:rPr>
          <w:rFonts w:hint="default"/>
          <w:color w:val="000000"/>
        </w:rPr>
        <w:t>pskej ú</w:t>
      </w:r>
      <w:r w:rsidRPr="00E66EE4">
        <w:rPr>
          <w:rFonts w:hint="default"/>
          <w:color w:val="000000"/>
        </w:rPr>
        <w:t>nie</w:t>
      </w:r>
    </w:p>
    <w:p w:rsidR="0081591D" w:rsidRPr="00E66EE4" w:rsidP="0081591D">
      <w:pPr>
        <w:bidi w:val="0"/>
        <w:ind w:left="360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p w:rsidR="0081591D" w:rsidRPr="00E66EE4" w:rsidP="0081591D">
      <w:pPr>
        <w:bidi w:val="0"/>
        <w:ind w:left="879" w:hanging="171"/>
        <w:rPr>
          <w:color w:val="000000"/>
          <w:sz w:val="27"/>
          <w:szCs w:val="27"/>
        </w:rPr>
      </w:pPr>
      <w:r w:rsidRPr="00E66EE4">
        <w:rPr>
          <w:color w:val="000000"/>
        </w:rPr>
        <w:t>-              </w:t>
      </w:r>
      <w:r w:rsidRPr="00E66EE4">
        <w:rPr>
          <w:rFonts w:hint="default"/>
          <w:i/>
          <w:iCs/>
          <w:color w:val="000000"/>
        </w:rPr>
        <w:t>primá</w:t>
      </w:r>
      <w:r w:rsidRPr="00E66EE4">
        <w:rPr>
          <w:rFonts w:hint="default"/>
          <w:i/>
          <w:iCs/>
          <w:color w:val="000000"/>
        </w:rPr>
        <w:t>rnom</w:t>
      </w:r>
    </w:p>
    <w:p w:rsidR="0081591D" w:rsidRPr="00E66EE4" w:rsidP="0081591D">
      <w:pPr>
        <w:bidi w:val="0"/>
        <w:ind w:left="851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p w:rsidR="0081591D" w:rsidRPr="00E66EE4" w:rsidP="0081591D">
      <w:pPr>
        <w:bidi w:val="0"/>
        <w:ind w:left="851"/>
        <w:rPr>
          <w:color w:val="000000"/>
          <w:sz w:val="27"/>
          <w:szCs w:val="27"/>
        </w:rPr>
      </w:pPr>
      <w:r w:rsidRPr="00E66EE4">
        <w:rPr>
          <w:rFonts w:hint="default"/>
          <w:color w:val="000000"/>
        </w:rPr>
        <w:t>č</w:t>
      </w:r>
      <w:r w:rsidRPr="00E66EE4">
        <w:rPr>
          <w:rFonts w:hint="default"/>
          <w:color w:val="000000"/>
        </w:rPr>
        <w:t>l. 81 ods. 2 Zmluvy o fungovaní</w:t>
      </w:r>
      <w:r w:rsidRPr="00E66EE4">
        <w:rPr>
          <w:rFonts w:hint="default"/>
          <w:color w:val="000000"/>
        </w:rPr>
        <w:t xml:space="preserve"> Euró</w:t>
      </w:r>
      <w:r w:rsidRPr="00E66EE4">
        <w:rPr>
          <w:rFonts w:hint="default"/>
          <w:color w:val="000000"/>
        </w:rPr>
        <w:t>pskej ú</w:t>
      </w:r>
      <w:r w:rsidRPr="00E66EE4">
        <w:rPr>
          <w:rFonts w:hint="default"/>
          <w:color w:val="000000"/>
        </w:rPr>
        <w:t>nie </w:t>
      </w:r>
    </w:p>
    <w:p w:rsidR="0081591D" w:rsidRPr="00E66EE4" w:rsidP="0081591D">
      <w:pPr>
        <w:bidi w:val="0"/>
        <w:ind w:firstLine="360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p w:rsidR="0081591D" w:rsidRPr="00E66EE4" w:rsidP="0081591D">
      <w:pPr>
        <w:bidi w:val="0"/>
        <w:ind w:left="879" w:hanging="171"/>
        <w:rPr>
          <w:color w:val="000000"/>
          <w:sz w:val="27"/>
          <w:szCs w:val="27"/>
        </w:rPr>
      </w:pPr>
      <w:r w:rsidRPr="00E66EE4">
        <w:rPr>
          <w:color w:val="000000"/>
        </w:rPr>
        <w:t>-              </w:t>
      </w:r>
      <w:r w:rsidRPr="00E66EE4">
        <w:rPr>
          <w:rFonts w:hint="default"/>
          <w:i/>
          <w:iCs/>
          <w:color w:val="000000"/>
        </w:rPr>
        <w:t>sekundá</w:t>
      </w:r>
      <w:r w:rsidRPr="00E66EE4">
        <w:rPr>
          <w:rFonts w:hint="default"/>
          <w:i/>
          <w:iCs/>
          <w:color w:val="000000"/>
        </w:rPr>
        <w:t>rnom (prijatom po nadobudnutí</w:t>
      </w:r>
      <w:r w:rsidRPr="00E66EE4">
        <w:rPr>
          <w:rFonts w:hint="default"/>
          <w:i/>
          <w:iCs/>
          <w:color w:val="000000"/>
        </w:rPr>
        <w:t>m platnosti Lisabonskej zmluvy, ktorou sa mení</w:t>
      </w:r>
      <w:r w:rsidRPr="00E66EE4">
        <w:rPr>
          <w:rFonts w:hint="default"/>
          <w:i/>
          <w:iCs/>
          <w:color w:val="000000"/>
        </w:rPr>
        <w:t xml:space="preserve"> a dopĺň</w:t>
      </w:r>
      <w:r w:rsidRPr="00E66EE4">
        <w:rPr>
          <w:rFonts w:hint="default"/>
          <w:i/>
          <w:iCs/>
          <w:color w:val="000000"/>
        </w:rPr>
        <w:t>a Zmluva o Euró</w:t>
      </w:r>
      <w:r w:rsidRPr="00E66EE4">
        <w:rPr>
          <w:rFonts w:hint="default"/>
          <w:i/>
          <w:iCs/>
          <w:color w:val="000000"/>
        </w:rPr>
        <w:t>pskom spoloč</w:t>
      </w:r>
      <w:r w:rsidRPr="00E66EE4">
        <w:rPr>
          <w:rFonts w:hint="default"/>
          <w:i/>
          <w:iCs/>
          <w:color w:val="000000"/>
        </w:rPr>
        <w:t>enstve a Zmluva o Euró</w:t>
      </w:r>
      <w:r w:rsidRPr="00E66EE4">
        <w:rPr>
          <w:rFonts w:hint="default"/>
          <w:i/>
          <w:iCs/>
          <w:color w:val="000000"/>
        </w:rPr>
        <w:t>pskej ú</w:t>
      </w:r>
      <w:r w:rsidRPr="00E66EE4">
        <w:rPr>
          <w:rFonts w:hint="default"/>
          <w:i/>
          <w:iCs/>
          <w:color w:val="000000"/>
        </w:rPr>
        <w:t>nii</w:t>
      </w:r>
      <w:r w:rsidRPr="00E66EE4">
        <w:rPr>
          <w:rFonts w:hint="default"/>
          <w:i/>
          <w:iCs/>
          <w:color w:val="000000"/>
        </w:rPr>
        <w:t xml:space="preserve"> </w:t>
      </w:r>
      <w:r w:rsidRPr="00E66EE4">
        <w:rPr>
          <w:rFonts w:hint="default"/>
          <w:i/>
          <w:iCs/>
          <w:color w:val="000000"/>
        </w:rPr>
        <w:t>–</w:t>
      </w:r>
      <w:r w:rsidRPr="00E66EE4">
        <w:rPr>
          <w:rFonts w:hint="default"/>
          <w:i/>
          <w:iCs/>
          <w:color w:val="000000"/>
        </w:rPr>
        <w:t xml:space="preserve"> po 30. novembri 2009)</w:t>
      </w:r>
    </w:p>
    <w:p w:rsidR="0081591D" w:rsidRPr="00E66EE4" w:rsidP="0081591D">
      <w:pPr>
        <w:bidi w:val="0"/>
        <w:ind w:left="879" w:hanging="171"/>
        <w:rPr>
          <w:color w:val="000000"/>
          <w:sz w:val="27"/>
          <w:szCs w:val="27"/>
        </w:rPr>
      </w:pPr>
      <w:r w:rsidRPr="00E66EE4">
        <w:rPr>
          <w:i/>
          <w:iCs/>
          <w:color w:val="000000"/>
        </w:rPr>
        <w:t> </w:t>
      </w:r>
    </w:p>
    <w:p w:rsidR="0081591D" w:rsidRPr="00E66EE4" w:rsidP="0081591D">
      <w:pPr>
        <w:bidi w:val="0"/>
        <w:ind w:left="1239" w:hanging="360"/>
        <w:rPr>
          <w:color w:val="000000"/>
          <w:sz w:val="27"/>
          <w:szCs w:val="27"/>
        </w:rPr>
      </w:pPr>
      <w:r w:rsidRPr="00E66EE4">
        <w:rPr>
          <w:color w:val="000000"/>
        </w:rPr>
        <w:t>1.              </w:t>
      </w:r>
      <w:r w:rsidRPr="00E66EE4">
        <w:rPr>
          <w:rFonts w:hint="default"/>
          <w:color w:val="000000"/>
        </w:rPr>
        <w:t>legislatí</w:t>
      </w:r>
      <w:r w:rsidRPr="00E66EE4">
        <w:rPr>
          <w:rFonts w:hint="default"/>
          <w:color w:val="000000"/>
        </w:rPr>
        <w:t>vne akty</w:t>
      </w:r>
    </w:p>
    <w:p w:rsidR="0081591D" w:rsidRPr="00E66EE4" w:rsidP="0081591D">
      <w:pPr>
        <w:bidi w:val="0"/>
        <w:ind w:firstLine="360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p w:rsidR="0081591D" w:rsidRPr="00E66EE4" w:rsidP="0081591D">
      <w:pPr>
        <w:bidi w:val="0"/>
        <w:ind w:left="851"/>
        <w:rPr>
          <w:color w:val="000000"/>
          <w:sz w:val="27"/>
          <w:szCs w:val="27"/>
        </w:rPr>
      </w:pPr>
      <w:r w:rsidRPr="00E66EE4">
        <w:rPr>
          <w:rFonts w:hint="default"/>
          <w:color w:val="000000"/>
        </w:rPr>
        <w:t>Nariadenie Euró</w:t>
      </w:r>
      <w:r w:rsidRPr="00E66EE4">
        <w:rPr>
          <w:rFonts w:hint="default"/>
          <w:color w:val="000000"/>
        </w:rPr>
        <w:t>pskeho parlamentu a Rady (EÚ</w:t>
      </w:r>
      <w:r w:rsidRPr="00E66EE4">
        <w:rPr>
          <w:rFonts w:hint="default"/>
          <w:color w:val="000000"/>
        </w:rPr>
        <w:t>) č</w:t>
      </w:r>
      <w:r w:rsidRPr="00E66EE4">
        <w:rPr>
          <w:rFonts w:hint="default"/>
          <w:color w:val="000000"/>
        </w:rPr>
        <w:t>. 650/2012 zo 4. jú</w:t>
      </w:r>
      <w:r w:rsidRPr="00E66EE4">
        <w:rPr>
          <w:rFonts w:hint="default"/>
          <w:color w:val="000000"/>
        </w:rPr>
        <w:t>la 2012 o prá</w:t>
      </w:r>
      <w:r w:rsidRPr="00E66EE4">
        <w:rPr>
          <w:rFonts w:hint="default"/>
          <w:color w:val="000000"/>
        </w:rPr>
        <w:t>vomoci, rozhodnom prá</w:t>
      </w:r>
      <w:r w:rsidRPr="00E66EE4">
        <w:rPr>
          <w:rFonts w:hint="default"/>
          <w:color w:val="000000"/>
        </w:rPr>
        <w:t>ve, uzná</w:t>
      </w:r>
      <w:r w:rsidRPr="00E66EE4">
        <w:rPr>
          <w:rFonts w:hint="default"/>
          <w:color w:val="000000"/>
        </w:rPr>
        <w:t>vaní</w:t>
      </w:r>
      <w:r w:rsidRPr="00E66EE4">
        <w:rPr>
          <w:rFonts w:hint="default"/>
          <w:color w:val="000000"/>
        </w:rPr>
        <w:t xml:space="preserve"> a vý</w:t>
      </w:r>
      <w:r w:rsidRPr="00E66EE4">
        <w:rPr>
          <w:rFonts w:hint="default"/>
          <w:color w:val="000000"/>
        </w:rPr>
        <w:t>kone rozhodnutí</w:t>
      </w:r>
      <w:r w:rsidRPr="00E66EE4">
        <w:rPr>
          <w:rFonts w:hint="default"/>
          <w:color w:val="000000"/>
        </w:rPr>
        <w:t xml:space="preserve"> a prijatí</w:t>
      </w:r>
      <w:r w:rsidRPr="00E66EE4">
        <w:rPr>
          <w:rFonts w:hint="default"/>
          <w:color w:val="000000"/>
        </w:rPr>
        <w:t xml:space="preserve"> a vý</w:t>
      </w:r>
      <w:r w:rsidRPr="00E66EE4">
        <w:rPr>
          <w:rFonts w:hint="default"/>
          <w:color w:val="000000"/>
        </w:rPr>
        <w:t>kone verejný</w:t>
      </w:r>
      <w:r w:rsidRPr="00E66EE4">
        <w:rPr>
          <w:rFonts w:hint="default"/>
          <w:color w:val="000000"/>
        </w:rPr>
        <w:t>ch listí</w:t>
      </w:r>
      <w:r w:rsidRPr="00E66EE4">
        <w:rPr>
          <w:rFonts w:hint="default"/>
          <w:color w:val="000000"/>
        </w:rPr>
        <w:t>n v dedič</w:t>
      </w:r>
      <w:r w:rsidRPr="00E66EE4">
        <w:rPr>
          <w:rFonts w:hint="default"/>
          <w:color w:val="000000"/>
        </w:rPr>
        <w:t>ský</w:t>
      </w:r>
      <w:r w:rsidRPr="00E66EE4">
        <w:rPr>
          <w:rFonts w:hint="default"/>
          <w:color w:val="000000"/>
        </w:rPr>
        <w:t xml:space="preserve">ch veciach a o </w:t>
      </w:r>
      <w:r w:rsidRPr="00E66EE4">
        <w:rPr>
          <w:rFonts w:hint="default"/>
          <w:color w:val="000000"/>
        </w:rPr>
        <w:t>zavedení</w:t>
      </w:r>
      <w:r w:rsidRPr="00E66EE4">
        <w:rPr>
          <w:rFonts w:hint="default"/>
          <w:color w:val="000000"/>
        </w:rPr>
        <w:t xml:space="preserve"> euró</w:t>
      </w:r>
      <w:r w:rsidRPr="00E66EE4">
        <w:rPr>
          <w:rFonts w:hint="default"/>
          <w:color w:val="000000"/>
        </w:rPr>
        <w:t>pskeho osvedč</w:t>
      </w:r>
      <w:r w:rsidRPr="00E66EE4">
        <w:rPr>
          <w:rFonts w:hint="default"/>
          <w:color w:val="000000"/>
        </w:rPr>
        <w:t>enia o dedič</w:t>
      </w:r>
      <w:r w:rsidRPr="00E66EE4">
        <w:rPr>
          <w:rFonts w:hint="default"/>
          <w:color w:val="000000"/>
        </w:rPr>
        <w:t>stve (Ú</w:t>
      </w:r>
      <w:r w:rsidRPr="00E66EE4">
        <w:rPr>
          <w:rFonts w:hint="default"/>
          <w:color w:val="000000"/>
        </w:rPr>
        <w:t>.v. EÚ</w:t>
      </w:r>
      <w:r w:rsidRPr="00E66EE4">
        <w:rPr>
          <w:rFonts w:hint="default"/>
          <w:color w:val="000000"/>
        </w:rPr>
        <w:t xml:space="preserve"> L 201, 27.7.2012, s. 107) </w:t>
      </w:r>
    </w:p>
    <w:p w:rsidR="0081591D" w:rsidRPr="00E66EE4" w:rsidP="0081591D">
      <w:pPr>
        <w:bidi w:val="0"/>
        <w:ind w:left="851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p w:rsidR="0081591D" w:rsidRPr="00E66EE4" w:rsidP="0081591D">
      <w:pPr>
        <w:bidi w:val="0"/>
        <w:ind w:left="1239" w:hanging="360"/>
        <w:jc w:val="both"/>
        <w:rPr>
          <w:color w:val="000000"/>
          <w:sz w:val="27"/>
          <w:szCs w:val="27"/>
        </w:rPr>
      </w:pPr>
      <w:r w:rsidRPr="00E66EE4">
        <w:rPr>
          <w:color w:val="000000"/>
        </w:rPr>
        <w:t>2.              </w:t>
      </w:r>
      <w:r w:rsidRPr="00E66EE4">
        <w:rPr>
          <w:rFonts w:hint="default"/>
          <w:color w:val="000000"/>
        </w:rPr>
        <w:t>nelegislatí</w:t>
      </w:r>
      <w:r w:rsidRPr="00E66EE4">
        <w:rPr>
          <w:rFonts w:hint="default"/>
          <w:color w:val="000000"/>
        </w:rPr>
        <w:t>vne akty</w:t>
      </w:r>
    </w:p>
    <w:p w:rsidR="0081591D" w:rsidRPr="00E66EE4" w:rsidP="0081591D">
      <w:pPr>
        <w:bidi w:val="0"/>
        <w:ind w:firstLine="708"/>
        <w:jc w:val="both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tbl>
      <w:tblPr>
        <w:tblStyle w:val="TableNormal"/>
        <w:tblW w:w="0" w:type="auto"/>
        <w:tblInd w:w="810" w:type="dxa"/>
        <w:tblCellMar>
          <w:left w:w="0" w:type="dxa"/>
          <w:right w:w="0" w:type="dxa"/>
        </w:tblCellMar>
        <w:tblLook w:val="04A0"/>
      </w:tblPr>
      <w:tblGrid>
        <w:gridCol w:w="276"/>
      </w:tblGrid>
      <w:tr>
        <w:tblPrEx>
          <w:tblW w:w="0" w:type="auto"/>
          <w:tblInd w:w="81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81591D" w:rsidRPr="00E66EE4" w:rsidP="00830876">
            <w:pPr>
              <w:bidi w:val="0"/>
              <w:jc w:val="both"/>
            </w:pPr>
            <w:r w:rsidRPr="00E66EE4">
              <w:t> </w:t>
            </w:r>
          </w:p>
        </w:tc>
      </w:tr>
    </w:tbl>
    <w:p w:rsidR="0081591D" w:rsidRPr="00E66EE4" w:rsidP="0081591D">
      <w:pPr>
        <w:bidi w:val="0"/>
        <w:ind w:firstLine="708"/>
        <w:jc w:val="both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p w:rsidR="0081591D" w:rsidRPr="00E66EE4" w:rsidP="0081591D">
      <w:pPr>
        <w:bidi w:val="0"/>
        <w:ind w:left="879" w:hanging="171"/>
        <w:jc w:val="both"/>
        <w:rPr>
          <w:color w:val="000000"/>
          <w:sz w:val="27"/>
          <w:szCs w:val="27"/>
        </w:rPr>
      </w:pPr>
      <w:r w:rsidRPr="00E66EE4">
        <w:rPr>
          <w:color w:val="000000"/>
        </w:rPr>
        <w:t>-              </w:t>
      </w:r>
      <w:r w:rsidRPr="00E66EE4">
        <w:rPr>
          <w:rFonts w:hint="default"/>
          <w:i/>
          <w:iCs/>
          <w:color w:val="000000"/>
        </w:rPr>
        <w:t>sekundá</w:t>
      </w:r>
      <w:r w:rsidRPr="00E66EE4">
        <w:rPr>
          <w:rFonts w:hint="default"/>
          <w:i/>
          <w:iCs/>
          <w:color w:val="000000"/>
        </w:rPr>
        <w:t>rnom (prijatom pred nadobudnutí</w:t>
      </w:r>
      <w:r w:rsidRPr="00E66EE4">
        <w:rPr>
          <w:rFonts w:hint="default"/>
          <w:i/>
          <w:iCs/>
          <w:color w:val="000000"/>
        </w:rPr>
        <w:t>m platnosti Lisabonskej zmluvy, ktorou sa mení</w:t>
      </w:r>
      <w:r w:rsidRPr="00E66EE4">
        <w:rPr>
          <w:rFonts w:hint="default"/>
          <w:i/>
          <w:iCs/>
          <w:color w:val="000000"/>
        </w:rPr>
        <w:t xml:space="preserve"> a dopĺň</w:t>
      </w:r>
      <w:r w:rsidRPr="00E66EE4">
        <w:rPr>
          <w:rFonts w:hint="default"/>
          <w:i/>
          <w:iCs/>
          <w:color w:val="000000"/>
        </w:rPr>
        <w:t>a Zmluva o Euró</w:t>
      </w:r>
      <w:r w:rsidRPr="00E66EE4">
        <w:rPr>
          <w:rFonts w:hint="default"/>
          <w:i/>
          <w:iCs/>
          <w:color w:val="000000"/>
        </w:rPr>
        <w:t>pskom spol</w:t>
      </w:r>
      <w:r w:rsidRPr="00E66EE4">
        <w:rPr>
          <w:rFonts w:hint="default"/>
          <w:i/>
          <w:iCs/>
          <w:color w:val="000000"/>
        </w:rPr>
        <w:t>oč</w:t>
      </w:r>
      <w:r w:rsidRPr="00E66EE4">
        <w:rPr>
          <w:rFonts w:hint="default"/>
          <w:i/>
          <w:iCs/>
          <w:color w:val="000000"/>
        </w:rPr>
        <w:t>enstve a Zmluva o Euró</w:t>
      </w:r>
      <w:r w:rsidRPr="00E66EE4">
        <w:rPr>
          <w:rFonts w:hint="default"/>
          <w:i/>
          <w:iCs/>
          <w:color w:val="000000"/>
        </w:rPr>
        <w:t>pskej ú</w:t>
      </w:r>
      <w:r w:rsidRPr="00E66EE4">
        <w:rPr>
          <w:rFonts w:hint="default"/>
          <w:i/>
          <w:iCs/>
          <w:color w:val="000000"/>
        </w:rPr>
        <w:t xml:space="preserve">nii </w:t>
      </w:r>
      <w:r w:rsidRPr="00E66EE4">
        <w:rPr>
          <w:rFonts w:hint="default"/>
          <w:i/>
          <w:iCs/>
          <w:color w:val="000000"/>
        </w:rPr>
        <w:t>–</w:t>
      </w:r>
      <w:r w:rsidRPr="00E66EE4">
        <w:rPr>
          <w:rFonts w:hint="default"/>
          <w:i/>
          <w:iCs/>
          <w:color w:val="000000"/>
        </w:rPr>
        <w:t xml:space="preserve"> do 30. novembra 2009)</w:t>
      </w:r>
    </w:p>
    <w:p w:rsidR="0081591D" w:rsidRPr="00E66EE4" w:rsidP="0081591D">
      <w:pPr>
        <w:bidi w:val="0"/>
        <w:ind w:firstLine="708"/>
        <w:jc w:val="both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tbl>
      <w:tblPr>
        <w:tblStyle w:val="TableNormal"/>
        <w:tblW w:w="0" w:type="auto"/>
        <w:tblInd w:w="810" w:type="dxa"/>
        <w:tblCellMar>
          <w:left w:w="0" w:type="dxa"/>
          <w:right w:w="0" w:type="dxa"/>
        </w:tblCellMar>
        <w:tblLook w:val="04A0"/>
      </w:tblPr>
      <w:tblGrid>
        <w:gridCol w:w="276"/>
      </w:tblGrid>
      <w:tr>
        <w:tblPrEx>
          <w:tblW w:w="0" w:type="auto"/>
          <w:tblInd w:w="81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81591D" w:rsidRPr="00E66EE4" w:rsidP="00830876">
            <w:pPr>
              <w:bidi w:val="0"/>
              <w:jc w:val="both"/>
            </w:pPr>
            <w:r w:rsidRPr="00E66EE4">
              <w:t> </w:t>
            </w:r>
          </w:p>
        </w:tc>
      </w:tr>
    </w:tbl>
    <w:p w:rsidR="0081591D" w:rsidRPr="00E66EE4" w:rsidP="006C6025">
      <w:pPr>
        <w:bidi w:val="0"/>
        <w:rPr>
          <w:color w:val="000000"/>
          <w:sz w:val="27"/>
          <w:szCs w:val="27"/>
        </w:rPr>
      </w:pPr>
    </w:p>
    <w:p w:rsidR="0081591D" w:rsidRPr="00E66EE4" w:rsidP="0081591D">
      <w:pPr>
        <w:bidi w:val="0"/>
        <w:ind w:firstLine="360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p w:rsidR="0081591D" w:rsidRPr="00E66EE4" w:rsidP="0081591D">
      <w:pPr>
        <w:bidi w:val="0"/>
        <w:ind w:left="709" w:hanging="349"/>
        <w:rPr>
          <w:color w:val="000000"/>
          <w:sz w:val="27"/>
          <w:szCs w:val="27"/>
        </w:rPr>
      </w:pPr>
      <w:r w:rsidRPr="00E66EE4">
        <w:rPr>
          <w:color w:val="000000"/>
        </w:rPr>
        <w:t>b)              </w:t>
      </w:r>
      <w:r w:rsidRPr="00E66EE4">
        <w:rPr>
          <w:rFonts w:hint="default"/>
          <w:color w:val="000000"/>
        </w:rPr>
        <w:t>je obsiahnutá</w:t>
      </w:r>
      <w:r w:rsidRPr="00E66EE4">
        <w:rPr>
          <w:rFonts w:hint="default"/>
          <w:color w:val="000000"/>
        </w:rPr>
        <w:t xml:space="preserve"> v judikatú</w:t>
      </w:r>
      <w:r w:rsidRPr="00E66EE4">
        <w:rPr>
          <w:rFonts w:hint="default"/>
          <w:color w:val="000000"/>
        </w:rPr>
        <w:t>re Sú</w:t>
      </w:r>
      <w:r w:rsidRPr="00E66EE4">
        <w:rPr>
          <w:rFonts w:hint="default"/>
          <w:color w:val="000000"/>
        </w:rPr>
        <w:t>dneho dvora Euró</w:t>
      </w:r>
      <w:r w:rsidRPr="00E66EE4">
        <w:rPr>
          <w:rFonts w:hint="default"/>
          <w:color w:val="000000"/>
        </w:rPr>
        <w:t>pskej ú</w:t>
      </w:r>
      <w:r w:rsidRPr="00E66EE4">
        <w:rPr>
          <w:rFonts w:hint="default"/>
          <w:color w:val="000000"/>
        </w:rPr>
        <w:t>nie.</w:t>
      </w:r>
    </w:p>
    <w:p w:rsidR="0081591D" w:rsidRPr="00E66EE4" w:rsidP="0081591D">
      <w:pPr>
        <w:bidi w:val="0"/>
        <w:ind w:left="709" w:hanging="349"/>
        <w:rPr>
          <w:color w:val="000000"/>
          <w:sz w:val="27"/>
          <w:szCs w:val="27"/>
        </w:rPr>
      </w:pPr>
      <w:r w:rsidRPr="00E66EE4">
        <w:rPr>
          <w:color w:val="000000"/>
        </w:rPr>
        <w:t> </w:t>
      </w:r>
    </w:p>
    <w:p w:rsidR="0081591D" w:rsidRPr="00E66EE4" w:rsidP="0081591D">
      <w:pPr>
        <w:bidi w:val="0"/>
        <w:ind w:left="720"/>
        <w:rPr>
          <w:color w:val="000000"/>
          <w:sz w:val="27"/>
          <w:szCs w:val="27"/>
        </w:rPr>
      </w:pPr>
      <w:r w:rsidRPr="00E66EE4">
        <w:rPr>
          <w:color w:val="000000"/>
          <w:sz w:val="27"/>
          <w:szCs w:val="27"/>
        </w:rPr>
        <w:br/>
      </w:r>
      <w:r w:rsidRPr="00E66EE4">
        <w:rPr>
          <w:rFonts w:hint="default"/>
          <w:color w:val="000000"/>
        </w:rPr>
        <w:t>rozhodnutie Sú</w:t>
      </w:r>
      <w:r w:rsidRPr="00E66EE4">
        <w:rPr>
          <w:rFonts w:hint="default"/>
          <w:color w:val="000000"/>
        </w:rPr>
        <w:t>dneho dvora vo veci C-20/92 Hubbard v Hamburger [1993] </w:t>
      </w:r>
      <w:r w:rsidRPr="00E66EE4">
        <w:rPr>
          <w:color w:val="000000"/>
          <w:sz w:val="27"/>
          <w:szCs w:val="27"/>
        </w:rPr>
        <w:br/>
      </w:r>
      <w:r w:rsidRPr="00E66EE4">
        <w:rPr>
          <w:rFonts w:hint="default"/>
          <w:color w:val="000000"/>
        </w:rPr>
        <w:t>rozhodnutie Sú</w:t>
      </w:r>
      <w:r w:rsidRPr="00E66EE4">
        <w:rPr>
          <w:rFonts w:hint="default"/>
          <w:color w:val="000000"/>
        </w:rPr>
        <w:t xml:space="preserve">dneho dvora vo veci C-43/95, </w:t>
      </w:r>
      <w:r w:rsidRPr="00E66EE4">
        <w:rPr>
          <w:rFonts w:hint="default"/>
          <w:color w:val="000000"/>
        </w:rPr>
        <w:t>Data Delecta Aktiebolag and Ronny Forsberg v. MSL Dynamics Limited [1996] </w:t>
      </w:r>
      <w:r w:rsidRPr="00E66EE4">
        <w:rPr>
          <w:color w:val="000000"/>
          <w:sz w:val="27"/>
          <w:szCs w:val="27"/>
        </w:rPr>
        <w:br/>
      </w:r>
      <w:r w:rsidRPr="00E66EE4">
        <w:rPr>
          <w:rFonts w:hint="default"/>
          <w:color w:val="000000"/>
        </w:rPr>
        <w:t>rozhodnutie Sú</w:t>
      </w:r>
      <w:r w:rsidRPr="00E66EE4">
        <w:rPr>
          <w:rFonts w:hint="default"/>
          <w:color w:val="000000"/>
        </w:rPr>
        <w:t>dneho dvora vo veci C-323/95 Hayes v Kronenberg [1997] </w:t>
      </w:r>
    </w:p>
    <w:p w:rsidR="0081591D" w:rsidP="00D93D34">
      <w:pPr>
        <w:bidi w:val="0"/>
        <w:ind w:left="360" w:hanging="360"/>
        <w:jc w:val="both"/>
        <w:rPr>
          <w:b/>
        </w:rPr>
      </w:pPr>
    </w:p>
    <w:p w:rsidR="00D93D34" w:rsidP="00D93D34">
      <w:pPr>
        <w:bidi w:val="0"/>
        <w:ind w:left="360" w:hanging="360"/>
        <w:jc w:val="both"/>
        <w:rPr>
          <w:rFonts w:hint="default"/>
          <w:b/>
        </w:rPr>
      </w:pPr>
      <w:r>
        <w:rPr>
          <w:b/>
        </w:rPr>
        <w:t>4.</w:t>
        <w:tab/>
      </w:r>
      <w:r>
        <w:rPr>
          <w:rFonts w:hint="default"/>
          <w:b/>
        </w:rPr>
        <w:t>Zá</w:t>
      </w:r>
      <w:r>
        <w:rPr>
          <w:rFonts w:hint="default"/>
          <w:b/>
        </w:rPr>
        <w:t>vä</w:t>
      </w:r>
      <w:r>
        <w:rPr>
          <w:rFonts w:hint="default"/>
          <w:b/>
        </w:rPr>
        <w:t>zky Slovenskej republiky vo vzť</w:t>
      </w:r>
      <w:r>
        <w:rPr>
          <w:rFonts w:hint="default"/>
          <w:b/>
        </w:rPr>
        <w:t>ahu k </w:t>
      </w:r>
      <w:r>
        <w:rPr>
          <w:rFonts w:hint="default"/>
          <w:b/>
        </w:rPr>
        <w:t>Euró</w:t>
      </w:r>
      <w:r>
        <w:rPr>
          <w:rFonts w:hint="default"/>
          <w:b/>
        </w:rPr>
        <w:t>pskej ú</w:t>
      </w:r>
      <w:r>
        <w:rPr>
          <w:rFonts w:hint="default"/>
          <w:b/>
        </w:rPr>
        <w:t xml:space="preserve">nii: </w:t>
      </w:r>
    </w:p>
    <w:p w:rsidR="00D93D34" w:rsidP="00D93D34">
      <w:pPr>
        <w:bidi w:val="0"/>
        <w:jc w:val="both"/>
      </w:pPr>
    </w:p>
    <w:p w:rsidR="00D93D34" w:rsidP="00D93D34">
      <w:pPr>
        <w:bidi w:val="0"/>
        <w:ind w:left="709" w:hanging="349"/>
        <w:jc w:val="both"/>
        <w:rPr>
          <w:rFonts w:hint="default"/>
        </w:rPr>
      </w:pPr>
      <w:r>
        <w:t>a)</w:t>
        <w:tab/>
        <w:t xml:space="preserve">lehota na prebratie smernice alebo lehota na </w:t>
      </w:r>
      <w:r>
        <w:rPr>
          <w:rFonts w:hint="default"/>
        </w:rPr>
        <w:t>implementá</w:t>
      </w:r>
      <w:r>
        <w:rPr>
          <w:rFonts w:hint="default"/>
        </w:rPr>
        <w:t>ciu nariadenia alebo rozhodnutia</w:t>
      </w:r>
    </w:p>
    <w:p w:rsidR="00D93D34" w:rsidP="00D93D34">
      <w:pPr>
        <w:bidi w:val="0"/>
        <w:ind w:left="720"/>
        <w:jc w:val="both"/>
      </w:pPr>
    </w:p>
    <w:p w:rsidR="00D93D34" w:rsidP="00D93D34">
      <w:pPr>
        <w:bidi w:val="0"/>
        <w:jc w:val="both"/>
      </w:pPr>
      <w:r>
        <w:tab/>
        <w:t>-</w:t>
      </w:r>
    </w:p>
    <w:p w:rsidR="00D93D34" w:rsidP="00D93D34">
      <w:pPr>
        <w:bidi w:val="0"/>
        <w:jc w:val="both"/>
      </w:pPr>
    </w:p>
    <w:p w:rsidR="00D93D34" w:rsidP="00D93D34">
      <w:pPr>
        <w:bidi w:val="0"/>
        <w:ind w:left="709" w:hanging="349"/>
        <w:jc w:val="both"/>
      </w:pPr>
      <w:r>
        <w:t>b)</w:t>
        <w:tab/>
      </w:r>
      <w:r>
        <w:rPr>
          <w:rFonts w:hint="default"/>
          <w:color w:val="000000"/>
        </w:rPr>
        <w:t>lehota urč</w:t>
      </w:r>
      <w:r>
        <w:rPr>
          <w:rFonts w:hint="default"/>
          <w:color w:val="000000"/>
        </w:rPr>
        <w:t>ená</w:t>
      </w:r>
      <w:r>
        <w:rPr>
          <w:rFonts w:hint="default"/>
          <w:color w:val="000000"/>
        </w:rPr>
        <w:t xml:space="preserve"> na predlož</w:t>
      </w:r>
      <w:r>
        <w:rPr>
          <w:rFonts w:hint="default"/>
          <w:color w:val="000000"/>
        </w:rPr>
        <w:t>enie ná</w:t>
      </w:r>
      <w:r>
        <w:rPr>
          <w:rFonts w:hint="default"/>
          <w:color w:val="000000"/>
        </w:rPr>
        <w:t>vrhu prá</w:t>
      </w:r>
      <w:r>
        <w:rPr>
          <w:rFonts w:hint="default"/>
          <w:color w:val="000000"/>
        </w:rPr>
        <w:t>vneho predpisu na rokovanie vlá</w:t>
      </w:r>
      <w:r>
        <w:rPr>
          <w:rFonts w:hint="default"/>
          <w:color w:val="000000"/>
        </w:rPr>
        <w:t>dy podľ</w:t>
      </w:r>
      <w:r>
        <w:rPr>
          <w:rFonts w:hint="default"/>
          <w:color w:val="000000"/>
        </w:rPr>
        <w:t>a urč</w:t>
      </w:r>
      <w:r>
        <w:rPr>
          <w:rFonts w:hint="default"/>
          <w:color w:val="000000"/>
        </w:rPr>
        <w:t>enia gestorský</w:t>
      </w:r>
      <w:r>
        <w:rPr>
          <w:rFonts w:hint="default"/>
          <w:color w:val="000000"/>
        </w:rPr>
        <w:t>ch ú</w:t>
      </w:r>
      <w:r>
        <w:rPr>
          <w:rFonts w:hint="default"/>
          <w:color w:val="000000"/>
        </w:rPr>
        <w:t>stredný</w:t>
      </w:r>
      <w:r>
        <w:rPr>
          <w:rFonts w:hint="default"/>
          <w:color w:val="000000"/>
        </w:rPr>
        <w:t>ch orgá</w:t>
      </w:r>
      <w:r>
        <w:rPr>
          <w:rFonts w:hint="default"/>
          <w:color w:val="000000"/>
        </w:rPr>
        <w:t>nov š</w:t>
      </w:r>
      <w:r>
        <w:rPr>
          <w:rFonts w:hint="default"/>
          <w:color w:val="000000"/>
        </w:rPr>
        <w:t>tá</w:t>
      </w:r>
      <w:r>
        <w:rPr>
          <w:rFonts w:hint="default"/>
          <w:color w:val="000000"/>
        </w:rPr>
        <w:t>tnej sprá</w:t>
      </w:r>
      <w:r>
        <w:rPr>
          <w:rFonts w:hint="default"/>
          <w:color w:val="000000"/>
        </w:rPr>
        <w:t>vy zodpovedný</w:t>
      </w:r>
      <w:r>
        <w:rPr>
          <w:rFonts w:hint="default"/>
          <w:color w:val="000000"/>
        </w:rPr>
        <w:t>ch za transpozí</w:t>
      </w:r>
      <w:r>
        <w:rPr>
          <w:rFonts w:hint="default"/>
          <w:color w:val="000000"/>
        </w:rPr>
        <w:t>ciu smerní</w:t>
      </w:r>
      <w:r>
        <w:rPr>
          <w:rFonts w:hint="default"/>
          <w:color w:val="000000"/>
        </w:rPr>
        <w:t>c a vypracovanie tabuliek zhody k ná</w:t>
      </w:r>
      <w:r>
        <w:rPr>
          <w:rFonts w:hint="default"/>
          <w:color w:val="000000"/>
        </w:rPr>
        <w:t>v</w:t>
      </w:r>
      <w:r>
        <w:rPr>
          <w:rFonts w:hint="default"/>
          <w:color w:val="000000"/>
        </w:rPr>
        <w:t>rhom vš</w:t>
      </w:r>
      <w:r>
        <w:rPr>
          <w:rFonts w:hint="default"/>
          <w:color w:val="000000"/>
        </w:rPr>
        <w:t>eobecne zá</w:t>
      </w:r>
      <w:r>
        <w:rPr>
          <w:rFonts w:hint="default"/>
          <w:color w:val="000000"/>
        </w:rPr>
        <w:t>vä</w:t>
      </w:r>
      <w:r>
        <w:rPr>
          <w:rFonts w:hint="default"/>
          <w:color w:val="000000"/>
        </w:rPr>
        <w:t>zný</w:t>
      </w:r>
      <w:r>
        <w:rPr>
          <w:rFonts w:hint="default"/>
          <w:color w:val="000000"/>
        </w:rPr>
        <w:t>ch prá</w:t>
      </w:r>
      <w:r>
        <w:rPr>
          <w:rFonts w:hint="default"/>
          <w:color w:val="000000"/>
        </w:rPr>
        <w:t>vnych predpisov</w:t>
      </w:r>
    </w:p>
    <w:p w:rsidR="00D93D34" w:rsidP="00D93D34">
      <w:pPr>
        <w:bidi w:val="0"/>
        <w:ind w:left="709" w:hanging="349"/>
        <w:jc w:val="both"/>
      </w:pPr>
      <w:r>
        <w:tab/>
      </w:r>
    </w:p>
    <w:p w:rsidR="00D93D34" w:rsidP="00D93D34">
      <w:pPr>
        <w:bidi w:val="0"/>
        <w:ind w:left="709" w:hanging="349"/>
        <w:jc w:val="both"/>
      </w:pPr>
      <w:r>
        <w:tab/>
        <w:t> -</w:t>
      </w:r>
    </w:p>
    <w:p w:rsidR="00D93D34" w:rsidP="00D93D34">
      <w:pPr>
        <w:bidi w:val="0"/>
        <w:ind w:left="709" w:hanging="349"/>
        <w:jc w:val="both"/>
      </w:pPr>
    </w:p>
    <w:p w:rsidR="00D93D34" w:rsidP="00D93D34">
      <w:pPr>
        <w:bidi w:val="0"/>
        <w:ind w:left="709" w:hanging="349"/>
        <w:jc w:val="both"/>
        <w:rPr>
          <w:rFonts w:hint="default"/>
        </w:rPr>
      </w:pPr>
      <w:r>
        <w:t>c)</w:t>
        <w:tab/>
      </w:r>
      <w:r>
        <w:rPr>
          <w:rFonts w:hint="default"/>
        </w:rPr>
        <w:t>informá</w:t>
      </w:r>
      <w:r>
        <w:rPr>
          <w:rFonts w:hint="default"/>
        </w:rPr>
        <w:t>cia o konaní</w:t>
      </w:r>
      <w:r>
        <w:rPr>
          <w:rFonts w:hint="default"/>
        </w:rPr>
        <w:t xml:space="preserve"> zač</w:t>
      </w:r>
      <w:r>
        <w:rPr>
          <w:rFonts w:hint="default"/>
        </w:rPr>
        <w:t>atom proti Slovenskej republike o poruš</w:t>
      </w:r>
      <w:r>
        <w:rPr>
          <w:rFonts w:hint="default"/>
        </w:rPr>
        <w:t>ení</w:t>
      </w:r>
      <w:r>
        <w:rPr>
          <w:rFonts w:hint="default"/>
        </w:rPr>
        <w:t xml:space="preserve"> podľ</w:t>
      </w:r>
      <w:r>
        <w:rPr>
          <w:rFonts w:hint="default"/>
        </w:rPr>
        <w:t>a č</w:t>
      </w:r>
      <w:r>
        <w:rPr>
          <w:rFonts w:hint="default"/>
        </w:rPr>
        <w:t>l. 258 až</w:t>
      </w:r>
      <w:r>
        <w:rPr>
          <w:rFonts w:hint="default"/>
        </w:rPr>
        <w:t xml:space="preserve"> 260 Zmluvy o fungovaní</w:t>
      </w:r>
      <w:r>
        <w:rPr>
          <w:rFonts w:hint="default"/>
        </w:rPr>
        <w:t xml:space="preserve"> Euró</w:t>
      </w:r>
      <w:r>
        <w:rPr>
          <w:rFonts w:hint="default"/>
        </w:rPr>
        <w:t>pskej ú</w:t>
      </w:r>
      <w:r>
        <w:rPr>
          <w:rFonts w:hint="default"/>
        </w:rPr>
        <w:t>nie</w:t>
      </w:r>
    </w:p>
    <w:p w:rsidR="00D93D34" w:rsidP="00D93D34">
      <w:pPr>
        <w:bidi w:val="0"/>
        <w:ind w:firstLine="708"/>
        <w:jc w:val="both"/>
        <w:rPr>
          <w:lang w:eastAsia="cs-CZ"/>
        </w:rPr>
      </w:pPr>
    </w:p>
    <w:p w:rsidR="0081591D" w:rsidP="00D93D34">
      <w:pPr>
        <w:bidi w:val="0"/>
        <w:ind w:firstLine="708"/>
        <w:jc w:val="both"/>
        <w:rPr>
          <w:lang w:eastAsia="cs-CZ"/>
        </w:rPr>
      </w:pPr>
      <w:r>
        <w:rPr>
          <w:lang w:eastAsia="cs-CZ"/>
        </w:rPr>
        <w:t>-</w:t>
      </w:r>
    </w:p>
    <w:p w:rsidR="0081591D" w:rsidP="00D93D34">
      <w:pPr>
        <w:bidi w:val="0"/>
        <w:ind w:firstLine="708"/>
        <w:jc w:val="both"/>
      </w:pPr>
    </w:p>
    <w:p w:rsidR="00D93D34" w:rsidP="00D93D34">
      <w:pPr>
        <w:bidi w:val="0"/>
        <w:ind w:left="709" w:hanging="349"/>
        <w:jc w:val="both"/>
        <w:rPr>
          <w:rFonts w:hint="default"/>
        </w:rPr>
      </w:pPr>
      <w:r>
        <w:t>d)</w:t>
        <w:tab/>
      </w:r>
      <w:r>
        <w:rPr>
          <w:rFonts w:hint="default"/>
        </w:rPr>
        <w:t>informá</w:t>
      </w:r>
      <w:r>
        <w:rPr>
          <w:rFonts w:hint="default"/>
        </w:rPr>
        <w:t>cia o prá</w:t>
      </w:r>
      <w:r>
        <w:rPr>
          <w:rFonts w:hint="default"/>
        </w:rPr>
        <w:t>vnych predpisoch, v ktorý</w:t>
      </w:r>
      <w:r>
        <w:rPr>
          <w:rFonts w:hint="default"/>
        </w:rPr>
        <w:t>ch sú</w:t>
      </w:r>
      <w:r>
        <w:rPr>
          <w:rFonts w:hint="default"/>
        </w:rPr>
        <w:t xml:space="preserve"> preberané</w:t>
      </w:r>
      <w:r>
        <w:rPr>
          <w:rFonts w:hint="default"/>
        </w:rPr>
        <w:t xml:space="preserve"> smernice už</w:t>
      </w:r>
      <w:r>
        <w:rPr>
          <w:rFonts w:hint="default"/>
        </w:rPr>
        <w:t xml:space="preserve"> prebr</w:t>
      </w:r>
      <w:r>
        <w:rPr>
          <w:rFonts w:hint="default"/>
        </w:rPr>
        <w:t>até</w:t>
      </w:r>
      <w:r>
        <w:rPr>
          <w:rFonts w:hint="default"/>
        </w:rPr>
        <w:t xml:space="preserve"> spolu s uvedení</w:t>
      </w:r>
      <w:r>
        <w:rPr>
          <w:rFonts w:hint="default"/>
        </w:rPr>
        <w:t>m rozsahu tohto prebratia</w:t>
      </w:r>
    </w:p>
    <w:p w:rsidR="00D93D34" w:rsidP="00D93D34">
      <w:pPr>
        <w:bidi w:val="0"/>
        <w:ind w:left="720"/>
        <w:jc w:val="both"/>
      </w:pPr>
    </w:p>
    <w:p w:rsidR="00D93D34" w:rsidP="00D93D34">
      <w:pPr>
        <w:bidi w:val="0"/>
        <w:ind w:firstLine="708"/>
        <w:jc w:val="both"/>
      </w:pPr>
      <w:r>
        <w:t> -</w:t>
      </w: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left="360" w:hanging="360"/>
        <w:jc w:val="both"/>
        <w:rPr>
          <w:rFonts w:hint="default"/>
          <w:b/>
        </w:rPr>
      </w:pPr>
      <w:r>
        <w:rPr>
          <w:b/>
        </w:rPr>
        <w:t>5.</w:t>
        <w:tab/>
      </w:r>
      <w:r>
        <w:rPr>
          <w:rFonts w:hint="default"/>
          <w:b/>
        </w:rPr>
        <w:t>Stupeň</w:t>
      </w:r>
      <w:r>
        <w:rPr>
          <w:rFonts w:hint="default"/>
          <w:b/>
        </w:rPr>
        <w:t xml:space="preserve"> zluč</w:t>
      </w:r>
      <w:r>
        <w:rPr>
          <w:rFonts w:hint="default"/>
          <w:b/>
        </w:rPr>
        <w:t>iteľ</w:t>
      </w:r>
      <w:r>
        <w:rPr>
          <w:rFonts w:hint="default"/>
          <w:b/>
        </w:rPr>
        <w:t>nosti ná</w:t>
      </w:r>
      <w:r>
        <w:rPr>
          <w:rFonts w:hint="default"/>
          <w:b/>
        </w:rPr>
        <w:t>vrhu prá</w:t>
      </w:r>
      <w:r>
        <w:rPr>
          <w:rFonts w:hint="default"/>
          <w:b/>
        </w:rPr>
        <w:t>vneho predpisu s </w:t>
      </w:r>
      <w:r>
        <w:rPr>
          <w:rFonts w:hint="default"/>
          <w:b/>
        </w:rPr>
        <w:t>prá</w:t>
      </w:r>
      <w:r>
        <w:rPr>
          <w:rFonts w:hint="default"/>
          <w:b/>
        </w:rPr>
        <w:t>vom Euró</w:t>
      </w:r>
      <w:r>
        <w:rPr>
          <w:rFonts w:hint="default"/>
          <w:b/>
        </w:rPr>
        <w:t>pskej ú</w:t>
      </w:r>
      <w:r>
        <w:rPr>
          <w:rFonts w:hint="default"/>
          <w:b/>
        </w:rPr>
        <w:t>nie:</w:t>
      </w:r>
    </w:p>
    <w:p w:rsidR="00D93D34" w:rsidP="00D93D34">
      <w:pPr>
        <w:bidi w:val="0"/>
        <w:jc w:val="both"/>
      </w:pPr>
    </w:p>
    <w:p w:rsidR="00D93D34" w:rsidP="00D93D34">
      <w:pPr>
        <w:bidi w:val="0"/>
        <w:ind w:firstLine="360"/>
        <w:jc w:val="both"/>
        <w:rPr>
          <w:rFonts w:hint="default"/>
        </w:rPr>
      </w:pPr>
      <w:r>
        <w:rPr>
          <w:rFonts w:hint="default"/>
        </w:rPr>
        <w:t>Stupeň</w:t>
      </w:r>
      <w:r>
        <w:rPr>
          <w:rFonts w:hint="default"/>
        </w:rPr>
        <w:t xml:space="preserve"> zluč</w:t>
      </w:r>
      <w:r>
        <w:rPr>
          <w:rFonts w:hint="default"/>
        </w:rPr>
        <w:t>iteľ</w:t>
      </w:r>
      <w:r>
        <w:rPr>
          <w:rFonts w:hint="default"/>
        </w:rPr>
        <w:t xml:space="preserve">nosti </w:t>
      </w:r>
      <w:r>
        <w:rPr>
          <w:rFonts w:hint="default"/>
        </w:rPr>
        <w:t>–</w:t>
      </w:r>
      <w:r>
        <w:rPr>
          <w:rFonts w:hint="default"/>
        </w:rPr>
        <w:t xml:space="preserve"> ú</w:t>
      </w:r>
      <w:r>
        <w:rPr>
          <w:rFonts w:hint="default"/>
        </w:rPr>
        <w:t>plný.</w:t>
      </w:r>
    </w:p>
    <w:p w:rsidR="00D93D34" w:rsidP="00D93D34">
      <w:pPr>
        <w:bidi w:val="0"/>
        <w:jc w:val="both"/>
      </w:pPr>
    </w:p>
    <w:p w:rsidR="00D93D34" w:rsidP="00D93D34">
      <w:pPr>
        <w:bidi w:val="0"/>
        <w:ind w:left="360" w:hanging="360"/>
        <w:jc w:val="both"/>
        <w:rPr>
          <w:rFonts w:hint="default"/>
          <w:b/>
        </w:rPr>
      </w:pPr>
      <w:r>
        <w:rPr>
          <w:b/>
        </w:rPr>
        <w:t>6.</w:t>
        <w:tab/>
        <w:t>Gestor a </w:t>
      </w:r>
      <w:r>
        <w:rPr>
          <w:rFonts w:hint="default"/>
          <w:b/>
        </w:rPr>
        <w:t>spolupracujú</w:t>
      </w:r>
      <w:r>
        <w:rPr>
          <w:rFonts w:hint="default"/>
          <w:b/>
        </w:rPr>
        <w:t xml:space="preserve">ce rezorty: </w:t>
      </w:r>
    </w:p>
    <w:p w:rsidR="00D93D34" w:rsidP="00D93D34">
      <w:pPr>
        <w:tabs>
          <w:tab w:val="left" w:pos="360"/>
        </w:tabs>
        <w:bidi w:val="0"/>
        <w:ind w:left="360"/>
        <w:jc w:val="both"/>
      </w:pPr>
    </w:p>
    <w:p w:rsidR="00D93D34" w:rsidP="00D93D34">
      <w:pPr>
        <w:tabs>
          <w:tab w:val="left" w:pos="360"/>
        </w:tabs>
        <w:bidi w:val="0"/>
        <w:ind w:left="360"/>
        <w:jc w:val="both"/>
      </w:pPr>
      <w:r>
        <w:t> </w:t>
      </w:r>
    </w:p>
    <w:p w:rsidR="00D93D34" w:rsidP="00D93D34">
      <w:pPr>
        <w:tabs>
          <w:tab w:val="left" w:pos="360"/>
        </w:tabs>
        <w:bidi w:val="0"/>
        <w:jc w:val="both"/>
      </w:pPr>
    </w:p>
    <w:p w:rsidR="00D93D34" w:rsidP="00D93D34">
      <w:pPr>
        <w:bidi w:val="0"/>
        <w:jc w:val="both"/>
      </w:pPr>
    </w:p>
    <w:p w:rsidR="00D93D34" w:rsidP="00D93D34">
      <w:pPr>
        <w:tabs>
          <w:tab w:val="left" w:pos="360"/>
        </w:tabs>
        <w:bidi w:val="0"/>
        <w:ind w:left="360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9E2C97" w:rsidP="0048564D">
      <w:pPr>
        <w:bidi w:val="0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A.1. Ná</w:t>
      </w:r>
      <w:r w:rsidRPr="009E2C97">
        <w:rPr>
          <w:rFonts w:cs="Times New Roman" w:hint="default"/>
          <w:b/>
          <w:bCs/>
        </w:rPr>
        <w:t>zov materi</w:t>
      </w:r>
      <w:r w:rsidRPr="009E2C97">
        <w:rPr>
          <w:rFonts w:cs="Times New Roman" w:hint="default"/>
          <w:b/>
          <w:bCs/>
        </w:rPr>
        <w:t>á</w:t>
      </w:r>
      <w:r w:rsidRPr="009E2C97">
        <w:rPr>
          <w:rFonts w:cs="Times New Roman" w:hint="default"/>
          <w:b/>
          <w:bCs/>
        </w:rPr>
        <w:t xml:space="preserve">lu: </w:t>
      </w:r>
    </w:p>
    <w:p w:rsidR="006C6025" w:rsidP="006C6025">
      <w:pPr>
        <w:bidi w:val="0"/>
        <w:jc w:val="center"/>
        <w:rPr>
          <w:rFonts w:cs="Times New Roman"/>
        </w:rPr>
      </w:pPr>
      <w:r w:rsidRPr="009E2C97" w:rsidR="0048564D">
        <w:rPr>
          <w:rFonts w:cs="Times New Roman"/>
        </w:rPr>
        <w:t xml:space="preserve">      </w:t>
      </w:r>
      <w:r>
        <w:rPr>
          <w:rFonts w:cs="Times New Roman"/>
        </w:rPr>
        <w:t xml:space="preserve">  </w:t>
      </w:r>
    </w:p>
    <w:p w:rsidR="006C6025" w:rsidRPr="006C6025" w:rsidP="006C6025">
      <w:pPr>
        <w:bidi w:val="0"/>
        <w:jc w:val="center"/>
        <w:rPr>
          <w:rFonts w:cs="Times New Roman"/>
        </w:rPr>
      </w:pPr>
      <w:r>
        <w:rPr>
          <w:rFonts w:cs="Times New Roman"/>
        </w:rPr>
        <w:t xml:space="preserve">          </w:t>
      </w:r>
      <w:r w:rsidRPr="006C6025" w:rsidR="00D93D34">
        <w:rPr>
          <w:rFonts w:cs="Times New Roman" w:hint="default"/>
        </w:rPr>
        <w:t>Ná</w:t>
      </w:r>
      <w:r w:rsidRPr="006C6025" w:rsidR="00D93D34">
        <w:rPr>
          <w:rFonts w:cs="Times New Roman" w:hint="default"/>
        </w:rPr>
        <w:t xml:space="preserve">vrh </w:t>
      </w:r>
      <w:r w:rsidRPr="006C6025" w:rsidR="00D93D34">
        <w:rPr>
          <w:rFonts w:cs="Times New Roman" w:hint="default"/>
          <w:bCs/>
        </w:rPr>
        <w:t>zá</w:t>
      </w:r>
      <w:r w:rsidRPr="006C6025" w:rsidR="00D93D34">
        <w:rPr>
          <w:rFonts w:cs="Times New Roman" w:hint="default"/>
          <w:bCs/>
        </w:rPr>
        <w:t xml:space="preserve">kona, </w:t>
      </w:r>
      <w:r w:rsidRPr="006C6025">
        <w:rPr>
          <w:rFonts w:hint="default"/>
        </w:rPr>
        <w:t>ktorý</w:t>
      </w:r>
      <w:r w:rsidRPr="006C6025">
        <w:rPr>
          <w:rFonts w:hint="default"/>
        </w:rPr>
        <w:t>m sa mení</w:t>
      </w:r>
      <w:r w:rsidRPr="006C6025">
        <w:rPr>
          <w:rFonts w:hint="default"/>
        </w:rPr>
        <w:t xml:space="preserve"> a dopĺň</w:t>
      </w:r>
      <w:r w:rsidRPr="006C6025">
        <w:rPr>
          <w:rFonts w:hint="default"/>
        </w:rPr>
        <w:t xml:space="preserve">a </w:t>
      </w:r>
      <w:r w:rsidRPr="006C6025">
        <w:rPr>
          <w:rFonts w:hint="default"/>
          <w:color w:val="000000"/>
        </w:rPr>
        <w:t>zá</w:t>
      </w:r>
      <w:r w:rsidRPr="006C6025">
        <w:rPr>
          <w:rFonts w:hint="default"/>
          <w:color w:val="000000"/>
        </w:rPr>
        <w:t>kon Slovenskej ná</w:t>
      </w:r>
      <w:r w:rsidRPr="006C6025">
        <w:rPr>
          <w:rFonts w:hint="default"/>
          <w:color w:val="000000"/>
        </w:rPr>
        <w:t>rodnej rady č</w:t>
      </w:r>
      <w:r w:rsidRPr="006C6025">
        <w:rPr>
          <w:rFonts w:hint="default"/>
          <w:color w:val="000000"/>
        </w:rPr>
        <w:t xml:space="preserve">. 323/1992 Zb. </w:t>
      </w:r>
      <w:r w:rsidRPr="006C6025">
        <w:rPr>
          <w:rFonts w:eastAsia="Times New Roman" w:cs="Times New Roman"/>
          <w:color w:val="000000"/>
          <w:lang w:eastAsia="cs-CZ"/>
        </w:rPr>
        <w:t>o notároch a notárskej činnosti (Notársky poriadok) v znení neskorších predpisov</w:t>
      </w: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A.2. Vplyvy: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E2C97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Pozitívne</w:t>
            </w:r>
            <w:r w:rsidRPr="009E2C97">
              <w:rPr>
                <w:rFonts w:ascii="Times New Roman" w:hAnsi="Times New Roman"/>
                <w:vertAlign w:val="superscript"/>
              </w:rPr>
              <w:t>*</w:t>
            </w:r>
            <w:r w:rsidRPr="009E2C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Žiadne</w:t>
            </w:r>
            <w:r w:rsidRPr="009E2C97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Negatívne</w:t>
            </w:r>
            <w:r w:rsidRPr="009E2C97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1. Vplyvy na rozpočet verejnej správy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X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 xml:space="preserve">3, Sociálne vplyvy 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– vplyvy  na hospodárenie obyvateľstva,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-sociálnu exklúziu,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</w:tr>
    </w:tbl>
    <w:p w:rsidR="0048564D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*</w:t>
      </w:r>
      <w:r w:rsidRPr="009E2C97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má pozitívne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6C6025" w:rsidP="0048564D">
      <w:pPr>
        <w:bidi w:val="0"/>
        <w:rPr>
          <w:rFonts w:cs="Times New Roman"/>
        </w:rPr>
      </w:pPr>
    </w:p>
    <w:p w:rsidR="006C6025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312391">
        <w:rPr>
          <w:rFonts w:cs="Times New Roman"/>
          <w:u w:val="single"/>
        </w:rPr>
        <w:t>K bodu 1</w:t>
      </w:r>
      <w:r w:rsidR="006C6025">
        <w:rPr>
          <w:rFonts w:cs="Times New Roman" w:hint="default"/>
        </w:rPr>
        <w:t xml:space="preserve"> (§</w:t>
      </w:r>
      <w:r w:rsidR="006C6025">
        <w:rPr>
          <w:rFonts w:cs="Times New Roman" w:hint="default"/>
        </w:rPr>
        <w:t xml:space="preserve"> 97)</w:t>
      </w:r>
    </w:p>
    <w:p w:rsidR="006C6025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6C6025" w:rsidRPr="00312391" w:rsidP="006C6025">
      <w:pPr>
        <w:tabs>
          <w:tab w:val="left" w:pos="2085"/>
        </w:tabs>
        <w:bidi w:val="0"/>
        <w:jc w:val="both"/>
        <w:rPr>
          <w:rFonts w:cs="Times New Roman"/>
          <w:bCs/>
          <w:i/>
        </w:rPr>
      </w:pPr>
      <w:r>
        <w:rPr>
          <w:rFonts w:cs="Times New Roman" w:hint="default"/>
          <w:bCs/>
          <w:i/>
        </w:rPr>
        <w:t>ods. 1 až</w:t>
      </w:r>
      <w:r>
        <w:rPr>
          <w:rFonts w:cs="Times New Roman" w:hint="default"/>
          <w:bCs/>
          <w:i/>
        </w:rPr>
        <w:t xml:space="preserve"> 4</w:t>
      </w:r>
    </w:p>
    <w:p w:rsidR="006C6025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6C6025" w:rsidP="00A737F9">
      <w:pPr>
        <w:bidi w:val="0"/>
        <w:ind w:firstLine="708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Ustanovuje sa, že o</w:t>
      </w:r>
      <w:r w:rsidRPr="00CF08D9">
        <w:rPr>
          <w:rFonts w:eastAsia="Times New Roman" w:cs="Times New Roman"/>
          <w:color w:val="000000"/>
        </w:rPr>
        <w:t xml:space="preserve">dmena notára ako súdneho komisára (ďalej </w:t>
      </w:r>
      <w:r w:rsidR="00A737F9">
        <w:rPr>
          <w:rFonts w:eastAsia="Times New Roman" w:cs="Times New Roman"/>
          <w:color w:val="000000"/>
        </w:rPr>
        <w:t xml:space="preserve">aj </w:t>
      </w:r>
      <w:r w:rsidRPr="00CF08D9">
        <w:rPr>
          <w:rFonts w:eastAsia="Times New Roman" w:cs="Times New Roman"/>
          <w:color w:val="000000"/>
        </w:rPr>
        <w:t>len „súdn</w:t>
      </w:r>
      <w:r>
        <w:rPr>
          <w:rFonts w:eastAsia="Times New Roman" w:cs="Times New Roman"/>
          <w:color w:val="000000"/>
        </w:rPr>
        <w:t xml:space="preserve">y komisár“) za úkony vykonané v </w:t>
      </w:r>
      <w:r w:rsidRPr="00CF08D9">
        <w:rPr>
          <w:rFonts w:eastAsia="Times New Roman" w:cs="Times New Roman"/>
          <w:color w:val="000000"/>
        </w:rPr>
        <w:t xml:space="preserve">konaní o dedičstve, ktoré bolo zastavené, je </w:t>
      </w:r>
      <w:r>
        <w:rPr>
          <w:rFonts w:eastAsia="Times New Roman" w:cs="Times New Roman"/>
          <w:color w:val="000000"/>
        </w:rPr>
        <w:t xml:space="preserve">vždy </w:t>
      </w:r>
      <w:r w:rsidRPr="00CF08D9">
        <w:rPr>
          <w:rFonts w:eastAsia="Times New Roman" w:cs="Times New Roman"/>
          <w:color w:val="000000"/>
        </w:rPr>
        <w:t>13 eur.</w:t>
      </w:r>
      <w:bookmarkStart w:id="3" w:name="p12"/>
      <w:bookmarkStart w:id="4" w:name="p12-1"/>
      <w:bookmarkEnd w:id="3"/>
      <w:bookmarkEnd w:id="4"/>
      <w:r>
        <w:rPr>
          <w:rFonts w:eastAsia="Times New Roman" w:cs="Times New Roman"/>
          <w:color w:val="000000"/>
        </w:rPr>
        <w:t xml:space="preserve"> </w:t>
      </w:r>
      <w:r w:rsidRPr="00CF08D9">
        <w:rPr>
          <w:rFonts w:eastAsia="Times New Roman" w:cs="Times New Roman"/>
          <w:color w:val="000000"/>
        </w:rPr>
        <w:t xml:space="preserve">Základom odmeny súdneho komisára za iné úkony vykonané v konaní o dedičstve, ako sú uvedené </w:t>
      </w:r>
      <w:r>
        <w:rPr>
          <w:rFonts w:eastAsia="Times New Roman" w:cs="Times New Roman"/>
          <w:color w:val="000000"/>
        </w:rPr>
        <w:t>v odseku 1</w:t>
      </w:r>
      <w:r w:rsidRPr="00CF08D9">
        <w:rPr>
          <w:rFonts w:eastAsia="Times New Roman" w:cs="Times New Roman"/>
          <w:color w:val="000000"/>
        </w:rPr>
        <w:t>, je všeobecná hodnota majetku</w:t>
      </w:r>
      <w:r>
        <w:rPr>
          <w:rFonts w:eastAsia="Times New Roman" w:cs="Times New Roman"/>
          <w:color w:val="000000"/>
        </w:rPr>
        <w:t xml:space="preserve"> </w:t>
      </w:r>
      <w:r w:rsidRPr="00CF08D9">
        <w:rPr>
          <w:rFonts w:eastAsia="Times New Roman" w:cs="Times New Roman"/>
          <w:color w:val="000000"/>
        </w:rPr>
        <w:t>poručiteľa, ktorý sa stal predmetom konania o dedičstve.</w:t>
      </w:r>
      <w:bookmarkStart w:id="5" w:name="p12-2"/>
      <w:bookmarkEnd w:id="5"/>
      <w:r>
        <w:rPr>
          <w:rFonts w:eastAsia="Times New Roman" w:cs="Times New Roman"/>
          <w:color w:val="000000"/>
        </w:rPr>
        <w:t xml:space="preserve"> Ak by bol</w:t>
      </w:r>
      <w:r w:rsidRPr="00CF08D9">
        <w:rPr>
          <w:rFonts w:eastAsia="Times New Roman" w:cs="Times New Roman"/>
          <w:color w:val="000000"/>
        </w:rPr>
        <w:t xml:space="preserve"> predmetom konania o dedičstve majetok poručiteľa, ktorý sa objavil po právoplatnosti uznesenia, ktorým bolo konanie o dedičstve skončené, základom odmeny súdneho komisára za úkony vykonané v tomto konaní je všeobecná hodnota tohto majetku.</w:t>
      </w:r>
    </w:p>
    <w:p w:rsidR="006C6025" w:rsidRPr="00CF08D9" w:rsidP="006C6025">
      <w:pPr>
        <w:bidi w:val="0"/>
        <w:jc w:val="both"/>
        <w:rPr>
          <w:rFonts w:eastAsia="Times New Roman" w:cs="Times New Roman"/>
          <w:color w:val="000000"/>
        </w:rPr>
      </w:pPr>
      <w:r w:rsidRPr="00CF08D9">
        <w:rPr>
          <w:rFonts w:eastAsia="Times New Roman" w:cs="Times New Roman"/>
          <w:color w:val="000000"/>
        </w:rPr>
        <w:t xml:space="preserve"> </w:t>
      </w:r>
    </w:p>
    <w:p w:rsidR="006C6025" w:rsidRPr="00CF08D9" w:rsidP="006C6025">
      <w:pPr>
        <w:bidi w:val="0"/>
        <w:jc w:val="both"/>
        <w:rPr>
          <w:rFonts w:eastAsia="Times New Roman" w:cs="Times New Roman"/>
          <w:color w:val="000000"/>
        </w:rPr>
      </w:pPr>
      <w:r w:rsidR="00A737F9">
        <w:rPr>
          <w:rFonts w:eastAsia="Times New Roman" w:cs="Times New Roman"/>
          <w:color w:val="000000"/>
        </w:rPr>
        <w:t>V odseku 4 sa ustanovuje priamo v zákone nanovo o</w:t>
      </w:r>
      <w:r w:rsidRPr="00CF08D9">
        <w:rPr>
          <w:rFonts w:eastAsia="Times New Roman" w:cs="Times New Roman"/>
          <w:color w:val="000000"/>
        </w:rPr>
        <w:t xml:space="preserve">dmena </w:t>
      </w:r>
      <w:r w:rsidR="00A737F9">
        <w:rPr>
          <w:rFonts w:eastAsia="Times New Roman" w:cs="Times New Roman"/>
          <w:color w:val="000000"/>
        </w:rPr>
        <w:t>notára ako súdneho komisára vždy paušálne ku konkrétnej hodnote majetku dedičstva a to :</w:t>
      </w:r>
    </w:p>
    <w:tbl>
      <w:tblPr>
        <w:tblStyle w:val="TableNormal"/>
        <w:tblW w:w="0" w:type="auto"/>
        <w:tblCellMar>
          <w:left w:w="0" w:type="dxa"/>
          <w:right w:w="0" w:type="dxa"/>
        </w:tblCellMar>
        <w:tblLook w:val="04A0"/>
      </w:tblPr>
      <w:tblGrid>
        <w:gridCol w:w="7216"/>
        <w:gridCol w:w="1103"/>
      </w:tblGrid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6C6025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 w:rsidRPr="00CF08D9">
              <w:rPr>
                <w:rFonts w:eastAsia="Times New Roman" w:cs="Times New Roman"/>
                <w:color w:val="000000"/>
              </w:rPr>
              <w:t>z prvých 3 300 eur základu ..........................................................................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6C6025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13 eur</w:t>
            </w:r>
            <w:r w:rsidRPr="00CF08D9">
              <w:rPr>
                <w:rFonts w:eastAsia="Times New Roman" w:cs="Times New Roman"/>
                <w:color w:val="000000"/>
              </w:rPr>
              <w:t>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6C6025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z presahujúcej sumy až do 100 0</w:t>
            </w:r>
            <w:r w:rsidRPr="00CF08D9">
              <w:rPr>
                <w:rFonts w:eastAsia="Times New Roman" w:cs="Times New Roman"/>
                <w:color w:val="000000"/>
              </w:rPr>
              <w:t>00 eur základu .....................................</w:t>
            </w:r>
            <w:r>
              <w:rPr>
                <w:rFonts w:eastAsia="Times New Roman" w:cs="Times New Roman"/>
                <w:color w:val="000000"/>
              </w:rPr>
              <w:t>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6C6025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66 eur</w:t>
            </w:r>
            <w:r w:rsidRPr="00CF08D9">
              <w:rPr>
                <w:rFonts w:eastAsia="Times New Roman" w:cs="Times New Roman"/>
                <w:color w:val="000000"/>
              </w:rPr>
              <w:t>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6C6025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z presahujúcej sumy až do 200 0</w:t>
            </w:r>
            <w:r w:rsidRPr="00CF08D9">
              <w:rPr>
                <w:rFonts w:eastAsia="Times New Roman" w:cs="Times New Roman"/>
                <w:color w:val="000000"/>
              </w:rPr>
              <w:t>00 eur základu ......</w:t>
            </w:r>
            <w:r>
              <w:rPr>
                <w:rFonts w:eastAsia="Times New Roman" w:cs="Times New Roman"/>
                <w:color w:val="000000"/>
              </w:rPr>
              <w:t>.....</w:t>
            </w:r>
            <w:r w:rsidRPr="00CF08D9">
              <w:rPr>
                <w:rFonts w:eastAsia="Times New Roman" w:cs="Times New Roman"/>
                <w:color w:val="000000"/>
              </w:rPr>
              <w:t>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6C6025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132 eur</w:t>
            </w:r>
            <w:r w:rsidRPr="00CF08D9">
              <w:rPr>
                <w:rFonts w:eastAsia="Times New Roman" w:cs="Times New Roman"/>
                <w:color w:val="000000"/>
              </w:rPr>
              <w:t>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6C6025" w:rsidRPr="00CF08D9" w:rsidP="00830876">
            <w:pPr>
              <w:bidi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z presahujúcej sumy (nad 200 000 eur </w:t>
            </w:r>
            <w:r w:rsidRPr="00CF08D9">
              <w:rPr>
                <w:rFonts w:eastAsia="Times New Roman" w:cs="Times New Roman"/>
                <w:color w:val="000000"/>
              </w:rPr>
              <w:t>základu</w:t>
            </w:r>
            <w:r>
              <w:rPr>
                <w:rFonts w:eastAsia="Times New Roman" w:cs="Times New Roman"/>
                <w:color w:val="000000"/>
              </w:rPr>
              <w:t>)</w:t>
            </w:r>
            <w:r w:rsidRPr="00CF08D9">
              <w:rPr>
                <w:rFonts w:eastAsia="Times New Roman" w:cs="Times New Roman"/>
                <w:color w:val="000000"/>
              </w:rPr>
              <w:t xml:space="preserve"> .</w:t>
            </w:r>
            <w:r>
              <w:rPr>
                <w:rFonts w:eastAsia="Times New Roman" w:cs="Times New Roman"/>
                <w:color w:val="000000"/>
              </w:rPr>
              <w:t>.....</w:t>
            </w:r>
            <w:r w:rsidRPr="00CF08D9">
              <w:rPr>
                <w:rFonts w:eastAsia="Times New Roman" w:cs="Times New Roman"/>
                <w:color w:val="000000"/>
              </w:rPr>
              <w:t>....................................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lrTb"/>
            <w:vAlign w:val="top"/>
            <w:hideMark/>
          </w:tcPr>
          <w:p w:rsidR="006C6025" w:rsidRPr="00CF08D9" w:rsidP="00830876">
            <w:pPr>
              <w:bidi w:val="0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264 eur.“.</w:t>
            </w:r>
          </w:p>
        </w:tc>
      </w:tr>
    </w:tbl>
    <w:p w:rsidR="0048564D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A737F9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/>
          <w:u w:val="single"/>
        </w:rPr>
        <w:t>K bodu 2</w:t>
      </w:r>
      <w:r w:rsidR="00A737F9">
        <w:rPr>
          <w:rFonts w:cs="Times New Roman" w:hint="default"/>
        </w:rPr>
        <w:t xml:space="preserve"> (§</w:t>
      </w:r>
      <w:r w:rsidR="00A737F9">
        <w:rPr>
          <w:rFonts w:cs="Times New Roman" w:hint="default"/>
        </w:rPr>
        <w:t xml:space="preserve"> 100e</w:t>
      </w:r>
      <w:r>
        <w:rPr>
          <w:rFonts w:cs="Times New Roman"/>
        </w:rPr>
        <w:t>)</w:t>
      </w:r>
    </w:p>
    <w:p w:rsidR="00317354" w:rsidP="00317354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A737F9" w:rsidRPr="00A07569" w:rsidP="00A737F9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 w:rsidRPr="00A07569">
        <w:rPr>
          <w:rFonts w:ascii="Times New Roman" w:hAnsi="Times New Roman"/>
        </w:rPr>
        <w:t>Za</w:t>
      </w:r>
      <w:r>
        <w:rPr>
          <w:rFonts w:ascii="Times New Roman" w:hAnsi="Times New Roman"/>
        </w:rPr>
        <w:t>vádza sa prechodné ustanovenie zákona, ktoré vychádza</w:t>
      </w:r>
      <w:r w:rsidRPr="00A07569">
        <w:rPr>
          <w:rFonts w:ascii="Times New Roman" w:hAnsi="Times New Roman"/>
        </w:rPr>
        <w:t xml:space="preserve"> z logiky, že v prebiehajúcich konaniach </w:t>
      </w:r>
      <w:r>
        <w:rPr>
          <w:rFonts w:ascii="Times New Roman" w:hAnsi="Times New Roman"/>
        </w:rPr>
        <w:t xml:space="preserve">o dedičstve </w:t>
      </w:r>
      <w:r w:rsidRPr="00A07569">
        <w:rPr>
          <w:rFonts w:ascii="Times New Roman" w:hAnsi="Times New Roman"/>
        </w:rPr>
        <w:t>sa a priori uplatnia doterajšie právne predpisy.</w:t>
      </w:r>
      <w:r w:rsidRPr="00317354">
        <w:rPr>
          <w:rFonts w:ascii="Times New Roman" w:hAnsi="Times New Roman"/>
        </w:rPr>
        <w:t xml:space="preserve"> </w:t>
      </w:r>
      <w:r w:rsidRPr="00A07569">
        <w:rPr>
          <w:rFonts w:ascii="Times New Roman" w:hAnsi="Times New Roman"/>
        </w:rPr>
        <w:t xml:space="preserve">Všeobecne sa </w:t>
      </w:r>
      <w:r>
        <w:rPr>
          <w:rFonts w:ascii="Times New Roman" w:hAnsi="Times New Roman"/>
        </w:rPr>
        <w:t xml:space="preserve">týmto </w:t>
      </w:r>
      <w:r w:rsidRPr="00A07569">
        <w:rPr>
          <w:rFonts w:ascii="Times New Roman" w:hAnsi="Times New Roman"/>
        </w:rPr>
        <w:t xml:space="preserve">vychádza z prísneho dodržania ústavných princípov zákazu retroaktivity. </w:t>
      </w:r>
    </w:p>
    <w:p w:rsidR="00317354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A737F9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P="00E33086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/>
          <w:u w:val="single"/>
        </w:rPr>
        <w:t>K bodu 3</w:t>
      </w:r>
      <w:r w:rsidR="00A737F9">
        <w:rPr>
          <w:rFonts w:cs="Times New Roman" w:hint="default"/>
        </w:rPr>
        <w:t xml:space="preserve"> (§</w:t>
      </w:r>
      <w:r w:rsidR="00A737F9">
        <w:rPr>
          <w:rFonts w:cs="Times New Roman" w:hint="default"/>
        </w:rPr>
        <w:t xml:space="preserve"> 100f</w:t>
      </w:r>
      <w:r w:rsidR="00E33086">
        <w:rPr>
          <w:rFonts w:cs="Times New Roman"/>
        </w:rPr>
        <w:t>)</w:t>
      </w:r>
    </w:p>
    <w:p w:rsidR="00317354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A737F9" w:rsidRPr="000C3B70" w:rsidP="00A737F9">
      <w:pPr>
        <w:bidi w:val="0"/>
        <w:ind w:firstLine="708"/>
        <w:jc w:val="both"/>
        <w:rPr>
          <w:rFonts w:cs="Times New Roman"/>
        </w:rPr>
      </w:pPr>
      <w:r w:rsidR="00317354">
        <w:rPr>
          <w:rFonts w:cs="Times New Roman" w:hint="default"/>
          <w:bCs/>
        </w:rPr>
        <w:t>Zruš</w:t>
      </w:r>
      <w:r w:rsidR="00317354">
        <w:rPr>
          <w:rFonts w:cs="Times New Roman" w:hint="default"/>
          <w:bCs/>
        </w:rPr>
        <w:t>ovací</w:t>
      </w:r>
      <w:r w:rsidR="00317354">
        <w:rPr>
          <w:rFonts w:cs="Times New Roman" w:hint="default"/>
          <w:bCs/>
        </w:rPr>
        <w:t>m ustanovení</w:t>
      </w:r>
      <w:r w:rsidR="00317354">
        <w:rPr>
          <w:rFonts w:cs="Times New Roman" w:hint="default"/>
          <w:bCs/>
        </w:rPr>
        <w:t xml:space="preserve">m sa </w:t>
      </w:r>
      <w:r>
        <w:rPr>
          <w:rFonts w:cs="Times New Roman" w:hint="default"/>
          <w:bCs/>
        </w:rPr>
        <w:t>zruš</w:t>
      </w:r>
      <w:r>
        <w:rPr>
          <w:rFonts w:cs="Times New Roman" w:hint="default"/>
          <w:bCs/>
        </w:rPr>
        <w:t xml:space="preserve">uje </w:t>
      </w:r>
      <w:r>
        <w:rPr>
          <w:rFonts w:cs="Times New Roman"/>
        </w:rPr>
        <w:t>v</w:t>
      </w:r>
      <w:r w:rsidRPr="000C3B70">
        <w:rPr>
          <w:rFonts w:cs="Times New Roman" w:hint="default"/>
        </w:rPr>
        <w:t>yhláš</w:t>
      </w:r>
      <w:r w:rsidRPr="000C3B70">
        <w:rPr>
          <w:rFonts w:cs="Times New Roman" w:hint="default"/>
        </w:rPr>
        <w:t>ka Min</w:t>
      </w:r>
      <w:r w:rsidRPr="000C3B70">
        <w:rPr>
          <w:rFonts w:cs="Times New Roman" w:hint="default"/>
        </w:rPr>
        <w:t>isterstva spravodlivosti Slovenskej republiky č.</w:t>
      </w:r>
      <w:r>
        <w:rPr>
          <w:rFonts w:cs="Times New Roman"/>
        </w:rPr>
        <w:t xml:space="preserve"> 31/1993 Z. z.</w:t>
      </w:r>
      <w:r w:rsidRPr="000C3B70">
        <w:rPr>
          <w:rFonts w:cs="Times New Roman"/>
        </w:rPr>
        <w:t xml:space="preserve"> </w:t>
      </w:r>
      <w:r w:rsidRPr="000C3B70">
        <w:rPr>
          <w:rFonts w:cs="Times New Roman" w:hint="default"/>
          <w:color w:val="000000"/>
          <w:shd w:val="clear" w:color="auto" w:fill="FFFFFF"/>
        </w:rPr>
        <w:t>o odmená</w:t>
      </w:r>
      <w:r w:rsidRPr="000C3B70">
        <w:rPr>
          <w:rFonts w:cs="Times New Roman" w:hint="default"/>
          <w:color w:val="000000"/>
          <w:shd w:val="clear" w:color="auto" w:fill="FFFFFF"/>
        </w:rPr>
        <w:t>ch a ná</w:t>
      </w:r>
      <w:r w:rsidRPr="000C3B70">
        <w:rPr>
          <w:rFonts w:cs="Times New Roman" w:hint="default"/>
          <w:color w:val="000000"/>
          <w:shd w:val="clear" w:color="auto" w:fill="FFFFFF"/>
        </w:rPr>
        <w:t>hradá</w:t>
      </w:r>
      <w:r w:rsidRPr="000C3B70">
        <w:rPr>
          <w:rFonts w:cs="Times New Roman" w:hint="default"/>
          <w:color w:val="000000"/>
          <w:shd w:val="clear" w:color="auto" w:fill="FFFFFF"/>
        </w:rPr>
        <w:t xml:space="preserve">ch </w:t>
      </w:r>
      <w:r>
        <w:rPr>
          <w:rFonts w:cs="Times New Roman" w:hint="default"/>
          <w:color w:val="000000"/>
          <w:shd w:val="clear" w:color="auto" w:fill="FFFFFF"/>
        </w:rPr>
        <w:t>notá</w:t>
      </w:r>
      <w:r>
        <w:rPr>
          <w:rFonts w:cs="Times New Roman" w:hint="default"/>
          <w:color w:val="000000"/>
          <w:shd w:val="clear" w:color="auto" w:fill="FFFFFF"/>
        </w:rPr>
        <w:t>rov v </w:t>
      </w:r>
      <w:r>
        <w:rPr>
          <w:rFonts w:cs="Times New Roman" w:hint="default"/>
          <w:color w:val="000000"/>
          <w:shd w:val="clear" w:color="auto" w:fill="FFFFFF"/>
        </w:rPr>
        <w:t>znení</w:t>
      </w:r>
      <w:r>
        <w:rPr>
          <w:rFonts w:cs="Times New Roman" w:hint="default"/>
          <w:color w:val="000000"/>
          <w:shd w:val="clear" w:color="auto" w:fill="FFFFFF"/>
        </w:rPr>
        <w:t xml:space="preserve"> neskorší</w:t>
      </w:r>
      <w:r>
        <w:rPr>
          <w:rFonts w:cs="Times New Roman" w:hint="default"/>
          <w:color w:val="000000"/>
          <w:shd w:val="clear" w:color="auto" w:fill="FFFFFF"/>
        </w:rPr>
        <w:t>ch predpisov.</w:t>
      </w:r>
    </w:p>
    <w:p w:rsidR="00317354" w:rsidP="00A737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A737F9" w:rsidP="0048564D">
      <w:pPr>
        <w:bidi w:val="0"/>
        <w:rPr>
          <w:rFonts w:cs="Times New Roman"/>
        </w:rPr>
      </w:pPr>
    </w:p>
    <w:p w:rsidR="00317354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48564D" w:rsidRPr="00D93D34" w:rsidP="0048564D">
      <w:pPr>
        <w:bidi w:val="0"/>
        <w:rPr>
          <w:rFonts w:cs="Times New Roman"/>
        </w:rPr>
      </w:pPr>
    </w:p>
    <w:p w:rsidR="00E33086" w:rsidP="00E33086">
      <w:pPr>
        <w:bidi w:val="0"/>
        <w:ind w:firstLine="708"/>
        <w:jc w:val="both"/>
      </w:pP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A737F9">
        <w:rPr>
          <w:rFonts w:hint="default"/>
        </w:rPr>
        <w:t>januá</w:t>
      </w:r>
      <w:r w:rsidR="00A737F9">
        <w:rPr>
          <w:rFonts w:hint="default"/>
        </w:rPr>
        <w:t>r 2016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223DD"/>
    <w:rsid w:val="00074D8C"/>
    <w:rsid w:val="000C3B70"/>
    <w:rsid w:val="001407AA"/>
    <w:rsid w:val="001D5C20"/>
    <w:rsid w:val="00252CF7"/>
    <w:rsid w:val="00312391"/>
    <w:rsid w:val="00317354"/>
    <w:rsid w:val="0040331C"/>
    <w:rsid w:val="0048564D"/>
    <w:rsid w:val="00517579"/>
    <w:rsid w:val="005C1E35"/>
    <w:rsid w:val="005F1B56"/>
    <w:rsid w:val="006458E5"/>
    <w:rsid w:val="00656B67"/>
    <w:rsid w:val="006C6025"/>
    <w:rsid w:val="0081591D"/>
    <w:rsid w:val="00830876"/>
    <w:rsid w:val="00933BF6"/>
    <w:rsid w:val="00951FC2"/>
    <w:rsid w:val="00962A46"/>
    <w:rsid w:val="009E2C97"/>
    <w:rsid w:val="009E3E82"/>
    <w:rsid w:val="009E491D"/>
    <w:rsid w:val="00A07569"/>
    <w:rsid w:val="00A737F9"/>
    <w:rsid w:val="00AC73A6"/>
    <w:rsid w:val="00B31020"/>
    <w:rsid w:val="00B90701"/>
    <w:rsid w:val="00C52881"/>
    <w:rsid w:val="00CF08D9"/>
    <w:rsid w:val="00D93D34"/>
    <w:rsid w:val="00E33086"/>
    <w:rsid w:val="00E66EE4"/>
    <w:rsid w:val="00F323C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styleId="PlaceholderText">
    <w:name w:val="Placeholder Text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customStyle="1" w:styleId="ListParagraph1">
    <w:name w:val="List Paragraph1"/>
    <w:basedOn w:val="Normal"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51FC2"/>
    <w:rPr>
      <w:rFonts w:cs="Times New Roman"/>
      <w:strike w:val="0"/>
      <w:dstrike w:val="0"/>
      <w:color w:val="05507A"/>
      <w:u w:val="none"/>
      <w:effect w:val="none"/>
      <w:rtl w:val="0"/>
      <w:cs w:val="0"/>
    </w:rPr>
  </w:style>
  <w:style w:type="paragraph" w:customStyle="1" w:styleId="l51">
    <w:name w:val="l51"/>
    <w:basedOn w:val="Normal"/>
    <w:rsid w:val="00951FC2"/>
    <w:pPr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1335</Words>
  <Characters>7612</Characters>
  <Application>Microsoft Office Word</Application>
  <DocSecurity>0</DocSecurity>
  <Lines>0</Lines>
  <Paragraphs>0</Paragraphs>
  <ScaleCrop>false</ScaleCrop>
  <Company>Kancelaria NR SR</Company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dcterms:created xsi:type="dcterms:W3CDTF">2015-08-28T17:33:00Z</dcterms:created>
  <dcterms:modified xsi:type="dcterms:W3CDTF">2015-08-28T17:33:00Z</dcterms:modified>
</cp:coreProperties>
</file>