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7D79" w:rsidRPr="00AD3C19" w:rsidP="003734D2">
      <w:pPr>
        <w:bidi w:val="0"/>
        <w:spacing w:after="0" w:line="240" w:lineRule="auto"/>
        <w:jc w:val="center"/>
        <w:rPr>
          <w:rFonts w:ascii="Times New Roman" w:hAnsi="Times New Roman"/>
          <w:b/>
          <w:caps/>
          <w:spacing w:val="30"/>
          <w:sz w:val="24"/>
        </w:rPr>
      </w:pPr>
      <w:r w:rsidRPr="00AD3C19" w:rsidR="00AD3C19">
        <w:rPr>
          <w:rFonts w:ascii="Times New Roman" w:hAnsi="Times New Roman"/>
          <w:b/>
          <w:caps/>
          <w:spacing w:val="30"/>
          <w:sz w:val="24"/>
        </w:rPr>
        <w:t>Dôvodová správa</w:t>
      </w:r>
    </w:p>
    <w:p w:rsidR="00AD3C19" w:rsidP="005E7F51">
      <w:pPr>
        <w:bidi w:val="0"/>
        <w:spacing w:after="0" w:line="240" w:lineRule="auto"/>
        <w:jc w:val="both"/>
        <w:rPr>
          <w:rFonts w:ascii="Times New Roman" w:hAnsi="Times New Roman"/>
          <w:sz w:val="24"/>
        </w:rPr>
      </w:pPr>
    </w:p>
    <w:p w:rsidR="00AD3C19" w:rsidRPr="005E7F51" w:rsidP="005E7F51">
      <w:pPr>
        <w:bidi w:val="0"/>
        <w:spacing w:after="0" w:line="240" w:lineRule="auto"/>
        <w:jc w:val="both"/>
        <w:rPr>
          <w:rFonts w:ascii="Times New Roman" w:hAnsi="Times New Roman"/>
          <w:sz w:val="24"/>
        </w:rPr>
      </w:pPr>
    </w:p>
    <w:p w:rsidR="00AD3C19" w:rsidRPr="00AD3C19" w:rsidP="00AD3C19">
      <w:pPr>
        <w:pStyle w:val="ListParagraph"/>
        <w:numPr>
          <w:numId w:val="1"/>
        </w:numPr>
        <w:bidi w:val="0"/>
        <w:spacing w:after="0" w:line="240" w:lineRule="auto"/>
        <w:jc w:val="both"/>
        <w:rPr>
          <w:rFonts w:ascii="Times New Roman" w:hAnsi="Times New Roman"/>
          <w:b/>
          <w:sz w:val="24"/>
        </w:rPr>
      </w:pPr>
      <w:r>
        <w:rPr>
          <w:rFonts w:ascii="Times New Roman" w:hAnsi="Times New Roman"/>
          <w:b/>
          <w:sz w:val="24"/>
        </w:rPr>
        <w:t>Všeobecná časť</w:t>
      </w:r>
    </w:p>
    <w:p w:rsidR="00AD3C19" w:rsidP="005E7F51">
      <w:pPr>
        <w:bidi w:val="0"/>
        <w:spacing w:after="0" w:line="240" w:lineRule="auto"/>
        <w:jc w:val="both"/>
        <w:rPr>
          <w:rFonts w:ascii="Times New Roman" w:hAnsi="Times New Roman"/>
          <w:b/>
          <w:sz w:val="24"/>
        </w:rPr>
      </w:pPr>
    </w:p>
    <w:p w:rsidR="00AD3C19" w:rsidRPr="00AD3C19" w:rsidP="00983394">
      <w:pPr>
        <w:bidi w:val="0"/>
        <w:spacing w:after="0" w:line="240" w:lineRule="auto"/>
        <w:ind w:firstLine="708"/>
        <w:jc w:val="both"/>
        <w:rPr>
          <w:rFonts w:ascii="Times New Roman" w:hAnsi="Times New Roman"/>
          <w:sz w:val="24"/>
        </w:rPr>
      </w:pPr>
      <w:r w:rsidRPr="00AD3C19">
        <w:rPr>
          <w:rFonts w:ascii="Times New Roman" w:hAnsi="Times New Roman"/>
          <w:sz w:val="24"/>
        </w:rPr>
        <w:t>Účelom návrhu zákona je zvýšiť ochranu spotrebiteľa v súdnych konaniach pred všeobecnými súdmi v SR. Navrhovaná právna úprava má zamedziť, aby ďalej dochádzalo k</w:t>
      </w:r>
      <w:r w:rsidR="00983394">
        <w:rPr>
          <w:rFonts w:ascii="Times New Roman" w:hAnsi="Times New Roman"/>
          <w:sz w:val="24"/>
        </w:rPr>
        <w:t> </w:t>
      </w:r>
      <w:r w:rsidRPr="00AD3C19">
        <w:rPr>
          <w:rFonts w:ascii="Times New Roman" w:hAnsi="Times New Roman"/>
          <w:sz w:val="24"/>
        </w:rPr>
        <w:t>zneužitiu niektorých právnych inštitútov (napr. zmenky) proti spotrebiteľom a zabezpečiť, aby nedochádzalo ďalej k vydávaniu rozsudkov, ktoré potvrdzujú nároky veriteľov dosahujúce príslušenstvo vo výške dosahujúcej úžeru (</w:t>
      </w:r>
      <w:r w:rsidR="00983394">
        <w:rPr>
          <w:rFonts w:ascii="Times New Roman" w:hAnsi="Times New Roman"/>
          <w:sz w:val="24"/>
        </w:rPr>
        <w:t xml:space="preserve">napríklad </w:t>
      </w:r>
      <w:r w:rsidRPr="00AD3C19">
        <w:rPr>
          <w:rFonts w:ascii="Times New Roman" w:hAnsi="Times New Roman"/>
          <w:sz w:val="24"/>
        </w:rPr>
        <w:t>viac ako 90% p. a.).</w:t>
      </w:r>
    </w:p>
    <w:p w:rsidR="00AD3C19" w:rsidRPr="00AD3C19" w:rsidP="00AD3C19">
      <w:pPr>
        <w:bidi w:val="0"/>
        <w:spacing w:after="0" w:line="240" w:lineRule="auto"/>
        <w:jc w:val="both"/>
        <w:rPr>
          <w:rFonts w:ascii="Times New Roman" w:hAnsi="Times New Roman"/>
          <w:sz w:val="24"/>
        </w:rPr>
      </w:pPr>
    </w:p>
    <w:p w:rsidR="00AD3C19" w:rsidRPr="00AD3C19" w:rsidP="00AD3C19">
      <w:pPr>
        <w:bidi w:val="0"/>
        <w:spacing w:after="0" w:line="240" w:lineRule="auto"/>
        <w:ind w:firstLine="708"/>
        <w:jc w:val="both"/>
        <w:rPr>
          <w:rFonts w:ascii="Times New Roman" w:hAnsi="Times New Roman"/>
          <w:sz w:val="24"/>
        </w:rPr>
      </w:pPr>
      <w:r w:rsidRPr="00AD3C19">
        <w:rPr>
          <w:rFonts w:ascii="Times New Roman" w:hAnsi="Times New Roman"/>
          <w:sz w:val="24"/>
        </w:rPr>
        <w:t>Napriek tomu, že navrhovatelia sú toho názoru, že doterajšia právna úprava, ako aj legislatíva EU a judikatúra Európskeho súdneho dvora upravuje povinnosť súdov z úradnej povinnosti (ex offo) prihliadať vždy na ochranu spotrebiteľa, v súdnej praxi je táto povinnosť často krát prehliadaná. Napríklad v rozsudku Európskeho súdneho dvora sp. zn. C - 419/2011 zo 14. 03. 2013 (Česká sporiteľňa a.s. proti G</w:t>
      </w:r>
      <w:r w:rsidR="005F5746">
        <w:rPr>
          <w:rFonts w:ascii="Times New Roman" w:hAnsi="Times New Roman"/>
          <w:sz w:val="24"/>
        </w:rPr>
        <w:t xml:space="preserve">. </w:t>
      </w:r>
      <w:r w:rsidRPr="00AD3C19">
        <w:rPr>
          <w:rFonts w:ascii="Times New Roman" w:hAnsi="Times New Roman"/>
          <w:sz w:val="24"/>
        </w:rPr>
        <w:t>F</w:t>
      </w:r>
      <w:r w:rsidR="005F5746">
        <w:rPr>
          <w:rFonts w:ascii="Times New Roman" w:hAnsi="Times New Roman"/>
          <w:sz w:val="24"/>
        </w:rPr>
        <w:t>.</w:t>
      </w:r>
      <w:r w:rsidRPr="00AD3C19">
        <w:rPr>
          <w:rFonts w:ascii="Times New Roman" w:hAnsi="Times New Roman"/>
          <w:sz w:val="24"/>
        </w:rPr>
        <w:t xml:space="preserve">) samotný Európsky súdny dvor v konaní pri uplatnení práva zo zmenky z úradnej moci skúmal postavenie žalovaného ako spotrebiteľa. Európska komisia v prejudicionálnom konaní (C-328/14), ktoré sa týkalo výkladu čl. 6 ods. 1 Smernice Rady 93/13/EHS a článku 4 Smernice Rady 87/102/EHS vyslovila názor, že smernica 87/102/EHS, ktorá sa uplatňuje v prejednávanej veci, nezakazuje používanie zmeniek v spotrebiteľských zmluvách, ale zo znenia jej článku 9 jednoznačne vyplýva, že členské štáty môžu povoliť ich používanie v spotrebiteľských zmluvách iba vtedy, ak zároveň zabezpečia vhodnú ochranu spotrebiteľa v takýchto situáciách. Podľa názoru Komisie je potrebné pojem „vhodnej ochrany spotrebiteľa“ v zmysle článku 9 smernice 87/102/EHS vykladať so zreteľom na článok 14 uvedenej smernice, ktorá zakazuje znížiť štandard ochrany spotrebiteľa. Vhodnou ochranou spotrebiteľa v zmysle článku 9 uvedenej smernice je preto potrebné chápať celkový právny rámec ochrany spotrebiteľa, ako vyplýva z predpisov práva Únie a judikatúry Súdneho dvora, a zahŕňa preto aj povinnosť vnútroštátnych súdov ex offo skúmať nekalosť zmluvných podmienok. </w:t>
      </w:r>
    </w:p>
    <w:p w:rsidR="00AD3C19" w:rsidRPr="00AD3C19" w:rsidP="00AD3C19">
      <w:pPr>
        <w:bidi w:val="0"/>
        <w:spacing w:after="0" w:line="240" w:lineRule="auto"/>
        <w:jc w:val="both"/>
        <w:rPr>
          <w:rFonts w:ascii="Times New Roman" w:hAnsi="Times New Roman"/>
          <w:sz w:val="24"/>
        </w:rPr>
      </w:pPr>
    </w:p>
    <w:p w:rsidR="00AD3C19" w:rsidRPr="00AD3C19" w:rsidP="00AD3C19">
      <w:pPr>
        <w:bidi w:val="0"/>
        <w:spacing w:after="0" w:line="240" w:lineRule="auto"/>
        <w:ind w:firstLine="708"/>
        <w:jc w:val="both"/>
        <w:rPr>
          <w:rFonts w:ascii="Times New Roman" w:hAnsi="Times New Roman"/>
          <w:sz w:val="24"/>
        </w:rPr>
      </w:pPr>
      <w:r w:rsidRPr="00AD3C19">
        <w:rPr>
          <w:rFonts w:ascii="Times New Roman" w:hAnsi="Times New Roman"/>
          <w:sz w:val="24"/>
        </w:rPr>
        <w:t>Vyššie uvedené princípy v zákone č. 191/1950 Zb. zmenkový a šekový výslovne upravené nie sú, hoci vyplývajú z iných právnych predpisov (zákon č. 250/2007 Z.z.).  V</w:t>
      </w:r>
      <w:r w:rsidR="00983394">
        <w:rPr>
          <w:rFonts w:ascii="Times New Roman" w:hAnsi="Times New Roman"/>
          <w:sz w:val="24"/>
        </w:rPr>
        <w:t> </w:t>
      </w:r>
      <w:r w:rsidRPr="00AD3C19">
        <w:rPr>
          <w:rFonts w:ascii="Times New Roman" w:hAnsi="Times New Roman"/>
          <w:sz w:val="24"/>
        </w:rPr>
        <w:t xml:space="preserve">dôsledku toho mali súdy na uvedenú vec rôzne právne názory a preto aj v mnohých prípadoch  dochádzalo k priznaniu nárokov zo zmeniek, ktoré v skutočnosti pochádzali zo spotrebiteľských zmlúv. V konaniach sa nijako neprihliadlo na ochranu spotrebiteľa, na zákaz neprijateľných zmluvných podmienok a dokonca boli priznávané úroky presahujúce 90% p.a. </w:t>
      </w:r>
    </w:p>
    <w:p w:rsidR="00AD3C19" w:rsidRPr="00AD3C19" w:rsidP="00AD3C19">
      <w:pPr>
        <w:bidi w:val="0"/>
        <w:spacing w:after="0" w:line="240" w:lineRule="auto"/>
        <w:jc w:val="both"/>
        <w:rPr>
          <w:rFonts w:ascii="Times New Roman" w:hAnsi="Times New Roman"/>
          <w:sz w:val="24"/>
        </w:rPr>
      </w:pPr>
    </w:p>
    <w:p w:rsidR="00AD3C19" w:rsidRPr="00AD3C19" w:rsidP="00AD3C19">
      <w:pPr>
        <w:bidi w:val="0"/>
        <w:spacing w:after="0" w:line="240" w:lineRule="auto"/>
        <w:ind w:firstLine="708"/>
        <w:jc w:val="both"/>
        <w:rPr>
          <w:rFonts w:ascii="Times New Roman" w:hAnsi="Times New Roman"/>
          <w:sz w:val="24"/>
        </w:rPr>
      </w:pPr>
      <w:r w:rsidRPr="00AD3C19">
        <w:rPr>
          <w:rFonts w:ascii="Times New Roman" w:hAnsi="Times New Roman"/>
          <w:sz w:val="24"/>
        </w:rPr>
        <w:t>Návrh zákona expresis verbis zavádza povinnosť súdu skúmať, či v rámci uplatneného nároku zo zmenky, táto nevznikla zo vzťahu so spotrebiteľom. Zavádzajú sa nové povinnosti účastníka konania v súdnom konaní, ktorý uplatňuje nárok zo zmenky, a to najmä za účelom zistenia, či ide o nedovolenú alebo nezákonne vydanú zmenku. V tejto súvislosti uvádzame, že ust. § 5a ods.1 zákona č. 250/2007 Z. z. o ochrane spotrebiteľa a o zmene zákona Slovenskej národnej rady č. 372/1990 Zb. o priestupkoch v znení neskorších predpisov zakazuje zabezpečiť uspokojenie pohľadávky alebo splnenie záväzku zo spotrebiteľskej zmluvy zmenkou. Bez povinností navrhovateľa v súdnom konaní predložiť skutočnosti a</w:t>
      </w:r>
      <w:r w:rsidR="00983394">
        <w:rPr>
          <w:rFonts w:ascii="Times New Roman" w:hAnsi="Times New Roman"/>
          <w:sz w:val="24"/>
        </w:rPr>
        <w:t> </w:t>
      </w:r>
      <w:r w:rsidRPr="00AD3C19">
        <w:rPr>
          <w:rFonts w:ascii="Times New Roman" w:hAnsi="Times New Roman"/>
          <w:sz w:val="24"/>
        </w:rPr>
        <w:t>dôkazy ohľadne vlastného vzťahu ako aj bez výslovnej povinnosti súdu ex offo prihliadať na ochranu spotrebiteľa, nie je možné poskytnúť reálnu ochranu spotrebiteľovi. Rovnako je potrebné mať na pamäti, že môže vzniknúť situácia, v ktorej bude na súde v Slovenskej republike uplatnený nárok zo spotrebiteľskej zmenky vystavenej v zahraničí. Aj pre tieto prípady je nevyhnutná navrhovaná právna úprava.</w:t>
      </w:r>
    </w:p>
    <w:p w:rsidR="00AD3C19" w:rsidRPr="00AD3C19" w:rsidP="00AD3C19">
      <w:pPr>
        <w:bidi w:val="0"/>
        <w:spacing w:after="0" w:line="240" w:lineRule="auto"/>
        <w:jc w:val="both"/>
        <w:rPr>
          <w:rFonts w:ascii="Times New Roman" w:hAnsi="Times New Roman"/>
          <w:sz w:val="24"/>
        </w:rPr>
      </w:pPr>
    </w:p>
    <w:p w:rsidR="00AD3C19" w:rsidRPr="00AD3C19" w:rsidP="00983394">
      <w:pPr>
        <w:bidi w:val="0"/>
        <w:spacing w:after="0" w:line="240" w:lineRule="auto"/>
        <w:ind w:firstLine="708"/>
        <w:jc w:val="both"/>
        <w:rPr>
          <w:rFonts w:ascii="Times New Roman" w:hAnsi="Times New Roman"/>
          <w:sz w:val="24"/>
        </w:rPr>
      </w:pPr>
      <w:r w:rsidRPr="00AD3C19">
        <w:rPr>
          <w:rFonts w:ascii="Times New Roman" w:hAnsi="Times New Roman"/>
          <w:sz w:val="24"/>
        </w:rPr>
        <w:t>Vzhľadom na veľké množstvo exekučných vecí</w:t>
      </w:r>
      <w:r w:rsidR="0076213A">
        <w:rPr>
          <w:rFonts w:ascii="Times New Roman" w:hAnsi="Times New Roman"/>
          <w:sz w:val="24"/>
        </w:rPr>
        <w:t xml:space="preserve">, ktoré </w:t>
      </w:r>
      <w:r w:rsidR="00983394">
        <w:rPr>
          <w:rFonts w:ascii="Times New Roman" w:hAnsi="Times New Roman"/>
          <w:sz w:val="24"/>
        </w:rPr>
        <w:t xml:space="preserve"> </w:t>
      </w:r>
      <w:r w:rsidR="0076213A">
        <w:rPr>
          <w:rFonts w:ascii="Times New Roman" w:hAnsi="Times New Roman"/>
          <w:sz w:val="24"/>
        </w:rPr>
        <w:t xml:space="preserve">prebiehajú </w:t>
      </w:r>
      <w:r w:rsidRPr="00AD3C19" w:rsidR="0076213A">
        <w:rPr>
          <w:rFonts w:ascii="Times New Roman" w:hAnsi="Times New Roman"/>
          <w:sz w:val="24"/>
        </w:rPr>
        <w:t>na podklade exekučného titulu vydanom v konaní, v ktorom nebola účastníkovi poskytnutá primeraná ochrana</w:t>
      </w:r>
      <w:r w:rsidR="0076213A">
        <w:rPr>
          <w:rFonts w:ascii="Times New Roman" w:hAnsi="Times New Roman"/>
          <w:sz w:val="24"/>
        </w:rPr>
        <w:t>,</w:t>
      </w:r>
      <w:r w:rsidRPr="00AD3C19" w:rsidR="0076213A">
        <w:rPr>
          <w:rFonts w:ascii="Times New Roman" w:hAnsi="Times New Roman"/>
          <w:sz w:val="24"/>
        </w:rPr>
        <w:t xml:space="preserve"> </w:t>
      </w:r>
      <w:r w:rsidRPr="00AD3C19">
        <w:rPr>
          <w:rFonts w:ascii="Times New Roman" w:hAnsi="Times New Roman"/>
          <w:sz w:val="24"/>
        </w:rPr>
        <w:t>je nevyhnutné vyporiadať sa s otázkou ochrany spotrebiteľa aj v</w:t>
      </w:r>
      <w:r w:rsidR="00983394">
        <w:rPr>
          <w:rFonts w:ascii="Times New Roman" w:hAnsi="Times New Roman"/>
          <w:sz w:val="24"/>
        </w:rPr>
        <w:t> </w:t>
      </w:r>
      <w:r w:rsidRPr="00AD3C19">
        <w:rPr>
          <w:rFonts w:ascii="Times New Roman" w:hAnsi="Times New Roman"/>
          <w:sz w:val="24"/>
        </w:rPr>
        <w:t>tých</w:t>
      </w:r>
      <w:r w:rsidR="00983394">
        <w:rPr>
          <w:rFonts w:ascii="Times New Roman" w:hAnsi="Times New Roman"/>
          <w:sz w:val="24"/>
        </w:rPr>
        <w:t>to exekučných</w:t>
      </w:r>
      <w:r w:rsidRPr="00AD3C19">
        <w:rPr>
          <w:rFonts w:ascii="Times New Roman" w:hAnsi="Times New Roman"/>
          <w:sz w:val="24"/>
        </w:rPr>
        <w:t xml:space="preserve"> konaniach. Na tento účel sa upravuje možnosť súdu odmietnuť vydať poverenie na vykonanie exekúcie, resp. v prebiehajúcich exekučných konaniach exekúciu zastaviť. Skutočnosť, že určitému exekučnému titulu bola odopretá vymáhateľnosť v dôsledku vyššie uvedenej vady v</w:t>
      </w:r>
      <w:r w:rsidR="0076213A">
        <w:rPr>
          <w:rFonts w:ascii="Times New Roman" w:hAnsi="Times New Roman"/>
          <w:sz w:val="24"/>
        </w:rPr>
        <w:t> </w:t>
      </w:r>
      <w:r w:rsidRPr="00AD3C19">
        <w:rPr>
          <w:rFonts w:ascii="Times New Roman" w:hAnsi="Times New Roman"/>
          <w:sz w:val="24"/>
        </w:rPr>
        <w:t xml:space="preserve">konaní, ktorú zohľadní až exekučný súd však následne umožní, aby sa veriteľ opätovne domáhal svojho nároku podaním návrhu na obnovu konania z tohto osobitného zákonného dôvodu. </w:t>
      </w:r>
    </w:p>
    <w:p w:rsidR="00AD3C19" w:rsidRPr="00AD3C19" w:rsidP="00AD3C19">
      <w:pPr>
        <w:bidi w:val="0"/>
        <w:spacing w:after="0" w:line="240" w:lineRule="auto"/>
        <w:jc w:val="both"/>
        <w:rPr>
          <w:rFonts w:ascii="Times New Roman" w:hAnsi="Times New Roman"/>
          <w:sz w:val="24"/>
        </w:rPr>
      </w:pPr>
    </w:p>
    <w:p w:rsidR="00AD3C19" w:rsidRPr="00AD3C19" w:rsidP="00AD3C19">
      <w:pPr>
        <w:bidi w:val="0"/>
        <w:spacing w:after="0" w:line="240" w:lineRule="auto"/>
        <w:ind w:firstLine="708"/>
        <w:jc w:val="both"/>
        <w:rPr>
          <w:rFonts w:ascii="Times New Roman" w:hAnsi="Times New Roman"/>
          <w:sz w:val="24"/>
        </w:rPr>
      </w:pPr>
      <w:r w:rsidRPr="00AD3C19">
        <w:rPr>
          <w:rFonts w:ascii="Times New Roman" w:hAnsi="Times New Roman"/>
          <w:sz w:val="24"/>
        </w:rPr>
        <w:t>Navrhovaná právna úprava umožní ochrániť tisíce spotrebiteľov pred nedôvodnými nárokmi uplatňovanými v súdnom konaní alebo už v štádiu exekúcie, vzhľadom k tomu, že</w:t>
      </w:r>
      <w:r w:rsidR="00983394">
        <w:rPr>
          <w:rFonts w:ascii="Times New Roman" w:hAnsi="Times New Roman"/>
          <w:sz w:val="24"/>
        </w:rPr>
        <w:t xml:space="preserve"> </w:t>
      </w:r>
      <w:r w:rsidRPr="00AD3C19">
        <w:rPr>
          <w:rFonts w:ascii="Times New Roman" w:hAnsi="Times New Roman"/>
          <w:sz w:val="24"/>
        </w:rPr>
        <w:t>expresis verbis vysloví povinnosť súdu prihliadať na spotrebiteľské vzťahy, a to aj v konaniach v ktorých súdy takúto povinnosť opomenuli.</w:t>
      </w:r>
    </w:p>
    <w:p w:rsidR="00AD3C19" w:rsidP="005E7F51">
      <w:pPr>
        <w:bidi w:val="0"/>
        <w:spacing w:after="0" w:line="240" w:lineRule="auto"/>
        <w:jc w:val="both"/>
        <w:rPr>
          <w:rFonts w:ascii="Times New Roman" w:hAnsi="Times New Roman"/>
          <w:b/>
          <w:sz w:val="24"/>
        </w:rPr>
      </w:pPr>
    </w:p>
    <w:p w:rsidR="00596981" w:rsidRPr="000B1A60" w:rsidP="000B1A60">
      <w:pPr>
        <w:bidi w:val="0"/>
        <w:adjustRightInd w:val="0"/>
        <w:spacing w:after="0" w:line="240" w:lineRule="auto"/>
        <w:ind w:firstLine="851"/>
        <w:jc w:val="both"/>
        <w:rPr>
          <w:rFonts w:ascii="Times New Roman" w:hAnsi="Times New Roman"/>
          <w:color w:val="000000"/>
          <w:sz w:val="24"/>
          <w:szCs w:val="24"/>
          <w:lang w:eastAsia="sk-SK"/>
        </w:rPr>
      </w:pPr>
      <w:r w:rsidRPr="000B1A60">
        <w:rPr>
          <w:rFonts w:ascii="Times New Roman" w:hAnsi="Times New Roman"/>
          <w:color w:val="000000"/>
          <w:sz w:val="24"/>
          <w:szCs w:val="24"/>
          <w:lang w:eastAsia="sk-SK"/>
        </w:rPr>
        <w:t xml:space="preserve">Návrh zákona </w:t>
      </w:r>
      <w:r w:rsidRPr="000B1A60" w:rsidR="000B1A60">
        <w:rPr>
          <w:rFonts w:ascii="Times New Roman" w:hAnsi="Times New Roman"/>
          <w:color w:val="000000"/>
          <w:sz w:val="24"/>
          <w:szCs w:val="24"/>
          <w:lang w:eastAsia="sk-SK"/>
        </w:rPr>
        <w:t xml:space="preserve">predpokladá pozitívne sociálne vplyvy a </w:t>
      </w:r>
      <w:r w:rsidRPr="000B1A60">
        <w:rPr>
          <w:rFonts w:ascii="Times New Roman" w:hAnsi="Times New Roman"/>
          <w:color w:val="000000"/>
          <w:sz w:val="24"/>
          <w:szCs w:val="24"/>
          <w:lang w:eastAsia="sk-SK"/>
        </w:rPr>
        <w:t>nepredpokladá žiadne vplyvy na rozpočet verejnej sp</w:t>
      </w:r>
      <w:r w:rsidRPr="000B1A60" w:rsidR="000B1A60">
        <w:rPr>
          <w:rFonts w:ascii="Times New Roman" w:hAnsi="Times New Roman"/>
          <w:color w:val="000000"/>
          <w:sz w:val="24"/>
          <w:szCs w:val="24"/>
          <w:lang w:eastAsia="sk-SK"/>
        </w:rPr>
        <w:t xml:space="preserve">rávy, podnikateľské prostredie, </w:t>
      </w:r>
      <w:r w:rsidRPr="000B1A60">
        <w:rPr>
          <w:rFonts w:ascii="Times New Roman" w:hAnsi="Times New Roman"/>
          <w:color w:val="000000"/>
          <w:sz w:val="24"/>
          <w:szCs w:val="24"/>
          <w:lang w:eastAsia="sk-SK"/>
        </w:rPr>
        <w:t>vplyvy na životné prostredie, ani vplyvy na informatizáciu spoločnosti.</w:t>
      </w:r>
    </w:p>
    <w:p w:rsidR="000B1A60" w:rsidRPr="000B1A60" w:rsidP="000B1A60">
      <w:pPr>
        <w:bidi w:val="0"/>
        <w:adjustRightInd w:val="0"/>
        <w:spacing w:after="0" w:line="240" w:lineRule="auto"/>
        <w:ind w:firstLine="851"/>
        <w:jc w:val="both"/>
        <w:rPr>
          <w:rFonts w:ascii="Times New Roman" w:hAnsi="Times New Roman"/>
          <w:color w:val="000000"/>
          <w:sz w:val="24"/>
          <w:szCs w:val="24"/>
          <w:lang w:eastAsia="sk-SK"/>
        </w:rPr>
      </w:pPr>
    </w:p>
    <w:p w:rsidR="00596981" w:rsidRPr="000B1A60" w:rsidP="00596981">
      <w:pPr>
        <w:bidi w:val="0"/>
        <w:adjustRightInd w:val="0"/>
        <w:spacing w:after="0" w:line="240" w:lineRule="auto"/>
        <w:ind w:firstLine="708"/>
        <w:jc w:val="both"/>
        <w:rPr>
          <w:rFonts w:ascii="Times New Roman" w:hAnsi="Times New Roman"/>
          <w:color w:val="000000"/>
          <w:sz w:val="24"/>
          <w:szCs w:val="24"/>
          <w:lang w:eastAsia="sk-SK"/>
        </w:rPr>
      </w:pPr>
      <w:r w:rsidRPr="000B1A60">
        <w:rPr>
          <w:rFonts w:ascii="Times New Roman" w:hAnsi="Times New Roman"/>
          <w:color w:val="000000"/>
          <w:sz w:val="24"/>
          <w:szCs w:val="24"/>
          <w:lang w:eastAsia="sk-SK"/>
        </w:rPr>
        <w:t>Návrh zákona je v súlade s Ústavou Slovenskej republiky, ústavnými zákonmi, zákonmi a inými všeobecne záväznými právnymi predpismi, ako aj s medzinárodnými zmluvami, ktorými je Slovenská republika viazaná.</w:t>
      </w:r>
    </w:p>
    <w:p w:rsidR="00596981" w:rsidRPr="000B1A60" w:rsidP="00596981">
      <w:pPr>
        <w:bidi w:val="0"/>
        <w:adjustRightInd w:val="0"/>
        <w:spacing w:after="0" w:line="240" w:lineRule="auto"/>
        <w:jc w:val="both"/>
        <w:rPr>
          <w:rFonts w:ascii="Times New Roman" w:hAnsi="Times New Roman"/>
          <w:color w:val="000000"/>
          <w:sz w:val="24"/>
          <w:szCs w:val="24"/>
          <w:lang w:eastAsia="sk-SK"/>
        </w:rPr>
      </w:pPr>
      <w:r w:rsidRPr="000B1A60">
        <w:rPr>
          <w:rFonts w:ascii="Times New Roman" w:hAnsi="Times New Roman"/>
          <w:color w:val="000000"/>
          <w:sz w:val="24"/>
          <w:szCs w:val="24"/>
          <w:lang w:eastAsia="sk-SK"/>
        </w:rPr>
        <w:t> </w:t>
      </w:r>
    </w:p>
    <w:p w:rsidR="00596981" w:rsidRP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983394"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P="00596981">
      <w:pPr>
        <w:bidi w:val="0"/>
        <w:adjustRightInd w:val="0"/>
        <w:spacing w:after="0" w:line="240" w:lineRule="auto"/>
        <w:jc w:val="both"/>
        <w:rPr>
          <w:rFonts w:ascii="Times New Roman" w:hAnsi="Times New Roman"/>
          <w:color w:val="000000"/>
          <w:sz w:val="24"/>
          <w:szCs w:val="24"/>
          <w:lang w:eastAsia="sk-SK"/>
        </w:rPr>
      </w:pPr>
    </w:p>
    <w:p w:rsidR="00596981" w:rsidRPr="00596981" w:rsidP="00596981">
      <w:pPr>
        <w:bidi w:val="0"/>
        <w:adjustRightInd w:val="0"/>
        <w:spacing w:after="0" w:line="240" w:lineRule="auto"/>
        <w:jc w:val="both"/>
        <w:rPr>
          <w:rFonts w:ascii="Times New Roman" w:hAnsi="Times New Roman"/>
          <w:color w:val="000000"/>
          <w:sz w:val="24"/>
          <w:szCs w:val="24"/>
          <w:lang w:eastAsia="sk-SK"/>
        </w:rPr>
      </w:pPr>
    </w:p>
    <w:p w:rsidR="00AD3C19">
      <w:pPr>
        <w:bidi w:val="0"/>
        <w:rPr>
          <w:rFonts w:ascii="Times New Roman" w:hAnsi="Times New Roman"/>
          <w:b/>
          <w:sz w:val="24"/>
        </w:rPr>
      </w:pPr>
    </w:p>
    <w:p w:rsidR="00596981">
      <w:pPr>
        <w:bidi w:val="0"/>
        <w:rPr>
          <w:rFonts w:ascii="Times New Roman" w:hAnsi="Times New Roman"/>
          <w:b/>
          <w:sz w:val="24"/>
        </w:rPr>
      </w:pPr>
    </w:p>
    <w:p w:rsidR="00AD3C19" w:rsidP="00AD3C19">
      <w:pPr>
        <w:pStyle w:val="ListParagraph"/>
        <w:numPr>
          <w:numId w:val="1"/>
        </w:numPr>
        <w:bidi w:val="0"/>
        <w:spacing w:after="0" w:line="240" w:lineRule="auto"/>
        <w:jc w:val="both"/>
        <w:rPr>
          <w:rFonts w:ascii="Times New Roman" w:hAnsi="Times New Roman"/>
          <w:b/>
          <w:sz w:val="24"/>
        </w:rPr>
      </w:pPr>
      <w:r>
        <w:rPr>
          <w:rFonts w:ascii="Times New Roman" w:hAnsi="Times New Roman"/>
          <w:b/>
          <w:sz w:val="24"/>
        </w:rPr>
        <w:t>Osobitná časť</w:t>
      </w:r>
    </w:p>
    <w:p w:rsidR="00AD3C19" w:rsidRPr="00AD3C19" w:rsidP="00AD3C19">
      <w:pPr>
        <w:bidi w:val="0"/>
        <w:spacing w:after="0" w:line="240" w:lineRule="auto"/>
        <w:jc w:val="both"/>
        <w:rPr>
          <w:rFonts w:ascii="Times New Roman" w:hAnsi="Times New Roman"/>
          <w:b/>
          <w:sz w:val="24"/>
        </w:rPr>
      </w:pPr>
    </w:p>
    <w:p w:rsidR="006D5932" w:rsidRPr="005E7F51" w:rsidP="005E7F51">
      <w:pPr>
        <w:bidi w:val="0"/>
        <w:spacing w:after="0" w:line="240" w:lineRule="auto"/>
        <w:jc w:val="both"/>
        <w:rPr>
          <w:rFonts w:ascii="Times New Roman" w:hAnsi="Times New Roman"/>
          <w:b/>
          <w:sz w:val="24"/>
        </w:rPr>
      </w:pPr>
      <w:r w:rsidRPr="005E7F51" w:rsidR="005E7F51">
        <w:rPr>
          <w:rFonts w:ascii="Times New Roman" w:hAnsi="Times New Roman"/>
          <w:b/>
          <w:sz w:val="24"/>
        </w:rPr>
        <w:t xml:space="preserve">K </w:t>
      </w:r>
      <w:r w:rsidRPr="005E7F51">
        <w:rPr>
          <w:rFonts w:ascii="Times New Roman" w:hAnsi="Times New Roman"/>
          <w:b/>
          <w:sz w:val="24"/>
        </w:rPr>
        <w:t>Čl. I</w:t>
      </w:r>
    </w:p>
    <w:p w:rsidR="005E7F51" w:rsidP="005E7F51">
      <w:pPr>
        <w:bidi w:val="0"/>
        <w:spacing w:after="0" w:line="240" w:lineRule="auto"/>
        <w:jc w:val="both"/>
        <w:rPr>
          <w:rFonts w:ascii="Times New Roman" w:hAnsi="Times New Roman"/>
          <w:sz w:val="24"/>
        </w:rPr>
      </w:pPr>
    </w:p>
    <w:p w:rsidR="006D5932" w:rsidRPr="005E7F51" w:rsidP="005E7F51">
      <w:pPr>
        <w:bidi w:val="0"/>
        <w:spacing w:after="0" w:line="240" w:lineRule="auto"/>
        <w:jc w:val="both"/>
        <w:rPr>
          <w:rFonts w:ascii="Times New Roman" w:hAnsi="Times New Roman"/>
          <w:sz w:val="24"/>
          <w:u w:val="single"/>
        </w:rPr>
      </w:pPr>
      <w:r w:rsidRPr="005E7F51" w:rsidR="005E7F51">
        <w:rPr>
          <w:rFonts w:ascii="Times New Roman" w:hAnsi="Times New Roman"/>
          <w:sz w:val="24"/>
          <w:u w:val="single"/>
        </w:rPr>
        <w:t>K b</w:t>
      </w:r>
      <w:r w:rsidRPr="005E7F51">
        <w:rPr>
          <w:rFonts w:ascii="Times New Roman" w:hAnsi="Times New Roman"/>
          <w:sz w:val="24"/>
          <w:u w:val="single"/>
        </w:rPr>
        <w:t>od</w:t>
      </w:r>
      <w:r w:rsidRPr="005E7F51" w:rsidR="005E7F51">
        <w:rPr>
          <w:rFonts w:ascii="Times New Roman" w:hAnsi="Times New Roman"/>
          <w:sz w:val="24"/>
          <w:u w:val="single"/>
        </w:rPr>
        <w:t>u</w:t>
      </w:r>
      <w:r w:rsidRPr="005E7F51">
        <w:rPr>
          <w:rFonts w:ascii="Times New Roman" w:hAnsi="Times New Roman"/>
          <w:sz w:val="24"/>
          <w:u w:val="single"/>
        </w:rPr>
        <w:t xml:space="preserve"> 1</w:t>
      </w:r>
    </w:p>
    <w:p w:rsidR="005E7F51" w:rsidP="005E7F51">
      <w:pPr>
        <w:bidi w:val="0"/>
        <w:spacing w:after="0" w:line="240" w:lineRule="auto"/>
        <w:jc w:val="both"/>
        <w:rPr>
          <w:rFonts w:ascii="Times New Roman" w:hAnsi="Times New Roman"/>
          <w:sz w:val="24"/>
        </w:rPr>
      </w:pPr>
    </w:p>
    <w:p w:rsidR="005E7F51" w:rsidP="005E7F51">
      <w:pPr>
        <w:bidi w:val="0"/>
        <w:spacing w:after="0" w:line="240" w:lineRule="auto"/>
        <w:ind w:firstLine="708"/>
        <w:jc w:val="both"/>
        <w:rPr>
          <w:rFonts w:ascii="Times New Roman" w:hAnsi="Times New Roman"/>
          <w:sz w:val="24"/>
        </w:rPr>
      </w:pPr>
      <w:r>
        <w:rPr>
          <w:rFonts w:ascii="Times New Roman" w:hAnsi="Times New Roman"/>
          <w:sz w:val="24"/>
        </w:rPr>
        <w:t>Ide o legislatívno-technickú úpravu v dôsledku zmeny štruktúry § 115.</w:t>
      </w:r>
    </w:p>
    <w:p w:rsidR="005E7F51"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2</w:t>
      </w:r>
    </w:p>
    <w:p w:rsidR="005E7F51" w:rsidRPr="005E7F51" w:rsidP="005E7F51">
      <w:pPr>
        <w:bidi w:val="0"/>
        <w:spacing w:after="0" w:line="240" w:lineRule="auto"/>
        <w:jc w:val="both"/>
        <w:rPr>
          <w:rFonts w:ascii="Times New Roman" w:hAnsi="Times New Roman"/>
          <w:sz w:val="24"/>
        </w:rPr>
      </w:pPr>
    </w:p>
    <w:p w:rsidR="006D5932" w:rsidRPr="005E7F51" w:rsidP="005E7F51">
      <w:pPr>
        <w:bidi w:val="0"/>
        <w:spacing w:after="0" w:line="240" w:lineRule="auto"/>
        <w:ind w:firstLine="708"/>
        <w:jc w:val="both"/>
        <w:rPr>
          <w:rFonts w:ascii="Times New Roman" w:hAnsi="Times New Roman"/>
          <w:sz w:val="24"/>
        </w:rPr>
      </w:pPr>
      <w:r w:rsidRPr="005E7F51">
        <w:rPr>
          <w:rFonts w:ascii="Times New Roman" w:hAnsi="Times New Roman"/>
          <w:sz w:val="24"/>
        </w:rPr>
        <w:t>Upravuje sa povinnosť žalobcu v osobitných prípadoch opísať ďalšie rozhodujúce skutočnosti a pripojiť dôkazy, ak ide o uplatňovania nárokov zo zmenky. Účelom doplnenia ustanoveni</w:t>
      </w:r>
      <w:r w:rsidRPr="005E7F51" w:rsidR="00D05BB9">
        <w:rPr>
          <w:rFonts w:ascii="Times New Roman" w:hAnsi="Times New Roman"/>
          <w:sz w:val="24"/>
        </w:rPr>
        <w:t xml:space="preserve">a je umožniť súdu zistiť, či je </w:t>
      </w:r>
      <w:r w:rsidRPr="005E7F51">
        <w:rPr>
          <w:rFonts w:ascii="Times New Roman" w:hAnsi="Times New Roman"/>
          <w:sz w:val="24"/>
        </w:rPr>
        <w:t>potrebné uplatniť oso</w:t>
      </w:r>
      <w:r w:rsidRPr="005E7F51" w:rsidR="00D05BB9">
        <w:rPr>
          <w:rFonts w:ascii="Times New Roman" w:hAnsi="Times New Roman"/>
          <w:sz w:val="24"/>
        </w:rPr>
        <w:t xml:space="preserve">bitnú ochranu </w:t>
      </w:r>
      <w:r w:rsidRPr="005E7F51">
        <w:rPr>
          <w:rFonts w:ascii="Times New Roman" w:hAnsi="Times New Roman"/>
          <w:sz w:val="24"/>
        </w:rPr>
        <w:t xml:space="preserve"> </w:t>
      </w:r>
      <w:r w:rsidRPr="005E7F51" w:rsidR="00D05BB9">
        <w:rPr>
          <w:rFonts w:ascii="Times New Roman" w:hAnsi="Times New Roman"/>
          <w:sz w:val="24"/>
        </w:rPr>
        <w:t>žalovanému, ktorý je spotrebiteľom. Aj právny nástupca remitenta je povinný preukazovať skutočnosti týkajúce sa pôvodného právneho vzťahu, z ktorého zmenka vznikla, keďže podľa osobitných predpisov je súd povinný prihliadať napr. na neprijateľné zmluvné podmienky z úradnej povinnosti.  Odsek 4 zavádza vyvrátiteľnú domnienku voči žalovanému, ktorý je fyzickou osobou. Uvedené pravidlá sa použijú aj v prípadoch uplatnenia nárokov zo šeku.</w:t>
      </w:r>
    </w:p>
    <w:p w:rsidR="005E7F51" w:rsidP="005E7F51">
      <w:pPr>
        <w:bidi w:val="0"/>
        <w:spacing w:after="0" w:line="240" w:lineRule="auto"/>
        <w:jc w:val="both"/>
        <w:rPr>
          <w:rFonts w:ascii="Times New Roman" w:hAnsi="Times New Roman"/>
          <w:sz w:val="24"/>
        </w:rPr>
      </w:pPr>
    </w:p>
    <w:p w:rsidR="00DD3939" w:rsidRPr="005E7F51" w:rsidP="005E7F51">
      <w:pPr>
        <w:bidi w:val="0"/>
        <w:spacing w:after="0" w:line="240" w:lineRule="auto"/>
        <w:jc w:val="both"/>
        <w:rPr>
          <w:rFonts w:ascii="Times New Roman" w:hAnsi="Times New Roman"/>
          <w:sz w:val="24"/>
          <w:u w:val="single"/>
        </w:rPr>
      </w:pPr>
      <w:r w:rsidRPr="005E7F51" w:rsidR="005E7F51">
        <w:rPr>
          <w:rFonts w:ascii="Times New Roman" w:hAnsi="Times New Roman"/>
          <w:sz w:val="24"/>
          <w:u w:val="single"/>
        </w:rPr>
        <w:t xml:space="preserve">K bodu </w:t>
      </w:r>
      <w:r w:rsidRPr="005E7F51">
        <w:rPr>
          <w:rFonts w:ascii="Times New Roman" w:hAnsi="Times New Roman"/>
          <w:sz w:val="24"/>
          <w:u w:val="single"/>
        </w:rPr>
        <w:t>3</w:t>
      </w:r>
    </w:p>
    <w:p w:rsidR="005E7F51" w:rsidRPr="005E7F51" w:rsidP="005E7F51">
      <w:pPr>
        <w:bidi w:val="0"/>
        <w:spacing w:after="0" w:line="240" w:lineRule="auto"/>
        <w:jc w:val="both"/>
        <w:rPr>
          <w:rFonts w:ascii="Times New Roman" w:hAnsi="Times New Roman"/>
          <w:sz w:val="24"/>
        </w:rPr>
      </w:pPr>
    </w:p>
    <w:p w:rsidR="00DD3939" w:rsidRPr="005E7F51" w:rsidP="005E7F51">
      <w:pPr>
        <w:bidi w:val="0"/>
        <w:spacing w:after="0" w:line="240" w:lineRule="auto"/>
        <w:ind w:firstLine="708"/>
        <w:jc w:val="both"/>
        <w:rPr>
          <w:rFonts w:ascii="Times New Roman" w:hAnsi="Times New Roman"/>
          <w:sz w:val="24"/>
        </w:rPr>
      </w:pPr>
      <w:r w:rsidRPr="005E7F51">
        <w:rPr>
          <w:rFonts w:ascii="Times New Roman" w:hAnsi="Times New Roman"/>
          <w:sz w:val="24"/>
        </w:rPr>
        <w:t>Upravuje sa osobitná manudukčná povinnosť súdu v prípadoch uplatňovania nárokov zo zmenky, ktorá vznikla v súvislosti so spotrebiteľskou zmluvou.</w:t>
      </w:r>
    </w:p>
    <w:p w:rsidR="005E7F51" w:rsidP="005E7F51">
      <w:pPr>
        <w:bidi w:val="0"/>
        <w:spacing w:after="0" w:line="240" w:lineRule="auto"/>
        <w:jc w:val="both"/>
        <w:rPr>
          <w:rFonts w:ascii="Times New Roman" w:hAnsi="Times New Roman"/>
          <w:sz w:val="24"/>
        </w:rPr>
      </w:pPr>
    </w:p>
    <w:p w:rsidR="00DD3939" w:rsidRPr="005E7F51" w:rsidP="005E7F51">
      <w:pPr>
        <w:bidi w:val="0"/>
        <w:spacing w:after="0" w:line="240" w:lineRule="auto"/>
        <w:jc w:val="both"/>
        <w:rPr>
          <w:rFonts w:ascii="Times New Roman" w:hAnsi="Times New Roman"/>
          <w:sz w:val="24"/>
          <w:u w:val="single"/>
        </w:rPr>
      </w:pPr>
      <w:r w:rsidRPr="005E7F51" w:rsidR="005E7F51">
        <w:rPr>
          <w:rFonts w:ascii="Times New Roman" w:hAnsi="Times New Roman"/>
          <w:sz w:val="24"/>
          <w:u w:val="single"/>
        </w:rPr>
        <w:t xml:space="preserve">K bodu </w:t>
      </w:r>
      <w:r w:rsidRPr="005E7F51">
        <w:rPr>
          <w:rFonts w:ascii="Times New Roman" w:hAnsi="Times New Roman"/>
          <w:sz w:val="24"/>
          <w:u w:val="single"/>
        </w:rPr>
        <w:t>4</w:t>
      </w:r>
    </w:p>
    <w:p w:rsidR="005E7F51" w:rsidRPr="005E7F51" w:rsidP="005E7F51">
      <w:pPr>
        <w:bidi w:val="0"/>
        <w:spacing w:after="0" w:line="240" w:lineRule="auto"/>
        <w:jc w:val="both"/>
        <w:rPr>
          <w:rFonts w:ascii="Times New Roman" w:hAnsi="Times New Roman"/>
          <w:sz w:val="24"/>
        </w:rPr>
      </w:pPr>
    </w:p>
    <w:p w:rsidR="00DD3939" w:rsidRPr="005E7F51" w:rsidP="005E7F51">
      <w:pPr>
        <w:bidi w:val="0"/>
        <w:spacing w:after="0" w:line="240" w:lineRule="auto"/>
        <w:ind w:firstLine="708"/>
        <w:jc w:val="both"/>
        <w:rPr>
          <w:rFonts w:ascii="Times New Roman" w:hAnsi="Times New Roman"/>
          <w:sz w:val="24"/>
        </w:rPr>
      </w:pPr>
      <w:r w:rsidRPr="005E7F51">
        <w:rPr>
          <w:rFonts w:ascii="Times New Roman" w:hAnsi="Times New Roman"/>
          <w:sz w:val="24"/>
        </w:rPr>
        <w:t>Upravuje sa povinnosť súdu obligatórne nariadiť pojednávanie, ak ide o vec týkajúcu sa uplatňovania  nárokov zo zmenky voči fyzickej osobe. To platí aj pre prípady, kedy sa konanie vedie podľa osobitných predpisov (napr. Nariadenie EP a Rady (ES) č. 861/2007 z 11. júla 2007, ktorým sa ustanovuje Európske konanie vo veciach s nízkou hodnotou sporu).</w:t>
      </w:r>
    </w:p>
    <w:p w:rsidR="00DD3939"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5</w:t>
      </w:r>
    </w:p>
    <w:p w:rsidR="005E7F51" w:rsidP="005E7F51">
      <w:pPr>
        <w:bidi w:val="0"/>
        <w:spacing w:after="0" w:line="240" w:lineRule="auto"/>
        <w:jc w:val="both"/>
        <w:rPr>
          <w:rFonts w:ascii="Times New Roman" w:hAnsi="Times New Roman"/>
          <w:sz w:val="24"/>
        </w:rPr>
      </w:pPr>
    </w:p>
    <w:p w:rsidR="005E7F51" w:rsidP="005E7F51">
      <w:pPr>
        <w:bidi w:val="0"/>
        <w:spacing w:after="0" w:line="240" w:lineRule="auto"/>
        <w:ind w:firstLine="708"/>
        <w:jc w:val="both"/>
        <w:rPr>
          <w:rFonts w:ascii="Times New Roman" w:hAnsi="Times New Roman"/>
          <w:sz w:val="24"/>
        </w:rPr>
      </w:pPr>
      <w:r>
        <w:rPr>
          <w:rFonts w:ascii="Times New Roman" w:hAnsi="Times New Roman"/>
          <w:sz w:val="24"/>
        </w:rPr>
        <w:t>Ide o legislatívno-technickú úpravu v dôsledku zmeny štruktúry § 79 a § 115.</w:t>
      </w:r>
    </w:p>
    <w:p w:rsidR="005E7F51"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6</w:t>
      </w:r>
    </w:p>
    <w:p w:rsidR="005E7F51" w:rsidP="005E7F51">
      <w:pPr>
        <w:bidi w:val="0"/>
        <w:spacing w:after="0" w:line="240" w:lineRule="auto"/>
        <w:jc w:val="both"/>
        <w:rPr>
          <w:rFonts w:ascii="Times New Roman" w:hAnsi="Times New Roman"/>
          <w:sz w:val="24"/>
        </w:rPr>
      </w:pPr>
    </w:p>
    <w:p w:rsidR="005E7F51" w:rsidP="005E7F51">
      <w:pPr>
        <w:bidi w:val="0"/>
        <w:spacing w:after="0" w:line="240" w:lineRule="auto"/>
        <w:ind w:firstLine="708"/>
        <w:jc w:val="both"/>
        <w:rPr>
          <w:rFonts w:ascii="Times New Roman" w:hAnsi="Times New Roman"/>
          <w:sz w:val="24"/>
        </w:rPr>
      </w:pPr>
      <w:r w:rsidRPr="005E7F51">
        <w:rPr>
          <w:rFonts w:ascii="Times New Roman" w:hAnsi="Times New Roman"/>
          <w:sz w:val="24"/>
        </w:rPr>
        <w:t>Vypúšťa sa právna úprava zmenkového platobného rozkazu a šekového platobného rozkazu v súlade s</w:t>
      </w:r>
      <w:r w:rsidR="00A322B5">
        <w:rPr>
          <w:rFonts w:ascii="Times New Roman" w:hAnsi="Times New Roman"/>
          <w:sz w:val="24"/>
        </w:rPr>
        <w:t> koncepciou</w:t>
      </w:r>
      <w:r w:rsidRPr="005E7F51">
        <w:rPr>
          <w:rFonts w:ascii="Times New Roman" w:hAnsi="Times New Roman"/>
          <w:sz w:val="24"/>
        </w:rPr>
        <w:t> </w:t>
      </w:r>
      <w:r w:rsidR="00A322B5">
        <w:rPr>
          <w:rFonts w:ascii="Times New Roman" w:hAnsi="Times New Roman"/>
          <w:sz w:val="24"/>
        </w:rPr>
        <w:t>Civilného</w:t>
      </w:r>
      <w:r w:rsidRPr="005E7F51">
        <w:rPr>
          <w:rFonts w:ascii="Times New Roman" w:hAnsi="Times New Roman"/>
          <w:sz w:val="24"/>
        </w:rPr>
        <w:t xml:space="preserve"> </w:t>
      </w:r>
      <w:r w:rsidR="00A322B5">
        <w:rPr>
          <w:rFonts w:ascii="Times New Roman" w:hAnsi="Times New Roman"/>
          <w:sz w:val="24"/>
        </w:rPr>
        <w:t>sporového poriadku</w:t>
      </w:r>
      <w:r w:rsidRPr="005E7F51">
        <w:rPr>
          <w:rFonts w:ascii="Times New Roman" w:hAnsi="Times New Roman"/>
          <w:sz w:val="24"/>
        </w:rPr>
        <w:t>.</w:t>
      </w:r>
    </w:p>
    <w:p w:rsidR="005E7F51"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7</w:t>
      </w:r>
    </w:p>
    <w:p w:rsidR="005E7F51" w:rsidP="005E7F51">
      <w:pPr>
        <w:bidi w:val="0"/>
        <w:spacing w:after="0" w:line="240" w:lineRule="auto"/>
        <w:jc w:val="both"/>
        <w:rPr>
          <w:rFonts w:ascii="Times New Roman" w:hAnsi="Times New Roman"/>
          <w:sz w:val="24"/>
        </w:rPr>
      </w:pPr>
    </w:p>
    <w:p w:rsidR="005E7F51" w:rsidP="00A322B5">
      <w:pPr>
        <w:bidi w:val="0"/>
        <w:spacing w:after="0" w:line="240" w:lineRule="auto"/>
        <w:ind w:firstLine="708"/>
        <w:jc w:val="both"/>
        <w:rPr>
          <w:rFonts w:ascii="Times New Roman" w:hAnsi="Times New Roman"/>
          <w:sz w:val="24"/>
        </w:rPr>
      </w:pPr>
      <w:r w:rsidR="00A322B5">
        <w:rPr>
          <w:rFonts w:ascii="Times New Roman" w:hAnsi="Times New Roman"/>
          <w:sz w:val="24"/>
        </w:rPr>
        <w:t>Zavádza sa nový dôvod obnovy konania, ktorého zmyslom je umožniť preskúmať nároky zo zmeniek, ktoré vznikli v súvislosti so spotrebiteľskými vzťahmi v takom konaní, ktoré je na to určené.</w:t>
      </w:r>
    </w:p>
    <w:p w:rsidR="005E7F51"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8</w:t>
      </w:r>
    </w:p>
    <w:p w:rsidR="005E7F51" w:rsidP="005E7F51">
      <w:pPr>
        <w:bidi w:val="0"/>
        <w:spacing w:after="0" w:line="240" w:lineRule="auto"/>
        <w:jc w:val="both"/>
        <w:rPr>
          <w:rFonts w:ascii="Times New Roman" w:hAnsi="Times New Roman"/>
          <w:sz w:val="24"/>
        </w:rPr>
      </w:pPr>
    </w:p>
    <w:p w:rsidR="005E7F51" w:rsidP="005E7F51">
      <w:pPr>
        <w:bidi w:val="0"/>
        <w:spacing w:after="0" w:line="240" w:lineRule="auto"/>
        <w:ind w:firstLine="708"/>
        <w:jc w:val="both"/>
        <w:rPr>
          <w:rFonts w:ascii="Times New Roman" w:hAnsi="Times New Roman"/>
          <w:sz w:val="24"/>
        </w:rPr>
      </w:pPr>
      <w:r>
        <w:rPr>
          <w:rFonts w:ascii="Times New Roman" w:hAnsi="Times New Roman"/>
          <w:sz w:val="24"/>
        </w:rPr>
        <w:t>Navrhuje sa, aby sú</w:t>
      </w:r>
      <w:r w:rsidR="00983394">
        <w:rPr>
          <w:rFonts w:ascii="Times New Roman" w:hAnsi="Times New Roman"/>
          <w:sz w:val="24"/>
        </w:rPr>
        <w:t>d</w:t>
      </w:r>
      <w:r>
        <w:rPr>
          <w:rFonts w:ascii="Times New Roman" w:hAnsi="Times New Roman"/>
          <w:sz w:val="24"/>
        </w:rPr>
        <w:t xml:space="preserve"> nemusel pojednávať pri novo zavádzanom dôvode obnovy konania, resp. bude na úvahe súdu, či pojednávanie nariadi alebo nie. </w:t>
      </w:r>
    </w:p>
    <w:p w:rsidR="005E7F51" w:rsidP="005E7F51">
      <w:pPr>
        <w:bidi w:val="0"/>
        <w:spacing w:after="0" w:line="240" w:lineRule="auto"/>
        <w:jc w:val="both"/>
        <w:rPr>
          <w:rFonts w:ascii="Times New Roman" w:hAnsi="Times New Roman"/>
          <w:sz w:val="24"/>
        </w:rPr>
      </w:pPr>
    </w:p>
    <w:p w:rsidR="005E7F51" w:rsidRPr="005E7F51" w:rsidP="005E7F51">
      <w:pPr>
        <w:bidi w:val="0"/>
        <w:spacing w:after="0" w:line="240" w:lineRule="auto"/>
        <w:jc w:val="both"/>
        <w:rPr>
          <w:rFonts w:ascii="Times New Roman" w:hAnsi="Times New Roman"/>
          <w:sz w:val="24"/>
          <w:u w:val="single"/>
        </w:rPr>
      </w:pPr>
      <w:r w:rsidRPr="005E7F51">
        <w:rPr>
          <w:rFonts w:ascii="Times New Roman" w:hAnsi="Times New Roman"/>
          <w:sz w:val="24"/>
          <w:u w:val="single"/>
        </w:rPr>
        <w:t>K bodu 9</w:t>
      </w:r>
    </w:p>
    <w:p w:rsidR="005E7F51" w:rsidP="005E7F51">
      <w:pPr>
        <w:bidi w:val="0"/>
        <w:spacing w:after="0" w:line="240" w:lineRule="auto"/>
        <w:jc w:val="both"/>
        <w:rPr>
          <w:rFonts w:ascii="Times New Roman" w:hAnsi="Times New Roman"/>
          <w:sz w:val="24"/>
        </w:rPr>
      </w:pPr>
    </w:p>
    <w:p w:rsidR="00A322B5" w:rsidP="00A322B5">
      <w:pPr>
        <w:bidi w:val="0"/>
        <w:spacing w:after="0" w:line="240" w:lineRule="auto"/>
        <w:ind w:firstLine="708"/>
        <w:jc w:val="both"/>
        <w:rPr>
          <w:rFonts w:ascii="Times New Roman" w:hAnsi="Times New Roman"/>
          <w:sz w:val="24"/>
        </w:rPr>
      </w:pPr>
      <w:r>
        <w:rPr>
          <w:rFonts w:ascii="Times New Roman" w:hAnsi="Times New Roman"/>
          <w:sz w:val="24"/>
        </w:rPr>
        <w:t xml:space="preserve">Navrhuje sa, aby sa nová právna úprava aplikovala aj v prebiehajúcich súdnych konaniach. </w:t>
      </w:r>
    </w:p>
    <w:p w:rsidR="00A322B5" w:rsidP="00A322B5">
      <w:pPr>
        <w:bidi w:val="0"/>
        <w:spacing w:after="0" w:line="240" w:lineRule="auto"/>
        <w:jc w:val="both"/>
        <w:rPr>
          <w:rFonts w:ascii="Times New Roman" w:hAnsi="Times New Roman"/>
          <w:sz w:val="24"/>
        </w:rPr>
      </w:pPr>
    </w:p>
    <w:p w:rsidR="00A322B5" w:rsidRPr="00A322B5" w:rsidP="00A322B5">
      <w:pPr>
        <w:bidi w:val="0"/>
        <w:spacing w:after="0" w:line="240" w:lineRule="auto"/>
        <w:jc w:val="both"/>
        <w:rPr>
          <w:rFonts w:ascii="Times New Roman" w:hAnsi="Times New Roman"/>
          <w:b/>
          <w:sz w:val="24"/>
        </w:rPr>
      </w:pPr>
      <w:r w:rsidRPr="00A322B5">
        <w:rPr>
          <w:rFonts w:ascii="Times New Roman" w:hAnsi="Times New Roman"/>
          <w:b/>
          <w:sz w:val="24"/>
        </w:rPr>
        <w:t>K čl. II</w:t>
      </w:r>
    </w:p>
    <w:p w:rsidR="00A322B5" w:rsidP="00A322B5">
      <w:pPr>
        <w:bidi w:val="0"/>
        <w:spacing w:after="0" w:line="240" w:lineRule="auto"/>
        <w:jc w:val="both"/>
        <w:rPr>
          <w:rFonts w:ascii="Times New Roman" w:hAnsi="Times New Roman"/>
          <w:sz w:val="24"/>
        </w:rPr>
      </w:pPr>
    </w:p>
    <w:p w:rsidR="00A322B5" w:rsidRPr="00A322B5" w:rsidP="00A322B5">
      <w:pPr>
        <w:bidi w:val="0"/>
        <w:spacing w:after="0" w:line="240" w:lineRule="auto"/>
        <w:jc w:val="both"/>
        <w:rPr>
          <w:rFonts w:ascii="Times New Roman" w:hAnsi="Times New Roman"/>
          <w:sz w:val="24"/>
          <w:u w:val="single"/>
        </w:rPr>
      </w:pPr>
      <w:r w:rsidRPr="00A322B5">
        <w:rPr>
          <w:rFonts w:ascii="Times New Roman" w:hAnsi="Times New Roman"/>
          <w:sz w:val="24"/>
          <w:u w:val="single"/>
        </w:rPr>
        <w:t>K bodu 1</w:t>
      </w:r>
    </w:p>
    <w:p w:rsidR="00A322B5" w:rsidP="00A322B5">
      <w:pPr>
        <w:bidi w:val="0"/>
        <w:spacing w:after="0" w:line="240" w:lineRule="auto"/>
        <w:jc w:val="both"/>
        <w:rPr>
          <w:rFonts w:ascii="Times New Roman" w:hAnsi="Times New Roman"/>
          <w:sz w:val="24"/>
        </w:rPr>
      </w:pPr>
    </w:p>
    <w:p w:rsidR="00A322B5" w:rsidP="00A322B5">
      <w:pPr>
        <w:bidi w:val="0"/>
        <w:spacing w:after="0" w:line="240" w:lineRule="auto"/>
        <w:ind w:firstLine="708"/>
        <w:jc w:val="both"/>
        <w:rPr>
          <w:rFonts w:ascii="Times New Roman" w:hAnsi="Times New Roman"/>
          <w:sz w:val="24"/>
        </w:rPr>
      </w:pPr>
      <w:r>
        <w:rPr>
          <w:rFonts w:ascii="Times New Roman" w:hAnsi="Times New Roman"/>
          <w:sz w:val="24"/>
        </w:rPr>
        <w:t>Upresňuje sa možnosť vznášania kauzálnych námietok upravenú doposiaľ v osobitných právnych predpisoch týkajúcich sa ochrany spotrebiteľa</w:t>
      </w:r>
      <w:r w:rsidR="0098121C">
        <w:rPr>
          <w:rFonts w:ascii="Times New Roman" w:hAnsi="Times New Roman"/>
          <w:sz w:val="24"/>
        </w:rPr>
        <w:t xml:space="preserve">. V týchto prípadoch sú prípustné kauzálne námietky vždy. </w:t>
      </w:r>
    </w:p>
    <w:p w:rsidR="00A322B5" w:rsidP="00A322B5">
      <w:pPr>
        <w:bidi w:val="0"/>
        <w:spacing w:after="0" w:line="240" w:lineRule="auto"/>
        <w:jc w:val="both"/>
        <w:rPr>
          <w:rFonts w:ascii="Times New Roman" w:hAnsi="Times New Roman"/>
          <w:sz w:val="24"/>
        </w:rPr>
      </w:pPr>
    </w:p>
    <w:p w:rsidR="006D084B" w:rsidP="00A322B5">
      <w:pPr>
        <w:bidi w:val="0"/>
        <w:spacing w:after="0" w:line="240" w:lineRule="auto"/>
        <w:jc w:val="both"/>
        <w:rPr>
          <w:rFonts w:ascii="Times New Roman" w:hAnsi="Times New Roman"/>
          <w:sz w:val="24"/>
          <w:u w:val="single"/>
        </w:rPr>
      </w:pPr>
      <w:r w:rsidRPr="006D084B">
        <w:rPr>
          <w:rFonts w:ascii="Times New Roman" w:hAnsi="Times New Roman"/>
          <w:sz w:val="24"/>
          <w:u w:val="single"/>
        </w:rPr>
        <w:t>K bodu 2</w:t>
      </w:r>
    </w:p>
    <w:p w:rsidR="000153E0" w:rsidP="00A322B5">
      <w:pPr>
        <w:bidi w:val="0"/>
        <w:spacing w:after="0" w:line="240" w:lineRule="auto"/>
        <w:jc w:val="both"/>
        <w:rPr>
          <w:rFonts w:ascii="Times New Roman" w:hAnsi="Times New Roman"/>
          <w:sz w:val="24"/>
          <w:u w:val="single"/>
        </w:rPr>
      </w:pPr>
    </w:p>
    <w:p w:rsidR="005F5746" w:rsidP="005F5746">
      <w:pPr>
        <w:bidi w:val="0"/>
        <w:spacing w:after="0" w:line="240" w:lineRule="auto"/>
        <w:ind w:firstLine="708"/>
        <w:jc w:val="both"/>
        <w:rPr>
          <w:rFonts w:ascii="Times New Roman" w:hAnsi="Times New Roman"/>
          <w:sz w:val="24"/>
        </w:rPr>
      </w:pPr>
      <w:r>
        <w:rPr>
          <w:rFonts w:ascii="Times New Roman" w:hAnsi="Times New Roman"/>
          <w:sz w:val="24"/>
        </w:rPr>
        <w:t xml:space="preserve">Navrhuje sa výslovne upraviť povinnosť súdu z úradnej moci prihliadať na postavenie žalovaného zo zmenky ako spotrebiteľa, pokiaľ zmenka vznikla v súvislosti so spotrebiteľskou zmluvou. Uvedená povinnosť sa zavádza do predmetného zákona, hoci táto povinnosť už vyplýva zo zákona </w:t>
      </w:r>
      <w:r w:rsidRPr="005F5746">
        <w:rPr>
          <w:rFonts w:ascii="Times New Roman" w:hAnsi="Times New Roman"/>
          <w:sz w:val="24"/>
        </w:rPr>
        <w:t>č. 250/2007 Z.z. o ochrane spotrebiteľa a o zmene zákona Slovenskej národnej rady č. 372/1990 Zb. o priestupkoch v znení neskorších predpisov</w:t>
      </w:r>
      <w:r>
        <w:rPr>
          <w:rFonts w:ascii="Times New Roman" w:hAnsi="Times New Roman"/>
          <w:sz w:val="24"/>
        </w:rPr>
        <w:t xml:space="preserve">, ako aj z judikatúry Súdneho dvora Európskej únie. </w:t>
      </w:r>
    </w:p>
    <w:p w:rsidR="00CF1E94" w:rsidP="00A322B5">
      <w:pPr>
        <w:bidi w:val="0"/>
        <w:spacing w:after="0" w:line="240" w:lineRule="auto"/>
        <w:jc w:val="both"/>
        <w:rPr>
          <w:rFonts w:ascii="Times New Roman" w:hAnsi="Times New Roman"/>
          <w:sz w:val="24"/>
        </w:rPr>
      </w:pPr>
    </w:p>
    <w:p w:rsidR="00A322B5" w:rsidRPr="00A322B5" w:rsidP="00A322B5">
      <w:pPr>
        <w:bidi w:val="0"/>
        <w:spacing w:after="0" w:line="240" w:lineRule="auto"/>
        <w:jc w:val="both"/>
        <w:rPr>
          <w:rFonts w:ascii="Times New Roman" w:hAnsi="Times New Roman"/>
          <w:sz w:val="24"/>
          <w:u w:val="single"/>
        </w:rPr>
      </w:pPr>
      <w:r w:rsidR="006D084B">
        <w:rPr>
          <w:rFonts w:ascii="Times New Roman" w:hAnsi="Times New Roman"/>
          <w:sz w:val="24"/>
          <w:u w:val="single"/>
        </w:rPr>
        <w:t>K bodu 3</w:t>
      </w:r>
    </w:p>
    <w:p w:rsidR="00A322B5" w:rsidP="00A322B5">
      <w:pPr>
        <w:bidi w:val="0"/>
        <w:spacing w:after="0" w:line="240" w:lineRule="auto"/>
        <w:jc w:val="both"/>
        <w:rPr>
          <w:rFonts w:ascii="Times New Roman" w:hAnsi="Times New Roman"/>
          <w:sz w:val="24"/>
        </w:rPr>
      </w:pPr>
    </w:p>
    <w:p w:rsidR="00A322B5" w:rsidP="0098121C">
      <w:pPr>
        <w:bidi w:val="0"/>
        <w:spacing w:after="0" w:line="240" w:lineRule="auto"/>
        <w:ind w:firstLine="708"/>
        <w:jc w:val="both"/>
        <w:rPr>
          <w:rFonts w:ascii="Times New Roman" w:hAnsi="Times New Roman"/>
          <w:sz w:val="24"/>
        </w:rPr>
      </w:pPr>
      <w:r w:rsidR="0098121C">
        <w:rPr>
          <w:rFonts w:ascii="Times New Roman" w:hAnsi="Times New Roman"/>
          <w:sz w:val="24"/>
        </w:rPr>
        <w:t xml:space="preserve">V súlade s osobitnými predpismi týkajúcimi sa ochrany spotrebiteľa sa upravuje neplatnosť niektorých zmenových alebo šekových prejavov. </w:t>
      </w:r>
    </w:p>
    <w:p w:rsidR="0098121C" w:rsidP="0098121C">
      <w:pPr>
        <w:bidi w:val="0"/>
        <w:spacing w:after="0" w:line="240" w:lineRule="auto"/>
        <w:jc w:val="both"/>
        <w:rPr>
          <w:rFonts w:ascii="Times New Roman" w:hAnsi="Times New Roman"/>
          <w:sz w:val="24"/>
        </w:rPr>
      </w:pPr>
    </w:p>
    <w:p w:rsidR="0098121C" w:rsidRPr="00AD3C19" w:rsidP="0098121C">
      <w:pPr>
        <w:bidi w:val="0"/>
        <w:spacing w:after="0" w:line="240" w:lineRule="auto"/>
        <w:jc w:val="both"/>
        <w:rPr>
          <w:rFonts w:ascii="Times New Roman" w:hAnsi="Times New Roman"/>
          <w:b/>
          <w:sz w:val="24"/>
        </w:rPr>
      </w:pPr>
      <w:r w:rsidRPr="00AD3C19">
        <w:rPr>
          <w:rFonts w:ascii="Times New Roman" w:hAnsi="Times New Roman"/>
          <w:b/>
          <w:sz w:val="24"/>
        </w:rPr>
        <w:t>K čl. III</w:t>
      </w:r>
    </w:p>
    <w:p w:rsidR="0098121C" w:rsidP="0098121C">
      <w:pPr>
        <w:bidi w:val="0"/>
        <w:spacing w:after="0" w:line="240" w:lineRule="auto"/>
        <w:jc w:val="both"/>
        <w:rPr>
          <w:rFonts w:ascii="Times New Roman" w:hAnsi="Times New Roman"/>
          <w:sz w:val="24"/>
        </w:rPr>
      </w:pPr>
    </w:p>
    <w:p w:rsidR="0098121C" w:rsidRPr="0098121C" w:rsidP="0098121C">
      <w:pPr>
        <w:bidi w:val="0"/>
        <w:spacing w:after="0" w:line="240" w:lineRule="auto"/>
        <w:jc w:val="both"/>
        <w:rPr>
          <w:rFonts w:ascii="Times New Roman" w:hAnsi="Times New Roman"/>
          <w:sz w:val="24"/>
          <w:u w:val="single"/>
        </w:rPr>
      </w:pPr>
      <w:r w:rsidRPr="0098121C">
        <w:rPr>
          <w:rFonts w:ascii="Times New Roman" w:hAnsi="Times New Roman"/>
          <w:sz w:val="24"/>
          <w:u w:val="single"/>
        </w:rPr>
        <w:t>K bodu 1</w:t>
      </w:r>
    </w:p>
    <w:p w:rsidR="0098121C" w:rsidP="0098121C">
      <w:pPr>
        <w:bidi w:val="0"/>
        <w:spacing w:after="0" w:line="240" w:lineRule="auto"/>
        <w:jc w:val="both"/>
        <w:rPr>
          <w:rFonts w:ascii="Times New Roman" w:hAnsi="Times New Roman"/>
          <w:sz w:val="24"/>
        </w:rPr>
      </w:pPr>
    </w:p>
    <w:p w:rsidR="0098121C" w:rsidP="007F6DB1">
      <w:pPr>
        <w:bidi w:val="0"/>
        <w:spacing w:after="0" w:line="240" w:lineRule="auto"/>
        <w:ind w:firstLine="708"/>
        <w:jc w:val="both"/>
        <w:rPr>
          <w:rFonts w:ascii="Times New Roman" w:hAnsi="Times New Roman"/>
          <w:sz w:val="24"/>
        </w:rPr>
      </w:pPr>
      <w:r w:rsidRPr="005E7F51" w:rsidR="007F6DB1">
        <w:rPr>
          <w:rFonts w:ascii="Times New Roman" w:hAnsi="Times New Roman"/>
          <w:sz w:val="24"/>
        </w:rPr>
        <w:t>U</w:t>
      </w:r>
      <w:r w:rsidR="007F6DB1">
        <w:rPr>
          <w:rFonts w:ascii="Times New Roman" w:hAnsi="Times New Roman"/>
          <w:sz w:val="24"/>
        </w:rPr>
        <w:t>pravujú</w:t>
      </w:r>
      <w:r w:rsidRPr="005E7F51" w:rsidR="007F6DB1">
        <w:rPr>
          <w:rFonts w:ascii="Times New Roman" w:hAnsi="Times New Roman"/>
          <w:sz w:val="24"/>
        </w:rPr>
        <w:t xml:space="preserve"> sa </w:t>
      </w:r>
      <w:r w:rsidR="007F6DB1">
        <w:rPr>
          <w:rFonts w:ascii="Times New Roman" w:hAnsi="Times New Roman"/>
          <w:sz w:val="24"/>
        </w:rPr>
        <w:t xml:space="preserve">náležitosti návrhu na vykonanie exekúcie v osobitných prípadoch. </w:t>
      </w:r>
      <w:r w:rsidRPr="005E7F51" w:rsidR="007F6DB1">
        <w:rPr>
          <w:rFonts w:ascii="Times New Roman" w:hAnsi="Times New Roman"/>
          <w:sz w:val="24"/>
        </w:rPr>
        <w:t xml:space="preserve">Účelom doplnenia ustanovenia je umožniť súdu zistiť, či je potrebné uplatniť osobitnú ochranu  </w:t>
      </w:r>
      <w:r w:rsidR="007F6DB1">
        <w:rPr>
          <w:rFonts w:ascii="Times New Roman" w:hAnsi="Times New Roman"/>
          <w:sz w:val="24"/>
        </w:rPr>
        <w:t>povinnému</w:t>
      </w:r>
      <w:r w:rsidRPr="005E7F51" w:rsidR="007F6DB1">
        <w:rPr>
          <w:rFonts w:ascii="Times New Roman" w:hAnsi="Times New Roman"/>
          <w:sz w:val="24"/>
        </w:rPr>
        <w:t xml:space="preserve">, ktorý je spotrebiteľom. Aj právny nástupca remitenta je povinný preukazovať skutočnosti týkajúce sa pôvodného právneho vzťahu, z ktorého </w:t>
      </w:r>
      <w:r w:rsidR="007F6DB1">
        <w:rPr>
          <w:rFonts w:ascii="Times New Roman" w:hAnsi="Times New Roman"/>
          <w:sz w:val="24"/>
        </w:rPr>
        <w:t>zmenka vznikla</w:t>
      </w:r>
      <w:r w:rsidRPr="005E7F51" w:rsidR="007F6DB1">
        <w:rPr>
          <w:rFonts w:ascii="Times New Roman" w:hAnsi="Times New Roman"/>
          <w:sz w:val="24"/>
        </w:rPr>
        <w:t xml:space="preserve">.  </w:t>
      </w:r>
    </w:p>
    <w:p w:rsidR="007F6DB1" w:rsidP="007F6DB1">
      <w:pPr>
        <w:bidi w:val="0"/>
        <w:spacing w:after="0" w:line="240" w:lineRule="auto"/>
        <w:ind w:firstLine="708"/>
        <w:jc w:val="both"/>
        <w:rPr>
          <w:rFonts w:ascii="Times New Roman" w:hAnsi="Times New Roman"/>
          <w:sz w:val="24"/>
        </w:rPr>
      </w:pPr>
    </w:p>
    <w:p w:rsidR="0098121C" w:rsidRPr="0098121C" w:rsidP="0098121C">
      <w:pPr>
        <w:bidi w:val="0"/>
        <w:spacing w:after="0" w:line="240" w:lineRule="auto"/>
        <w:jc w:val="both"/>
        <w:rPr>
          <w:rFonts w:ascii="Times New Roman" w:hAnsi="Times New Roman"/>
          <w:sz w:val="24"/>
          <w:u w:val="single"/>
        </w:rPr>
      </w:pPr>
      <w:r w:rsidRPr="0098121C">
        <w:rPr>
          <w:rFonts w:ascii="Times New Roman" w:hAnsi="Times New Roman"/>
          <w:sz w:val="24"/>
          <w:u w:val="single"/>
        </w:rPr>
        <w:t>K </w:t>
      </w:r>
      <w:r w:rsidR="00E77B92">
        <w:rPr>
          <w:rFonts w:ascii="Times New Roman" w:hAnsi="Times New Roman"/>
          <w:sz w:val="24"/>
          <w:u w:val="single"/>
        </w:rPr>
        <w:t>bodom</w:t>
      </w:r>
      <w:r w:rsidRPr="0098121C">
        <w:rPr>
          <w:rFonts w:ascii="Times New Roman" w:hAnsi="Times New Roman"/>
          <w:sz w:val="24"/>
          <w:u w:val="single"/>
        </w:rPr>
        <w:t xml:space="preserve"> 2</w:t>
      </w:r>
      <w:r w:rsidR="00E77B92">
        <w:rPr>
          <w:rFonts w:ascii="Times New Roman" w:hAnsi="Times New Roman"/>
          <w:sz w:val="24"/>
          <w:u w:val="single"/>
        </w:rPr>
        <w:t xml:space="preserve"> a 3</w:t>
      </w:r>
    </w:p>
    <w:p w:rsidR="0098121C" w:rsidP="0098121C">
      <w:pPr>
        <w:bidi w:val="0"/>
        <w:spacing w:after="0" w:line="240" w:lineRule="auto"/>
        <w:jc w:val="both"/>
        <w:rPr>
          <w:rFonts w:ascii="Times New Roman" w:hAnsi="Times New Roman"/>
          <w:sz w:val="24"/>
        </w:rPr>
      </w:pPr>
    </w:p>
    <w:p w:rsidR="00366709" w:rsidP="006B4C61">
      <w:pPr>
        <w:bidi w:val="0"/>
        <w:spacing w:after="0" w:line="240" w:lineRule="auto"/>
        <w:ind w:firstLine="708"/>
        <w:jc w:val="both"/>
        <w:rPr>
          <w:rFonts w:ascii="Times New Roman" w:hAnsi="Times New Roman"/>
          <w:sz w:val="24"/>
        </w:rPr>
      </w:pPr>
      <w:r w:rsidR="006B4C61">
        <w:rPr>
          <w:rFonts w:ascii="Times New Roman" w:hAnsi="Times New Roman"/>
          <w:sz w:val="24"/>
        </w:rPr>
        <w:t>Dopĺňa sa osobitný dôvod zamietnutia žiadosti o udelenie pove</w:t>
      </w:r>
      <w:r w:rsidR="00AE04BB">
        <w:rPr>
          <w:rFonts w:ascii="Times New Roman" w:hAnsi="Times New Roman"/>
          <w:sz w:val="24"/>
        </w:rPr>
        <w:t xml:space="preserve">renia na vykonanie exekúcie, ak ide o vymáhanie nároku zo zmenky, ktorá bola použitá v rozpore s predpismi na ochranu spotrebiteľa. </w:t>
      </w:r>
    </w:p>
    <w:p w:rsidR="0098121C" w:rsidP="0098121C">
      <w:pPr>
        <w:bidi w:val="0"/>
        <w:spacing w:after="0" w:line="240" w:lineRule="auto"/>
        <w:jc w:val="both"/>
        <w:rPr>
          <w:rFonts w:ascii="Times New Roman" w:hAnsi="Times New Roman"/>
          <w:sz w:val="24"/>
        </w:rPr>
      </w:pPr>
    </w:p>
    <w:p w:rsidR="00E77B92" w:rsidP="00E77B92">
      <w:pPr>
        <w:bidi w:val="0"/>
        <w:spacing w:after="0" w:line="240" w:lineRule="auto"/>
        <w:ind w:firstLine="708"/>
        <w:jc w:val="both"/>
        <w:rPr>
          <w:rFonts w:ascii="Times New Roman" w:hAnsi="Times New Roman"/>
          <w:sz w:val="24"/>
        </w:rPr>
      </w:pPr>
      <w:r>
        <w:rPr>
          <w:rFonts w:ascii="Times New Roman" w:hAnsi="Times New Roman"/>
          <w:sz w:val="24"/>
        </w:rPr>
        <w:t>Analogicky sa navrhuje rozšíriť dôvody pre zastavenie exekúcie.</w:t>
      </w:r>
    </w:p>
    <w:p w:rsidR="0098121C" w:rsidP="0098121C">
      <w:pPr>
        <w:bidi w:val="0"/>
        <w:spacing w:after="0" w:line="240" w:lineRule="auto"/>
        <w:jc w:val="both"/>
        <w:rPr>
          <w:rFonts w:ascii="Times New Roman" w:hAnsi="Times New Roman"/>
          <w:sz w:val="24"/>
        </w:rPr>
      </w:pPr>
    </w:p>
    <w:p w:rsidR="0098121C" w:rsidRPr="00E77B92" w:rsidP="0098121C">
      <w:pPr>
        <w:bidi w:val="0"/>
        <w:spacing w:after="0" w:line="240" w:lineRule="auto"/>
        <w:jc w:val="both"/>
        <w:rPr>
          <w:rFonts w:ascii="Times New Roman" w:hAnsi="Times New Roman"/>
          <w:sz w:val="24"/>
          <w:u w:val="single"/>
        </w:rPr>
      </w:pPr>
      <w:r w:rsidRPr="00E77B92">
        <w:rPr>
          <w:rFonts w:ascii="Times New Roman" w:hAnsi="Times New Roman"/>
          <w:sz w:val="24"/>
          <w:u w:val="single"/>
        </w:rPr>
        <w:t>K bodu 4</w:t>
      </w:r>
    </w:p>
    <w:p w:rsidR="0098121C" w:rsidP="0098121C">
      <w:pPr>
        <w:bidi w:val="0"/>
        <w:spacing w:after="0" w:line="240" w:lineRule="auto"/>
        <w:jc w:val="both"/>
        <w:rPr>
          <w:rFonts w:ascii="Times New Roman" w:hAnsi="Times New Roman"/>
          <w:sz w:val="24"/>
        </w:rPr>
      </w:pPr>
    </w:p>
    <w:p w:rsidR="0098121C" w:rsidP="000C3CD9">
      <w:pPr>
        <w:bidi w:val="0"/>
        <w:spacing w:after="0" w:line="240" w:lineRule="auto"/>
        <w:ind w:firstLine="708"/>
        <w:jc w:val="both"/>
        <w:rPr>
          <w:rFonts w:ascii="Times New Roman" w:hAnsi="Times New Roman"/>
          <w:sz w:val="24"/>
        </w:rPr>
      </w:pPr>
      <w:r w:rsidR="000C3CD9">
        <w:rPr>
          <w:rFonts w:ascii="Times New Roman" w:hAnsi="Times New Roman"/>
          <w:sz w:val="24"/>
        </w:rPr>
        <w:t xml:space="preserve">Navrhuje, aby proti uzneseniu o zastavení exekúcie podľa nového § 57 ods. 1 písm. m) bolo prípustné odvolanie. </w:t>
      </w:r>
    </w:p>
    <w:p w:rsidR="000C3CD9" w:rsidP="0098121C">
      <w:pPr>
        <w:bidi w:val="0"/>
        <w:spacing w:after="0" w:line="240" w:lineRule="auto"/>
        <w:jc w:val="both"/>
        <w:rPr>
          <w:rFonts w:ascii="Times New Roman" w:hAnsi="Times New Roman"/>
          <w:sz w:val="24"/>
        </w:rPr>
      </w:pPr>
    </w:p>
    <w:p w:rsidR="0098121C" w:rsidP="0098121C">
      <w:pPr>
        <w:bidi w:val="0"/>
        <w:spacing w:after="0" w:line="240" w:lineRule="auto"/>
        <w:jc w:val="both"/>
        <w:rPr>
          <w:rFonts w:ascii="Times New Roman" w:hAnsi="Times New Roman"/>
          <w:sz w:val="24"/>
        </w:rPr>
      </w:pPr>
      <w:r w:rsidRPr="000C3CD9">
        <w:rPr>
          <w:rFonts w:ascii="Times New Roman" w:hAnsi="Times New Roman"/>
          <w:sz w:val="24"/>
          <w:u w:val="single"/>
        </w:rPr>
        <w:t>K bodu 5</w:t>
      </w:r>
    </w:p>
    <w:p w:rsidR="000C3CD9" w:rsidP="0098121C">
      <w:pPr>
        <w:bidi w:val="0"/>
        <w:spacing w:after="0" w:line="240" w:lineRule="auto"/>
        <w:jc w:val="both"/>
        <w:rPr>
          <w:rFonts w:ascii="Times New Roman" w:hAnsi="Times New Roman"/>
          <w:sz w:val="24"/>
        </w:rPr>
      </w:pPr>
    </w:p>
    <w:p w:rsidR="000C3CD9" w:rsidP="000C3CD9">
      <w:pPr>
        <w:bidi w:val="0"/>
        <w:spacing w:after="0" w:line="240" w:lineRule="auto"/>
        <w:ind w:firstLine="708"/>
        <w:jc w:val="both"/>
        <w:rPr>
          <w:rFonts w:ascii="Times New Roman" w:hAnsi="Times New Roman"/>
          <w:sz w:val="24"/>
        </w:rPr>
      </w:pPr>
      <w:r>
        <w:rPr>
          <w:rFonts w:ascii="Times New Roman" w:hAnsi="Times New Roman"/>
          <w:sz w:val="24"/>
        </w:rPr>
        <w:t xml:space="preserve">Navrhuje, aby nová právna úprava bola zohľadnená aj v prebiehajúcich exekúciách, resp. exekučných konaniach. </w:t>
      </w:r>
    </w:p>
    <w:p w:rsidR="000C3CD9" w:rsidP="0098121C">
      <w:pPr>
        <w:bidi w:val="0"/>
        <w:spacing w:after="0" w:line="240" w:lineRule="auto"/>
        <w:jc w:val="both"/>
        <w:rPr>
          <w:rFonts w:ascii="Times New Roman" w:hAnsi="Times New Roman"/>
          <w:sz w:val="24"/>
        </w:rPr>
      </w:pPr>
    </w:p>
    <w:p w:rsidR="000C3CD9" w:rsidP="000C3CD9">
      <w:pPr>
        <w:bidi w:val="0"/>
        <w:spacing w:after="0" w:line="240" w:lineRule="auto"/>
        <w:ind w:firstLine="708"/>
        <w:jc w:val="both"/>
        <w:rPr>
          <w:rFonts w:ascii="Times New Roman" w:hAnsi="Times New Roman"/>
          <w:sz w:val="24"/>
        </w:rPr>
      </w:pPr>
      <w:r>
        <w:rPr>
          <w:rFonts w:ascii="Times New Roman" w:hAnsi="Times New Roman"/>
          <w:sz w:val="24"/>
        </w:rPr>
        <w:t xml:space="preserve">Účastníkom týchto konaní sa v odseku 1 navrhuje lehota jeden mesiac na doplnenie náležitostí návrhu na začatie exekúcie v intenciách nového § 39 ods. 4 – na tento účel sa dotknuté exekúcie odložia </w:t>
      </w:r>
      <w:r w:rsidRPr="000C3CD9">
        <w:rPr>
          <w:rFonts w:ascii="Times New Roman" w:hAnsi="Times New Roman"/>
          <w:i/>
          <w:sz w:val="24"/>
        </w:rPr>
        <w:t>ex lege</w:t>
      </w:r>
      <w:r>
        <w:rPr>
          <w:rFonts w:ascii="Times New Roman" w:hAnsi="Times New Roman"/>
          <w:sz w:val="24"/>
        </w:rPr>
        <w:t xml:space="preserve">. Následkom nedoplnenia tohto návrhu bude zastavenie exekúcie (odsek 5). Ak bude návrh doplnený v príslušnej lehote, súd preskúma </w:t>
      </w:r>
      <w:r w:rsidR="004F21E2">
        <w:rPr>
          <w:rFonts w:ascii="Times New Roman" w:hAnsi="Times New Roman"/>
          <w:sz w:val="24"/>
        </w:rPr>
        <w:t>existenciu dôvodu na zastavenie exekúcie podľa § 57 ods. 1 písm. m).</w:t>
      </w:r>
    </w:p>
    <w:p w:rsidR="000C3CD9" w:rsidP="0098121C">
      <w:pPr>
        <w:bidi w:val="0"/>
        <w:spacing w:after="0" w:line="240" w:lineRule="auto"/>
        <w:jc w:val="both"/>
        <w:rPr>
          <w:rFonts w:ascii="Times New Roman" w:hAnsi="Times New Roman"/>
          <w:sz w:val="24"/>
        </w:rPr>
      </w:pPr>
    </w:p>
    <w:p w:rsidR="000C3CD9" w:rsidRPr="004F21E2" w:rsidP="004F21E2">
      <w:pPr>
        <w:bidi w:val="0"/>
        <w:spacing w:after="0" w:line="240" w:lineRule="auto"/>
        <w:jc w:val="both"/>
        <w:rPr>
          <w:rFonts w:ascii="Times New Roman" w:hAnsi="Times New Roman"/>
          <w:b/>
          <w:sz w:val="24"/>
        </w:rPr>
      </w:pPr>
      <w:r w:rsidRPr="004F21E2" w:rsidR="004F21E2">
        <w:rPr>
          <w:rFonts w:ascii="Times New Roman" w:hAnsi="Times New Roman"/>
          <w:b/>
          <w:sz w:val="24"/>
        </w:rPr>
        <w:t>K čl. IV</w:t>
      </w:r>
    </w:p>
    <w:p w:rsidR="004F21E2" w:rsidP="004F21E2">
      <w:pPr>
        <w:bidi w:val="0"/>
        <w:spacing w:after="0" w:line="240" w:lineRule="auto"/>
        <w:jc w:val="both"/>
        <w:rPr>
          <w:rFonts w:ascii="Times New Roman" w:hAnsi="Times New Roman"/>
          <w:sz w:val="24"/>
        </w:rPr>
      </w:pPr>
    </w:p>
    <w:p w:rsidR="004F21E2" w:rsidP="004F21E2">
      <w:pPr>
        <w:bidi w:val="0"/>
        <w:spacing w:after="0" w:line="240" w:lineRule="auto"/>
        <w:ind w:firstLine="708"/>
        <w:jc w:val="both"/>
        <w:rPr>
          <w:rFonts w:ascii="Times New Roman" w:hAnsi="Times New Roman"/>
          <w:sz w:val="24"/>
        </w:rPr>
      </w:pPr>
      <w:r>
        <w:rPr>
          <w:rFonts w:ascii="Times New Roman" w:hAnsi="Times New Roman"/>
          <w:sz w:val="24"/>
        </w:rPr>
        <w:t xml:space="preserve">Nanovo sa koncipuje právna úprava prevádzania práv zo spotrebiteľských úverov vo význame výraznej reštrikcie s výnimkou prípadov podľa osobitných predpisov, kde toto obmedzenie je vzhľadom na účel týchto osobitných úprav nežiaduce. </w:t>
      </w:r>
    </w:p>
    <w:p w:rsidR="004F21E2" w:rsidP="004F21E2">
      <w:pPr>
        <w:bidi w:val="0"/>
        <w:spacing w:after="0" w:line="240" w:lineRule="auto"/>
        <w:jc w:val="both"/>
        <w:rPr>
          <w:rFonts w:ascii="Times New Roman" w:hAnsi="Times New Roman"/>
          <w:sz w:val="24"/>
        </w:rPr>
      </w:pPr>
    </w:p>
    <w:p w:rsidR="004F21E2" w:rsidP="004F21E2">
      <w:pPr>
        <w:bidi w:val="0"/>
        <w:spacing w:after="0" w:line="240" w:lineRule="auto"/>
        <w:jc w:val="both"/>
        <w:rPr>
          <w:rFonts w:ascii="Times New Roman" w:hAnsi="Times New Roman"/>
          <w:sz w:val="24"/>
        </w:rPr>
      </w:pPr>
      <w:r w:rsidRPr="004F21E2">
        <w:rPr>
          <w:rFonts w:ascii="Times New Roman" w:hAnsi="Times New Roman"/>
          <w:b/>
          <w:sz w:val="24"/>
        </w:rPr>
        <w:t>K čl. V</w:t>
      </w:r>
    </w:p>
    <w:p w:rsidR="004F21E2" w:rsidP="004F21E2">
      <w:pPr>
        <w:bidi w:val="0"/>
        <w:spacing w:after="0" w:line="240" w:lineRule="auto"/>
        <w:jc w:val="both"/>
        <w:rPr>
          <w:rFonts w:ascii="Times New Roman" w:hAnsi="Times New Roman"/>
          <w:sz w:val="24"/>
        </w:rPr>
      </w:pPr>
    </w:p>
    <w:p w:rsidR="004F21E2" w:rsidP="004F21E2">
      <w:pPr>
        <w:bidi w:val="0"/>
        <w:spacing w:after="0" w:line="240" w:lineRule="auto"/>
        <w:ind w:firstLine="708"/>
        <w:jc w:val="both"/>
        <w:rPr>
          <w:rFonts w:ascii="Times New Roman" w:hAnsi="Times New Roman"/>
          <w:sz w:val="24"/>
        </w:rPr>
      </w:pPr>
      <w:r>
        <w:rPr>
          <w:rFonts w:ascii="Times New Roman" w:hAnsi="Times New Roman"/>
          <w:sz w:val="24"/>
        </w:rPr>
        <w:t xml:space="preserve">Vzhľadom na akútnosť situácie </w:t>
      </w:r>
      <w:r w:rsidR="00C37F0B">
        <w:rPr>
          <w:rFonts w:ascii="Times New Roman" w:hAnsi="Times New Roman"/>
          <w:sz w:val="24"/>
        </w:rPr>
        <w:t xml:space="preserve">sa navrhuje, aby zákon nadobudol účinnosť dňom vyhlásenia v Zbierke zákonov Slovenskej republiky. </w:t>
      </w:r>
      <w:r>
        <w:rPr>
          <w:rFonts w:ascii="Times New Roman" w:hAnsi="Times New Roman"/>
          <w:sz w:val="24"/>
        </w:rPr>
        <w:t xml:space="preserve"> </w:t>
      </w: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400F79"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4F21E2">
      <w:pPr>
        <w:bidi w:val="0"/>
        <w:spacing w:after="0" w:line="240" w:lineRule="auto"/>
        <w:ind w:firstLine="708"/>
        <w:jc w:val="both"/>
        <w:rPr>
          <w:rFonts w:ascii="Times New Roman" w:hAnsi="Times New Roman"/>
          <w:sz w:val="24"/>
        </w:rPr>
      </w:pPr>
    </w:p>
    <w:p w:rsidR="000B1A60" w:rsidP="000B1A60">
      <w:pPr>
        <w:bidi w:val="0"/>
        <w:spacing w:after="0" w:line="240" w:lineRule="auto"/>
        <w:jc w:val="both"/>
        <w:rPr>
          <w:rFonts w:ascii="Times New Roman" w:hAnsi="Times New Roman"/>
          <w:sz w:val="24"/>
        </w:rPr>
      </w:pPr>
    </w:p>
    <w:p w:rsidR="000B1A60" w:rsidRPr="000B1A60" w:rsidP="000B1A60">
      <w:pPr>
        <w:bidi w:val="0"/>
        <w:spacing w:before="80" w:after="80" w:line="240" w:lineRule="auto"/>
        <w:jc w:val="center"/>
        <w:rPr>
          <w:rFonts w:ascii="Times New Roman" w:hAnsi="Times New Roman"/>
          <w:b/>
          <w:bCs/>
          <w:sz w:val="24"/>
          <w:szCs w:val="24"/>
          <w:lang w:eastAsia="sk-SK"/>
        </w:rPr>
      </w:pPr>
      <w:r w:rsidRPr="000B1A60">
        <w:rPr>
          <w:rFonts w:ascii="Times New Roman" w:hAnsi="Times New Roman"/>
          <w:b/>
          <w:bCs/>
          <w:sz w:val="24"/>
          <w:szCs w:val="24"/>
          <w:lang w:eastAsia="sk-SK"/>
        </w:rPr>
        <w:t>DOLOŽKA ZLUČITEĽNOSTI</w:t>
      </w:r>
    </w:p>
    <w:p w:rsidR="000B1A60" w:rsidRPr="000B1A60" w:rsidP="000B1A60">
      <w:pPr>
        <w:bidi w:val="0"/>
        <w:spacing w:before="80" w:after="80" w:line="240" w:lineRule="auto"/>
        <w:jc w:val="center"/>
        <w:rPr>
          <w:rFonts w:ascii="Times New Roman" w:hAnsi="Times New Roman"/>
          <w:sz w:val="24"/>
          <w:szCs w:val="24"/>
          <w:lang w:eastAsia="sk-SK"/>
        </w:rPr>
      </w:pPr>
      <w:r w:rsidRPr="000B1A60">
        <w:rPr>
          <w:rFonts w:ascii="Times New Roman" w:hAnsi="Times New Roman"/>
          <w:sz w:val="24"/>
          <w:szCs w:val="24"/>
          <w:lang w:eastAsia="sk-SK"/>
        </w:rPr>
        <w:t>návrhu zákona s právom Európskej únie</w:t>
      </w:r>
    </w:p>
    <w:p w:rsidR="000B1A60" w:rsidRPr="000B1A60" w:rsidP="000B1A60">
      <w:pPr>
        <w:bidi w:val="0"/>
        <w:spacing w:before="80" w:after="120" w:line="240" w:lineRule="auto"/>
        <w:jc w:val="both"/>
        <w:rPr>
          <w:rFonts w:ascii="Times New Roman" w:hAnsi="Times New Roman"/>
          <w:sz w:val="24"/>
          <w:szCs w:val="24"/>
          <w:lang w:eastAsia="sk-SK"/>
        </w:rPr>
      </w:pPr>
    </w:p>
    <w:p w:rsidR="000B1A60" w:rsidRPr="000B1A60" w:rsidP="000B1A60">
      <w:pPr>
        <w:bidi w:val="0"/>
        <w:spacing w:after="0" w:line="240" w:lineRule="auto"/>
        <w:ind w:left="360" w:hanging="360"/>
        <w:rPr>
          <w:rFonts w:ascii="Times New Roman" w:hAnsi="Times New Roman"/>
          <w:b/>
          <w:sz w:val="24"/>
          <w:szCs w:val="24"/>
          <w:lang w:eastAsia="sk-SK"/>
        </w:rPr>
      </w:pPr>
      <w:r w:rsidRPr="000B1A60">
        <w:rPr>
          <w:rFonts w:ascii="Times New Roman" w:hAnsi="Times New Roman"/>
          <w:b/>
          <w:sz w:val="24"/>
          <w:szCs w:val="24"/>
          <w:lang w:eastAsia="sk-SK"/>
        </w:rPr>
        <w:t>1.   Navrhovateľ zákona:</w:t>
      </w:r>
      <w:r w:rsidRPr="000B1A60">
        <w:rPr>
          <w:rFonts w:ascii="Times New Roman" w:hAnsi="Times New Roman"/>
          <w:sz w:val="24"/>
          <w:szCs w:val="24"/>
          <w:lang w:eastAsia="sk-SK"/>
        </w:rPr>
        <w:t xml:space="preserve"> skupina poslancov Národnej rady SR </w:t>
      </w:r>
    </w:p>
    <w:p w:rsidR="000B1A60" w:rsidRPr="000B1A60" w:rsidP="000B1A60">
      <w:pPr>
        <w:tabs>
          <w:tab w:val="left" w:pos="360"/>
        </w:tabs>
        <w:bidi w:val="0"/>
        <w:spacing w:after="0" w:line="240" w:lineRule="auto"/>
        <w:ind w:left="360"/>
        <w:rPr>
          <w:rFonts w:ascii="Times New Roman" w:hAnsi="Times New Roman"/>
          <w:sz w:val="24"/>
          <w:szCs w:val="24"/>
          <w:lang w:eastAsia="sk-SK"/>
        </w:rPr>
      </w:pPr>
      <w:r w:rsidRPr="000B1A60">
        <w:rPr>
          <w:rFonts w:ascii="Times New Roman" w:hAnsi="Times New Roman"/>
          <w:sz w:val="24"/>
          <w:szCs w:val="24"/>
          <w:lang w:eastAsia="sk-SK"/>
        </w:rPr>
        <w:t xml:space="preserve"> </w:t>
      </w:r>
    </w:p>
    <w:p w:rsidR="000B1A60" w:rsidRPr="000B1A60" w:rsidP="000B1A60">
      <w:pPr>
        <w:bidi w:val="0"/>
        <w:spacing w:after="0" w:line="240" w:lineRule="auto"/>
        <w:ind w:left="360" w:hanging="360"/>
        <w:jc w:val="both"/>
        <w:rPr>
          <w:rFonts w:ascii="Times New Roman" w:hAnsi="Times New Roman"/>
          <w:sz w:val="24"/>
          <w:szCs w:val="24"/>
          <w:lang w:eastAsia="sk-SK"/>
        </w:rPr>
      </w:pPr>
      <w:r w:rsidRPr="000B1A60">
        <w:rPr>
          <w:rFonts w:ascii="Times New Roman" w:hAnsi="Times New Roman"/>
          <w:b/>
          <w:sz w:val="24"/>
          <w:szCs w:val="24"/>
          <w:lang w:eastAsia="sk-SK"/>
        </w:rPr>
        <w:t>2.</w:t>
        <w:tab/>
        <w:t>Názov návrhu zákona:</w:t>
      </w:r>
      <w:r w:rsidRPr="000B1A60">
        <w:rPr>
          <w:rFonts w:ascii="Times New Roman" w:hAnsi="Times New Roman"/>
          <w:sz w:val="24"/>
          <w:szCs w:val="24"/>
          <w:lang w:eastAsia="sk-SK"/>
        </w:rPr>
        <w:t xml:space="preserve">  Návrh zákona, ktorým sa mení a dopĺňa zákon č. 99/1963 Zb. Občiansky súdny poriadok v znení neskorších predpisov a ktorým sa menia a dopĺňajú niektoré zákony</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ind w:left="360" w:hanging="360"/>
        <w:rPr>
          <w:rFonts w:ascii="Times New Roman" w:hAnsi="Times New Roman"/>
          <w:b/>
          <w:sz w:val="24"/>
          <w:szCs w:val="24"/>
          <w:lang w:eastAsia="sk-SK"/>
        </w:rPr>
      </w:pPr>
      <w:r w:rsidRPr="000B1A60">
        <w:rPr>
          <w:rFonts w:ascii="Times New Roman" w:hAnsi="Times New Roman"/>
          <w:b/>
          <w:sz w:val="24"/>
          <w:szCs w:val="24"/>
          <w:lang w:eastAsia="sk-SK"/>
        </w:rPr>
        <w:t>3.</w:t>
        <w:tab/>
        <w:t>Predmet návrhu zákona:</w:t>
      </w:r>
    </w:p>
    <w:p w:rsidR="000B1A60" w:rsidRPr="000B1A60" w:rsidP="000B1A60">
      <w:pPr>
        <w:bidi w:val="0"/>
        <w:spacing w:after="0" w:line="240" w:lineRule="auto"/>
        <w:ind w:firstLine="360"/>
        <w:rPr>
          <w:rFonts w:ascii="Times New Roman" w:hAnsi="Times New Roman"/>
          <w:sz w:val="24"/>
          <w:szCs w:val="24"/>
          <w:lang w:eastAsia="sk-SK"/>
        </w:rPr>
      </w:pPr>
    </w:p>
    <w:p w:rsidR="000B1A60" w:rsidRPr="000B1A60" w:rsidP="000B1A60">
      <w:pPr>
        <w:bidi w:val="0"/>
        <w:spacing w:after="0" w:line="240" w:lineRule="auto"/>
        <w:ind w:left="709" w:hanging="349"/>
        <w:rPr>
          <w:rFonts w:ascii="Times New Roman" w:hAnsi="Times New Roman"/>
          <w:sz w:val="24"/>
          <w:szCs w:val="24"/>
          <w:lang w:eastAsia="sk-SK"/>
        </w:rPr>
      </w:pPr>
      <w:r w:rsidRPr="000B1A60">
        <w:rPr>
          <w:rFonts w:ascii="Times New Roman" w:hAnsi="Times New Roman"/>
          <w:sz w:val="24"/>
          <w:szCs w:val="24"/>
          <w:lang w:eastAsia="sk-SK"/>
        </w:rPr>
        <w:t>a)</w:t>
        <w:tab/>
        <w:t>je upravená v práve Európskej únie</w:t>
      </w:r>
    </w:p>
    <w:p w:rsidR="000B1A60" w:rsidRPr="000B1A60" w:rsidP="000B1A60">
      <w:pPr>
        <w:bidi w:val="0"/>
        <w:spacing w:after="0" w:line="240" w:lineRule="auto"/>
        <w:ind w:left="360"/>
        <w:rPr>
          <w:rFonts w:ascii="Times New Roman" w:hAnsi="Times New Roman"/>
          <w:sz w:val="24"/>
          <w:szCs w:val="24"/>
          <w:lang w:eastAsia="sk-SK"/>
        </w:rPr>
      </w:pPr>
    </w:p>
    <w:p w:rsidR="000B1A60" w:rsidRPr="000B1A60" w:rsidP="000B1A60">
      <w:pPr>
        <w:tabs>
          <w:tab w:val="left" w:pos="1068"/>
        </w:tabs>
        <w:bidi w:val="0"/>
        <w:spacing w:after="0" w:line="240" w:lineRule="auto"/>
        <w:ind w:left="879" w:hanging="171"/>
        <w:rPr>
          <w:rFonts w:ascii="Times New Roman" w:hAnsi="Times New Roman"/>
          <w:i/>
          <w:sz w:val="24"/>
          <w:szCs w:val="24"/>
          <w:lang w:eastAsia="sk-SK"/>
        </w:rPr>
      </w:pPr>
      <w:r w:rsidRPr="000B1A60">
        <w:rPr>
          <w:rFonts w:ascii="Times New Roman" w:hAnsi="Times New Roman"/>
          <w:sz w:val="24"/>
          <w:szCs w:val="24"/>
          <w:lang w:eastAsia="sk-SK"/>
        </w:rPr>
        <w:t>-</w:t>
        <w:tab/>
      </w:r>
      <w:r w:rsidRPr="000B1A60">
        <w:rPr>
          <w:rFonts w:ascii="Times New Roman" w:hAnsi="Times New Roman"/>
          <w:i/>
          <w:sz w:val="24"/>
          <w:szCs w:val="24"/>
          <w:lang w:eastAsia="sk-SK"/>
        </w:rPr>
        <w:t>primárnom</w:t>
      </w:r>
    </w:p>
    <w:p w:rsidR="000B1A60" w:rsidRPr="000B1A60" w:rsidP="000B1A60">
      <w:pPr>
        <w:bidi w:val="0"/>
        <w:spacing w:after="0" w:line="240" w:lineRule="auto"/>
        <w:ind w:left="851"/>
        <w:rPr>
          <w:rFonts w:ascii="Times New Roman" w:hAnsi="Times New Roman"/>
          <w:sz w:val="24"/>
          <w:szCs w:val="24"/>
          <w:lang w:eastAsia="sk-SK"/>
        </w:rPr>
      </w:pPr>
    </w:p>
    <w:p w:rsidR="000B1A60" w:rsidRPr="000B1A60" w:rsidP="000B1A60">
      <w:pPr>
        <w:bidi w:val="0"/>
        <w:spacing w:after="0" w:line="240" w:lineRule="auto"/>
        <w:ind w:left="851"/>
        <w:rPr>
          <w:rFonts w:ascii="Times New Roman" w:hAnsi="Times New Roman"/>
          <w:sz w:val="24"/>
          <w:szCs w:val="24"/>
          <w:lang w:eastAsia="sk-SK"/>
        </w:rPr>
      </w:pPr>
      <w:r w:rsidRPr="000B1A60">
        <w:rPr>
          <w:rFonts w:ascii="Times New Roman" w:hAnsi="Times New Roman"/>
          <w:sz w:val="24"/>
          <w:szCs w:val="24"/>
          <w:lang w:eastAsia="sk-SK"/>
        </w:rPr>
        <w:t>článok169 Zmluvy o fungovaní Európskej únie, </w:t>
      </w:r>
    </w:p>
    <w:p w:rsidR="000B1A60" w:rsidRPr="000B1A60" w:rsidP="000B1A60">
      <w:pPr>
        <w:bidi w:val="0"/>
        <w:spacing w:after="0" w:line="240" w:lineRule="auto"/>
        <w:ind w:firstLine="360"/>
        <w:rPr>
          <w:rFonts w:ascii="Times New Roman" w:hAnsi="Times New Roman"/>
          <w:sz w:val="24"/>
          <w:szCs w:val="24"/>
          <w:lang w:eastAsia="sk-SK"/>
        </w:rPr>
      </w:pPr>
    </w:p>
    <w:p w:rsidR="000B1A60" w:rsidRPr="000B1A60" w:rsidP="000B1A60">
      <w:pPr>
        <w:tabs>
          <w:tab w:val="left" w:pos="1068"/>
        </w:tabs>
        <w:bidi w:val="0"/>
        <w:spacing w:after="0" w:line="240" w:lineRule="auto"/>
        <w:ind w:left="879" w:hanging="171"/>
        <w:rPr>
          <w:rFonts w:ascii="Times New Roman" w:hAnsi="Times New Roman"/>
          <w:i/>
          <w:sz w:val="24"/>
          <w:szCs w:val="24"/>
          <w:lang w:eastAsia="sk-SK"/>
        </w:rPr>
      </w:pPr>
      <w:r w:rsidRPr="000B1A60">
        <w:rPr>
          <w:rFonts w:ascii="Times New Roman" w:hAnsi="Times New Roman"/>
          <w:sz w:val="24"/>
          <w:szCs w:val="24"/>
          <w:lang w:eastAsia="sk-SK"/>
        </w:rPr>
        <w:t>-</w:t>
        <w:tab/>
      </w:r>
      <w:r w:rsidRPr="000B1A60">
        <w:rPr>
          <w:rFonts w:ascii="Times New Roman" w:hAnsi="Times New Roman"/>
          <w:i/>
          <w:sz w:val="24"/>
          <w:szCs w:val="24"/>
          <w:lang w:eastAsia="sk-SK"/>
        </w:rPr>
        <w:t>sekundárnom (prijatom po nadobudnutím platnosti Lisabonskej zmluvy, ktorou sa mení a dopĺňa Zmluva o Európskom spoločenstve a Zmluva o Európskej únii – po 30. novembri 2009)</w:t>
      </w:r>
    </w:p>
    <w:p w:rsidR="000B1A60" w:rsidRPr="000B1A60" w:rsidP="000B1A60">
      <w:pPr>
        <w:tabs>
          <w:tab w:val="left" w:pos="1068"/>
        </w:tabs>
        <w:bidi w:val="0"/>
        <w:spacing w:after="0" w:line="240" w:lineRule="auto"/>
        <w:ind w:left="879" w:hanging="171"/>
        <w:rPr>
          <w:rFonts w:ascii="Times New Roman" w:hAnsi="Times New Roman"/>
          <w:sz w:val="24"/>
          <w:szCs w:val="24"/>
          <w:lang w:eastAsia="sk-SK"/>
        </w:rPr>
      </w:pPr>
      <w:r w:rsidRPr="000B1A60">
        <w:rPr>
          <w:rFonts w:ascii="Times New Roman" w:hAnsi="Times New Roman"/>
          <w:i/>
          <w:sz w:val="24"/>
          <w:szCs w:val="24"/>
          <w:lang w:eastAsia="sk-SK"/>
        </w:rPr>
        <w:tab/>
      </w:r>
      <w:r w:rsidRPr="000B1A60">
        <w:rPr>
          <w:rFonts w:ascii="Times New Roman" w:hAnsi="Times New Roman"/>
          <w:sz w:val="24"/>
          <w:szCs w:val="24"/>
          <w:lang w:eastAsia="sk-SK"/>
        </w:rPr>
        <w:t>- nie je</w:t>
      </w:r>
    </w:p>
    <w:p w:rsidR="000B1A60" w:rsidRPr="000B1A60" w:rsidP="000B1A60">
      <w:pPr>
        <w:tabs>
          <w:tab w:val="left" w:pos="1068"/>
        </w:tabs>
        <w:bidi w:val="0"/>
        <w:spacing w:after="0" w:line="240" w:lineRule="auto"/>
        <w:ind w:left="879" w:hanging="171"/>
        <w:rPr>
          <w:rFonts w:ascii="Times New Roman" w:hAnsi="Times New Roman"/>
          <w:sz w:val="24"/>
          <w:szCs w:val="24"/>
          <w:lang w:eastAsia="sk-SK"/>
        </w:rPr>
      </w:pPr>
    </w:p>
    <w:p w:rsidR="000B1A60" w:rsidRPr="000B1A60" w:rsidP="000B1A60">
      <w:pPr>
        <w:bidi w:val="0"/>
        <w:spacing w:after="0" w:line="240" w:lineRule="auto"/>
        <w:ind w:left="879" w:hanging="171"/>
        <w:jc w:val="both"/>
        <w:rPr>
          <w:rFonts w:ascii="Times New Roman" w:hAnsi="Times New Roman"/>
          <w:i/>
          <w:sz w:val="24"/>
          <w:szCs w:val="24"/>
          <w:lang w:eastAsia="sk-SK"/>
        </w:rPr>
      </w:pPr>
      <w:r w:rsidRPr="000B1A60">
        <w:rPr>
          <w:rFonts w:ascii="Times New Roman" w:hAnsi="Times New Roman"/>
          <w:sz w:val="24"/>
          <w:szCs w:val="24"/>
          <w:lang w:eastAsia="sk-SK"/>
        </w:rPr>
        <w:t>-</w:t>
        <w:tab/>
      </w:r>
      <w:r w:rsidRPr="000B1A60">
        <w:rPr>
          <w:rFonts w:ascii="Times New Roman" w:hAnsi="Times New Roman"/>
          <w:i/>
          <w:sz w:val="24"/>
          <w:szCs w:val="24"/>
          <w:lang w:eastAsia="sk-SK"/>
        </w:rPr>
        <w:t>sekundárnom (prijatom pred nadobudnutím platnosti Lisabonskej zmluvy, ktorou sa mení a dopĺňa Zmluva o Európskom spoločenstve a Zmluva o Európskej únii – do 30. novembra 2009)</w:t>
      </w:r>
    </w:p>
    <w:p w:rsidR="000B1A60" w:rsidRPr="000B1A60" w:rsidP="000B1A60">
      <w:pPr>
        <w:bidi w:val="0"/>
        <w:spacing w:after="0" w:line="240" w:lineRule="auto"/>
        <w:ind w:firstLine="708"/>
        <w:jc w:val="both"/>
        <w:rPr>
          <w:rFonts w:ascii="Times New Roman" w:hAnsi="Times New Roman"/>
          <w:sz w:val="24"/>
          <w:szCs w:val="24"/>
          <w:lang w:eastAsia="sk-SK"/>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Smernica Rady 93/13/EHS z 5. apríla 1993 o nekalých podmienkach v spotrebiteľských zmluvách (Mimoriadne vydanie Ú. v. EÚ, kap. 15/zv. 02)</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Smernica Európskeho parlamentu a Rady 2008/48/ES z 23. apríla 2008 o zmluvách o spotrebiteľskom úvere a o zrušení smernice Rady 87/102/EHS (Ú. v. EÚ L 133, 22. 5. 2008)</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Smernica Európskeho parlamentu a Rady 2009/22/ES z 23. apríla 2009 o súdnych príkazoch na ochranu spotrebiteľských záujmov (kodifikované znenie) (Ú. v. EÚ L 110, 1. 5. 2009).</w:t>
            </w:r>
          </w:p>
        </w:tc>
      </w:tr>
    </w:tbl>
    <w:p w:rsidR="000B1A60" w:rsidRPr="000B1A60" w:rsidP="000B1A60">
      <w:pPr>
        <w:bidi w:val="0"/>
        <w:spacing w:after="0" w:line="240" w:lineRule="auto"/>
        <w:rPr>
          <w:rFonts w:ascii="Times New Roman" w:hAnsi="Times New Roman"/>
          <w:sz w:val="24"/>
          <w:szCs w:val="24"/>
          <w:lang w:eastAsia="sk-SK"/>
        </w:rPr>
      </w:pPr>
    </w:p>
    <w:p w:rsidR="000B1A60" w:rsidRPr="000B1A60" w:rsidP="000B1A60">
      <w:pPr>
        <w:bidi w:val="0"/>
        <w:spacing w:after="0" w:line="240" w:lineRule="auto"/>
        <w:ind w:left="709" w:hanging="349"/>
        <w:rPr>
          <w:rFonts w:ascii="Times New Roman" w:hAnsi="Times New Roman"/>
          <w:sz w:val="24"/>
          <w:szCs w:val="24"/>
          <w:lang w:eastAsia="sk-SK"/>
        </w:rPr>
      </w:pPr>
      <w:r w:rsidRPr="000B1A60">
        <w:rPr>
          <w:rFonts w:ascii="Times New Roman" w:hAnsi="Times New Roman"/>
          <w:sz w:val="24"/>
          <w:szCs w:val="24"/>
          <w:lang w:eastAsia="sk-SK"/>
        </w:rPr>
        <w:t>b)</w:t>
        <w:tab/>
        <w:t>je obsiahnutá v judikatúre Súdneho dvora Európskej únie.</w:t>
      </w:r>
    </w:p>
    <w:p w:rsidR="000B1A60" w:rsidRPr="000B1A60" w:rsidP="000B1A60">
      <w:pPr>
        <w:bidi w:val="0"/>
        <w:spacing w:after="0" w:line="240" w:lineRule="auto"/>
        <w:ind w:left="709" w:hanging="349"/>
        <w:rPr>
          <w:rFonts w:ascii="Times New Roman" w:hAnsi="Times New Roman"/>
          <w:sz w:val="24"/>
          <w:szCs w:val="24"/>
          <w:lang w:eastAsia="sk-SK"/>
        </w:rPr>
      </w:pPr>
    </w:p>
    <w:p w:rsidR="000B1A60" w:rsidRPr="000B1A60" w:rsidP="000B1A60">
      <w:pPr>
        <w:bidi w:val="0"/>
        <w:spacing w:after="0" w:line="240" w:lineRule="auto"/>
        <w:ind w:left="720"/>
        <w:jc w:val="both"/>
        <w:rPr>
          <w:rFonts w:ascii="Times New Roman" w:hAnsi="Times New Roman"/>
          <w:sz w:val="24"/>
          <w:szCs w:val="24"/>
          <w:lang w:eastAsia="sk-SK"/>
        </w:rPr>
      </w:pPr>
      <w:r w:rsidRPr="000B1A60">
        <w:rPr>
          <w:rFonts w:ascii="Times New Roman" w:hAnsi="Times New Roman"/>
          <w:sz w:val="24"/>
          <w:szCs w:val="24"/>
          <w:lang w:eastAsia="sk-SK"/>
        </w:rPr>
        <w:t> K smernici 93/13/EHS a smernici 2005/29/ES:</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 spojených veciach C-240/98 až C-244/98 Océano Grupo Editorial SA proti Roció Murciano Quintero (C-240/98) a Salvat Editores SA proti José M. Sánchez Alcón Prades (C-241/9</w:t>
      </w:r>
      <w:r w:rsidRPr="000B1A60">
        <w:rPr>
          <w:rFonts w:ascii="Times New Roman" w:hAnsi="Times New Roman"/>
          <w:sz w:val="24"/>
          <w:szCs w:val="24"/>
          <w:lang w:eastAsia="sk-SK"/>
        </w:rPr>
        <w:t>8), José Luis Copano Badillo (C-242/98), Mohammed Berroane (C-243/98) a Emilio Viñas Feliú (C-244/98) [2000].</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C-144/99 Komisia Európskych spoločenstiev proti Holandskému kráľovstvu [2001].</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C-372/99 Komisia Európskych spoločenstiev proti Talianskej republike [2002].</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C-478/99 Komisia Európskych spoločenstiev proti Švédskemu kráľovstvu [2002].</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 spojených veciach C-541/99 a C-542/99 Cape Snc proti Idealservice Srl (C-541/99) a Idealservice MN RE Sas proti OMAI Srl (C-542/99) [2001].</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C-473/00 Cofidis SA proti Jean-Louis Fredout [2002].</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C-237/02 Freiburger Kommunalbauten GmbH Baugesellschaft &amp; Co. KG proti Ludger Hofstetter a Ulrike Hofstetter [2004].</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C-70/03 Komisia Európskych spoločenstiev proti Španielskemu kráľovstvu [2004].</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C-168/05 Elisa María Mostaza Claro proti Centro Móvil Milenium SL [2006].</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C-40/08 Asturcom Telecomunicaciones SL proti Cristina Rodríguez Nogueira [2009].</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C-137/08 VB Pénzügyi Lízing Zrt. proti Ferenc Schneider [2010].</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C-243/08 Pannon GSM Zrt. proti Erzsébet Sustikné Győrfi [2009].</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C-484/08 Caja de Ahorros y Monte de Piedad de Madrid proti Asociación de Usuarios de Servicios Bancarios (Ausbanc) [2010].</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C-453/10 Jana Pereničová a Vladislav Perenič proti SOS financ spol. s r. o. [2012].</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C-472/10 Nemzeti Fogyasztóvédelmi Hatóság proti Invitel Távközlési Zrt. [2012].</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w:t>
      </w:r>
      <w:r w:rsidRPr="000B1A60">
        <w:rPr>
          <w:rFonts w:ascii="Times New Roman" w:hAnsi="Times New Roman"/>
          <w:sz w:val="24"/>
          <w:szCs w:val="24"/>
          <w:lang w:eastAsia="sk-SK"/>
        </w:rPr>
        <w:t>údneho dvora vo veci C-618/10 Banco Español de Crédito SA proti Joaquín Calderón Camino [2011].</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Uznesenie Súdneho dvora vo veci C-76/10 Pohotovosť s.r.o. proti Iveta Korčkovská [2010].</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C-92/11 RWE Vertrieb AG proti Verbraucherzentrale Nordrhein-Westfalen eV [2013].</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C-397/11 Erika Jőrös proti Aegon Magyarország Hitel Zrt. [2013].</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C-415/11 Mohamed Aziz proti Caixa d´Estalvis de Catalunya, Tarragona i Manresa (Catalunyacaixa) [2013].</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C-472/11 Banif Plus Bank Zrt proti Csaba Csipai a Viktória Csipai [2013].</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C-488/11 Dirk Frederik Asbeek Brusse a Katarina de Man Garabito proti Jahani BV [2013].</w:t>
      </w:r>
    </w:p>
    <w:p w:rsidR="000B1A60" w:rsidRPr="000B1A60" w:rsidP="000B1A60">
      <w:pPr>
        <w:widowControl w:val="0"/>
        <w:numPr>
          <w:numId w:val="3"/>
        </w:numPr>
        <w:autoSpaceDE w:val="0"/>
        <w:autoSpaceDN w:val="0"/>
        <w:bidi w:val="0"/>
        <w:adjustRightInd w:val="0"/>
        <w:spacing w:after="0" w:line="240" w:lineRule="auto"/>
        <w:contextualSpacing/>
        <w:jc w:val="both"/>
        <w:rPr>
          <w:rFonts w:ascii="Times New Roman" w:hAnsi="Times New Roman"/>
          <w:sz w:val="24"/>
          <w:szCs w:val="24"/>
          <w:lang w:eastAsia="sk-SK"/>
        </w:rPr>
      </w:pPr>
      <w:r w:rsidRPr="000B1A60">
        <w:rPr>
          <w:rFonts w:ascii="Times New Roman" w:hAnsi="Times New Roman"/>
          <w:sz w:val="24"/>
          <w:szCs w:val="24"/>
          <w:lang w:eastAsia="sk-SK"/>
        </w:rPr>
        <w:t>Uznesenie Súdneho dvora v spojených veciach C-537/12 a C-116/13 Banco Popular Español SA proti Maria Teodolinda Rivas Quichimbo a Wilmar Edgar Cun Pérez (C-537/12) a Banco de Valencia SA proti Joaquín Valldeperas Tortosa a María Ángeles Miret J</w:t>
      </w:r>
      <w:r w:rsidRPr="000B1A60">
        <w:rPr>
          <w:rFonts w:ascii="Times New Roman" w:hAnsi="Times New Roman"/>
          <w:sz w:val="24"/>
          <w:szCs w:val="24"/>
          <w:lang w:eastAsia="sk-SK"/>
        </w:rPr>
        <w:t>aume (C-116/13) [2013].</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ab/>
        <w:t>K Smernici 2008/48/ES</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widowControl w:val="0"/>
        <w:numPr>
          <w:ilvl w:val="1"/>
          <w:numId w:val="5"/>
        </w:numPr>
        <w:autoSpaceDE w:val="0"/>
        <w:autoSpaceDN w:val="0"/>
        <w:bidi w:val="0"/>
        <w:adjustRightInd w:val="0"/>
        <w:spacing w:after="0" w:line="240" w:lineRule="auto"/>
        <w:ind w:left="1134" w:hanging="425"/>
        <w:contextualSpacing/>
        <w:jc w:val="both"/>
        <w:rPr>
          <w:rFonts w:ascii="Times New Roman" w:hAnsi="Times New Roman"/>
          <w:sz w:val="24"/>
          <w:szCs w:val="24"/>
          <w:lang w:eastAsia="sk-SK"/>
        </w:rPr>
      </w:pPr>
      <w:r w:rsidRPr="000B1A60">
        <w:rPr>
          <w:rFonts w:ascii="Times New Roman" w:hAnsi="Times New Roman"/>
          <w:sz w:val="24"/>
          <w:szCs w:val="24"/>
          <w:lang w:eastAsia="sk-SK"/>
        </w:rPr>
        <w:t xml:space="preserve">Rozsudok Súdneho dvora vo veci C-192/94, El Corte Inglés SA v. Cristina Blázquez Rivero, rok 1996, </w:t>
      </w:r>
    </w:p>
    <w:p w:rsidR="000B1A60" w:rsidRPr="000B1A60" w:rsidP="000B1A60">
      <w:pPr>
        <w:widowControl w:val="0"/>
        <w:numPr>
          <w:ilvl w:val="1"/>
          <w:numId w:val="5"/>
        </w:numPr>
        <w:autoSpaceDE w:val="0"/>
        <w:autoSpaceDN w:val="0"/>
        <w:bidi w:val="0"/>
        <w:adjustRightInd w:val="0"/>
        <w:spacing w:after="0" w:line="240" w:lineRule="auto"/>
        <w:ind w:left="1134" w:hanging="425"/>
        <w:contextualSpacing/>
        <w:jc w:val="both"/>
        <w:rPr>
          <w:rFonts w:ascii="Times New Roman" w:hAnsi="Times New Roman"/>
          <w:sz w:val="24"/>
          <w:szCs w:val="24"/>
          <w:lang w:eastAsia="sk-SK"/>
        </w:rPr>
      </w:pPr>
      <w:r w:rsidRPr="000B1A60">
        <w:rPr>
          <w:rFonts w:ascii="Times New Roman" w:hAnsi="Times New Roman"/>
          <w:sz w:val="24"/>
          <w:szCs w:val="24"/>
          <w:lang w:eastAsia="sk-SK"/>
        </w:rPr>
        <w:t xml:space="preserve">Rozsudok Súdneho dvora vo veci C-208/98, Berliner Kindl Brauerei AG v. Andreas Siepert, rok 2000, </w:t>
      </w:r>
    </w:p>
    <w:p w:rsidR="000B1A60" w:rsidRPr="000B1A60" w:rsidP="000B1A60">
      <w:pPr>
        <w:widowControl w:val="0"/>
        <w:numPr>
          <w:ilvl w:val="1"/>
          <w:numId w:val="5"/>
        </w:numPr>
        <w:autoSpaceDE w:val="0"/>
        <w:autoSpaceDN w:val="0"/>
        <w:bidi w:val="0"/>
        <w:adjustRightInd w:val="0"/>
        <w:spacing w:after="0" w:line="240" w:lineRule="auto"/>
        <w:ind w:left="1134" w:hanging="425"/>
        <w:contextualSpacing/>
        <w:jc w:val="both"/>
        <w:rPr>
          <w:rFonts w:ascii="Times New Roman" w:hAnsi="Times New Roman"/>
          <w:sz w:val="24"/>
          <w:szCs w:val="24"/>
          <w:lang w:eastAsia="sk-SK"/>
        </w:rPr>
      </w:pPr>
      <w:r w:rsidRPr="000B1A60">
        <w:rPr>
          <w:rFonts w:ascii="Times New Roman" w:hAnsi="Times New Roman"/>
          <w:sz w:val="24"/>
          <w:szCs w:val="24"/>
          <w:lang w:eastAsia="sk-SK"/>
        </w:rPr>
        <w:t xml:space="preserve">Rozsudok Súdneho dvora vo veci C-264/02, Cofinoga Mérignac SA v. Sylvain Sachithanathan, rok 2004, </w:t>
      </w:r>
    </w:p>
    <w:p w:rsidR="000B1A60" w:rsidRPr="000B1A60" w:rsidP="000B1A60">
      <w:pPr>
        <w:widowControl w:val="0"/>
        <w:numPr>
          <w:ilvl w:val="1"/>
          <w:numId w:val="5"/>
        </w:numPr>
        <w:autoSpaceDE w:val="0"/>
        <w:autoSpaceDN w:val="0"/>
        <w:bidi w:val="0"/>
        <w:adjustRightInd w:val="0"/>
        <w:spacing w:after="0" w:line="240" w:lineRule="auto"/>
        <w:ind w:left="1134" w:hanging="425"/>
        <w:contextualSpacing/>
        <w:jc w:val="both"/>
        <w:rPr>
          <w:rFonts w:ascii="Times New Roman" w:hAnsi="Times New Roman"/>
          <w:sz w:val="24"/>
          <w:szCs w:val="24"/>
          <w:lang w:eastAsia="sk-SK"/>
        </w:rPr>
      </w:pPr>
      <w:r w:rsidRPr="000B1A60">
        <w:rPr>
          <w:rFonts w:ascii="Times New Roman" w:hAnsi="Times New Roman"/>
          <w:sz w:val="24"/>
          <w:szCs w:val="24"/>
          <w:lang w:eastAsia="sk-SK"/>
        </w:rPr>
        <w:t>Rozsudok Súdneho dvora vo veci C-509/07, Luigi Scarpelli v. NEOS Banca SpA, rok 2009.</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jc w:val="both"/>
        <w:rPr>
          <w:rFonts w:ascii="Times New Roman" w:hAnsi="Times New Roman"/>
          <w:sz w:val="24"/>
          <w:szCs w:val="24"/>
          <w:lang w:eastAsia="sk-SK"/>
        </w:rPr>
      </w:pPr>
      <w:r w:rsidRPr="000B1A60">
        <w:rPr>
          <w:rFonts w:ascii="Times New Roman" w:hAnsi="Times New Roman"/>
          <w:sz w:val="24"/>
          <w:szCs w:val="24"/>
          <w:lang w:eastAsia="sk-SK"/>
        </w:rPr>
        <w:tab/>
        <w:t>K Smernici 2009/22/ES</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ind w:left="1134" w:hanging="1134"/>
        <w:jc w:val="both"/>
        <w:rPr>
          <w:rFonts w:ascii="Times New Roman" w:hAnsi="Times New Roman"/>
          <w:sz w:val="24"/>
          <w:szCs w:val="24"/>
          <w:lang w:eastAsia="sk-SK"/>
        </w:rPr>
      </w:pPr>
      <w:r w:rsidRPr="000B1A60">
        <w:rPr>
          <w:rFonts w:ascii="Times New Roman" w:hAnsi="Times New Roman"/>
          <w:sz w:val="24"/>
          <w:szCs w:val="24"/>
          <w:lang w:eastAsia="sk-SK"/>
        </w:rPr>
        <w:tab/>
        <w:t>Rozsudok Súdneho dvora vo veci C-413/12,</w:t>
      </w:r>
      <w:r w:rsidRPr="000B1A60">
        <w:rPr>
          <w:rFonts w:ascii="Times New Roman" w:hAnsi="Times New Roman"/>
          <w:sz w:val="24"/>
          <w:szCs w:val="24"/>
          <w:lang w:eastAsia="sk-SK"/>
        </w:rPr>
        <w:t xml:space="preserve"> Asociación de Consumidores Independientes de Castilla y León v. Anuntis Segundamano España SL, rok 2012.</w:t>
      </w:r>
    </w:p>
    <w:p w:rsidR="000B1A60" w:rsidRPr="000B1A60" w:rsidP="000B1A60">
      <w:pPr>
        <w:bidi w:val="0"/>
        <w:spacing w:after="0" w:line="240" w:lineRule="auto"/>
        <w:jc w:val="both"/>
        <w:rPr>
          <w:rFonts w:ascii="Times New Roman" w:hAnsi="Times New Roman"/>
          <w:sz w:val="24"/>
          <w:szCs w:val="24"/>
          <w:lang w:eastAsia="sk-SK"/>
        </w:rPr>
      </w:pP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bidi w:val="0"/>
        <w:spacing w:after="0" w:line="240" w:lineRule="auto"/>
        <w:ind w:left="360" w:hanging="360"/>
        <w:rPr>
          <w:rFonts w:ascii="Times New Roman" w:hAnsi="Times New Roman"/>
          <w:b/>
          <w:sz w:val="24"/>
          <w:szCs w:val="24"/>
          <w:lang w:eastAsia="sk-SK"/>
        </w:rPr>
      </w:pPr>
      <w:r w:rsidRPr="000B1A60">
        <w:rPr>
          <w:rFonts w:ascii="Times New Roman" w:hAnsi="Times New Roman"/>
          <w:b/>
          <w:sz w:val="24"/>
          <w:szCs w:val="24"/>
          <w:lang w:eastAsia="sk-SK"/>
        </w:rPr>
        <w:t>4.</w:t>
        <w:tab/>
        <w:t xml:space="preserve">Záväzky Slovenskej republiky vo vzťahu k Európskej únii: </w:t>
      </w: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widowControl w:val="0"/>
        <w:numPr>
          <w:numId w:val="2"/>
        </w:numPr>
        <w:autoSpaceDE w:val="0"/>
        <w:autoSpaceDN w:val="0"/>
        <w:bidi w:val="0"/>
        <w:adjustRightInd w:val="0"/>
        <w:spacing w:after="0" w:line="240" w:lineRule="auto"/>
        <w:rPr>
          <w:rFonts w:ascii="Times New Roman" w:hAnsi="Times New Roman"/>
          <w:sz w:val="24"/>
          <w:szCs w:val="24"/>
          <w:lang w:eastAsia="sk-SK"/>
        </w:rPr>
      </w:pPr>
      <w:r w:rsidRPr="000B1A60">
        <w:rPr>
          <w:rFonts w:ascii="Times New Roman" w:hAnsi="Times New Roman"/>
          <w:sz w:val="24"/>
          <w:szCs w:val="24"/>
          <w:lang w:eastAsia="sk-SK"/>
        </w:rPr>
        <w:t>lehota na prebratie smernice alebo lehota na implementáciu nariadenia alebo rozhodnutia</w:t>
      </w:r>
    </w:p>
    <w:p w:rsidR="000B1A60" w:rsidRPr="000B1A60" w:rsidP="000B1A60">
      <w:pPr>
        <w:bidi w:val="0"/>
        <w:spacing w:after="0" w:line="240" w:lineRule="auto"/>
        <w:ind w:left="708"/>
        <w:rPr>
          <w:rFonts w:ascii="Times New Roman" w:hAnsi="Times New Roman"/>
          <w:sz w:val="24"/>
          <w:szCs w:val="24"/>
          <w:lang w:eastAsia="sk-SK"/>
        </w:rPr>
      </w:pPr>
      <w:r w:rsidRPr="000B1A60">
        <w:rPr>
          <w:rFonts w:ascii="Times New Roman" w:hAnsi="Times New Roman"/>
          <w:sz w:val="24"/>
          <w:szCs w:val="24"/>
          <w:lang w:eastAsia="sk-SK"/>
        </w:rPr>
        <w:t>-</w:t>
      </w: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widowControl w:val="0"/>
        <w:numPr>
          <w:numId w:val="2"/>
        </w:numPr>
        <w:autoSpaceDE w:val="0"/>
        <w:autoSpaceDN w:val="0"/>
        <w:bidi w:val="0"/>
        <w:adjustRightInd w:val="0"/>
        <w:spacing w:after="0" w:line="240" w:lineRule="auto"/>
        <w:rPr>
          <w:rFonts w:ascii="Times New Roman" w:hAnsi="Times New Roman"/>
          <w:color w:val="000000"/>
          <w:sz w:val="24"/>
          <w:szCs w:val="24"/>
          <w:lang w:eastAsia="sk-SK"/>
        </w:rPr>
      </w:pPr>
      <w:r w:rsidRPr="000B1A60">
        <w:rPr>
          <w:rFonts w:ascii="Times New Roman" w:hAnsi="Times New Roman"/>
          <w:color w:val="000000"/>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0B1A60" w:rsidRPr="000B1A60" w:rsidP="000B1A60">
      <w:pPr>
        <w:bidi w:val="0"/>
        <w:spacing w:after="0" w:line="240" w:lineRule="auto"/>
        <w:ind w:left="720"/>
        <w:rPr>
          <w:rFonts w:ascii="Times New Roman" w:hAnsi="Times New Roman"/>
          <w:sz w:val="24"/>
          <w:szCs w:val="24"/>
          <w:lang w:eastAsia="sk-SK"/>
        </w:rPr>
      </w:pPr>
      <w:r w:rsidRPr="000B1A60">
        <w:rPr>
          <w:rFonts w:ascii="Times New Roman" w:hAnsi="Times New Roman"/>
          <w:sz w:val="24"/>
          <w:szCs w:val="24"/>
          <w:lang w:eastAsia="sk-SK"/>
        </w:rPr>
        <w:t>-</w:t>
      </w:r>
    </w:p>
    <w:p w:rsidR="000B1A60" w:rsidRPr="000B1A60" w:rsidP="000B1A60">
      <w:pPr>
        <w:bidi w:val="0"/>
        <w:spacing w:after="0" w:line="240" w:lineRule="auto"/>
        <w:ind w:left="709" w:hanging="349"/>
        <w:rPr>
          <w:rFonts w:ascii="Times New Roman" w:hAnsi="Times New Roman"/>
          <w:sz w:val="24"/>
          <w:szCs w:val="24"/>
          <w:lang w:eastAsia="sk-SK"/>
        </w:rPr>
      </w:pPr>
      <w:r w:rsidRPr="000B1A60">
        <w:rPr>
          <w:rFonts w:ascii="Times New Roman" w:hAnsi="Times New Roman"/>
          <w:sz w:val="24"/>
          <w:szCs w:val="24"/>
          <w:lang w:eastAsia="sk-SK"/>
        </w:rPr>
        <w:tab/>
      </w:r>
    </w:p>
    <w:p w:rsidR="000B1A60" w:rsidRPr="000B1A60" w:rsidP="000B1A60">
      <w:pPr>
        <w:bidi w:val="0"/>
        <w:spacing w:after="0" w:line="240" w:lineRule="auto"/>
        <w:ind w:left="709" w:hanging="349"/>
        <w:rPr>
          <w:rFonts w:ascii="Times New Roman" w:hAnsi="Times New Roman"/>
          <w:sz w:val="24"/>
          <w:szCs w:val="24"/>
          <w:lang w:eastAsia="sk-SK"/>
        </w:rPr>
      </w:pPr>
      <w:r w:rsidRPr="000B1A60">
        <w:rPr>
          <w:rFonts w:ascii="Times New Roman" w:hAnsi="Times New Roman"/>
          <w:sz w:val="24"/>
          <w:szCs w:val="24"/>
          <w:lang w:eastAsia="sk-SK"/>
        </w:rPr>
        <w:t>c)</w:t>
        <w:tab/>
        <w:t>informácia o konaní začatom proti Slovenskej republike o porušení podľa čl. 258 až 260 Zmluvy o fungovaní Európskej únie</w:t>
      </w:r>
    </w:p>
    <w:p w:rsidR="000B1A60" w:rsidRPr="000B1A60" w:rsidP="000B1A60">
      <w:pPr>
        <w:bidi w:val="0"/>
        <w:spacing w:after="0" w:line="240" w:lineRule="auto"/>
        <w:ind w:left="720"/>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nebolo začaté konanie </w:t>
      </w:r>
    </w:p>
    <w:p w:rsidR="000B1A60" w:rsidRPr="000B1A60" w:rsidP="000B1A60">
      <w:pPr>
        <w:bidi w:val="0"/>
        <w:spacing w:after="0" w:line="240" w:lineRule="auto"/>
        <w:ind w:firstLine="708"/>
        <w:rPr>
          <w:rFonts w:ascii="Times New Roman" w:hAnsi="Times New Roman"/>
          <w:sz w:val="24"/>
          <w:szCs w:val="24"/>
          <w:lang w:eastAsia="sk-SK"/>
        </w:rPr>
      </w:pPr>
    </w:p>
    <w:p w:rsidR="000B1A60" w:rsidRPr="000B1A60" w:rsidP="000B1A60">
      <w:pPr>
        <w:bidi w:val="0"/>
        <w:spacing w:after="0" w:line="240" w:lineRule="auto"/>
        <w:ind w:left="709" w:hanging="349"/>
        <w:rPr>
          <w:rFonts w:ascii="Times New Roman" w:hAnsi="Times New Roman"/>
          <w:sz w:val="24"/>
          <w:szCs w:val="24"/>
          <w:lang w:eastAsia="sk-SK"/>
        </w:rPr>
      </w:pPr>
      <w:r w:rsidRPr="000B1A60">
        <w:rPr>
          <w:rFonts w:ascii="Times New Roman" w:hAnsi="Times New Roman"/>
          <w:sz w:val="24"/>
          <w:szCs w:val="24"/>
          <w:lang w:eastAsia="sk-SK"/>
        </w:rPr>
        <w:t>d)</w:t>
        <w:tab/>
        <w:t>informácia o právnych predpisoch, v ktorých sú preberané smernice už prebraté spolu s uvedením rozsahu tohto prebratia</w:t>
      </w:r>
    </w:p>
    <w:p w:rsidR="000B1A60" w:rsidRPr="000B1A60" w:rsidP="000B1A60">
      <w:pPr>
        <w:bidi w:val="0"/>
        <w:spacing w:after="0" w:line="240" w:lineRule="auto"/>
        <w:ind w:left="720"/>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Smernica 93/13/EHS:</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99/1963 Zb. Občiansky súdny poriadok v znení neskorších predpisov – v plnom rozsahu,</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40/1964 Zb. Občiansky zákonník v znení neskorších predpisov – v plnom rozsahu,</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250/2007 Z. z. o ochrane spotrebiteľa a o zmene zákona Slovenskej  národnej rady č. 372/1990 Zb. o priestupkoch v znení neskorších predpisov v znení neskorších predpisov – v plnom rozsahu.</w:t>
      </w:r>
    </w:p>
    <w:p w:rsidR="000B1A60" w:rsidRPr="000B1A60" w:rsidP="000B1A60">
      <w:pPr>
        <w:tabs>
          <w:tab w:val="left" w:pos="993"/>
        </w:tabs>
        <w:bidi w:val="0"/>
        <w:spacing w:after="0" w:line="240" w:lineRule="auto"/>
        <w:ind w:left="993" w:right="192"/>
        <w:jc w:val="both"/>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Smernica 2005/29/ES:</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250/2007 Z. z. o ochrane spotrebiteľa a o zmene zákona Slovenskej  národnej rady č. 372/1990 Zb. o priestupkoch v znení neskorších predpisov v znení neskorších predpisov – v plnom rozsahu.</w:t>
      </w: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Smernica 2008/48/ES:</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129/2010 Z. z. o spotrebiteľských úveroch a o iných úveroch a pôžičkách pre spotrebiteľov a o zmene a doplnení niektorých zákonov v znení v znení neskorších predpisov</w:t>
      </w:r>
      <w:r w:rsidRPr="000B1A60">
        <w:rPr>
          <w:rFonts w:ascii="Verdana" w:hAnsi="Verdana" w:cs="Verdana"/>
          <w:sz w:val="24"/>
          <w:szCs w:val="24"/>
          <w:lang w:eastAsia="sk-SK"/>
        </w:rPr>
        <w:t xml:space="preserve"> </w:t>
      </w:r>
      <w:r w:rsidRPr="000B1A60">
        <w:rPr>
          <w:rFonts w:ascii="Times New Roman" w:hAnsi="Times New Roman"/>
          <w:sz w:val="24"/>
          <w:szCs w:val="24"/>
          <w:lang w:eastAsia="sk-SK"/>
        </w:rPr>
        <w:t>– v plnom rozsahu.</w:t>
      </w:r>
    </w:p>
    <w:p w:rsidR="000B1A60" w:rsidRPr="000B1A60" w:rsidP="000B1A60">
      <w:pPr>
        <w:tabs>
          <w:tab w:val="left" w:pos="993"/>
        </w:tabs>
        <w:bidi w:val="0"/>
        <w:spacing w:after="0" w:line="240" w:lineRule="auto"/>
        <w:ind w:left="993" w:right="192"/>
        <w:jc w:val="both"/>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Smernica 2009/22/ES:</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99/1963 Zb. Občiansky súdny poriadok v znení neskorších predpisov – v plnom rozsahu,</w:t>
      </w:r>
    </w:p>
    <w:p w:rsidR="000B1A60" w:rsidRPr="000B1A60" w:rsidP="000B1A60">
      <w:pPr>
        <w:numPr>
          <w:numId w:val="4"/>
        </w:numPr>
        <w:tabs>
          <w:tab w:val="left" w:pos="993"/>
        </w:tabs>
        <w:bidi w:val="0"/>
        <w:spacing w:after="0" w:line="240" w:lineRule="auto"/>
        <w:ind w:left="993" w:right="192" w:hanging="284"/>
        <w:jc w:val="both"/>
        <w:rPr>
          <w:rFonts w:ascii="Times New Roman" w:hAnsi="Times New Roman"/>
          <w:sz w:val="24"/>
          <w:szCs w:val="24"/>
          <w:lang w:eastAsia="sk-SK"/>
        </w:rPr>
      </w:pPr>
      <w:r w:rsidRPr="000B1A60">
        <w:rPr>
          <w:rFonts w:ascii="Times New Roman" w:hAnsi="Times New Roman"/>
          <w:sz w:val="24"/>
          <w:szCs w:val="24"/>
          <w:lang w:eastAsia="sk-SK"/>
        </w:rPr>
        <w:t>zákon č. 250/2007 Z. z. o ochrane spotrebiteľa a o zmene zákona Slovenskej  národnej rady č. 372/1990 Zb. o priestupkoch v znení neskorších predpisov.</w:t>
      </w: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bidi w:val="0"/>
        <w:spacing w:after="0" w:line="240" w:lineRule="auto"/>
        <w:ind w:left="360" w:hanging="360"/>
        <w:rPr>
          <w:rFonts w:ascii="Times New Roman" w:hAnsi="Times New Roman"/>
          <w:b/>
          <w:sz w:val="24"/>
          <w:szCs w:val="24"/>
          <w:lang w:eastAsia="sk-SK"/>
        </w:rPr>
      </w:pPr>
      <w:r w:rsidRPr="000B1A60">
        <w:rPr>
          <w:rFonts w:ascii="Times New Roman" w:hAnsi="Times New Roman"/>
          <w:b/>
          <w:sz w:val="24"/>
          <w:szCs w:val="24"/>
          <w:lang w:eastAsia="sk-SK"/>
        </w:rPr>
        <w:t>5.</w:t>
        <w:tab/>
        <w:t>Stupeň zlučiteľnosti návrhu zákona s právom Európskej únie:</w:t>
      </w:r>
    </w:p>
    <w:p w:rsidR="000B1A60" w:rsidRPr="000B1A60" w:rsidP="000B1A60">
      <w:pPr>
        <w:bidi w:val="0"/>
        <w:spacing w:after="0" w:line="240" w:lineRule="auto"/>
        <w:rPr>
          <w:rFonts w:ascii="Times New Roman" w:hAnsi="Times New Roman"/>
          <w:sz w:val="24"/>
          <w:szCs w:val="24"/>
          <w:lang w:eastAsia="sk-SK"/>
        </w:rPr>
      </w:pPr>
    </w:p>
    <w:p w:rsidR="000B1A60" w:rsidRPr="000B1A60" w:rsidP="000B1A60">
      <w:pPr>
        <w:bidi w:val="0"/>
        <w:spacing w:after="0" w:line="240" w:lineRule="auto"/>
        <w:ind w:firstLine="708"/>
        <w:rPr>
          <w:rFonts w:ascii="Times New Roman" w:hAnsi="Times New Roman"/>
          <w:sz w:val="24"/>
          <w:szCs w:val="24"/>
          <w:lang w:eastAsia="sk-SK"/>
        </w:rPr>
      </w:pPr>
      <w:r w:rsidRPr="000B1A60">
        <w:rPr>
          <w:rFonts w:ascii="Times New Roman" w:hAnsi="Times New Roman"/>
          <w:sz w:val="24"/>
          <w:szCs w:val="24"/>
          <w:lang w:eastAsia="sk-SK"/>
        </w:rPr>
        <w:t xml:space="preserve">Stupeň zlučiteľnosti – úplný   </w:t>
      </w:r>
    </w:p>
    <w:p w:rsidR="000B1A60" w:rsidRPr="004F21E2" w:rsidP="004F21E2">
      <w:pPr>
        <w:bidi w:val="0"/>
        <w:spacing w:after="0" w:line="240" w:lineRule="auto"/>
        <w:ind w:firstLine="708"/>
        <w:jc w:val="both"/>
        <w:rPr>
          <w:rFonts w:ascii="Times New Roman" w:hAnsi="Times New Roman"/>
          <w:sz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1128"/>
    <w:multiLevelType w:val="hybridMultilevel"/>
    <w:tmpl w:val="2768440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7221C7"/>
    <w:multiLevelType w:val="hybridMultilevel"/>
    <w:tmpl w:val="665E9CBC"/>
    <w:lvl w:ilvl="0">
      <w:start w:val="1"/>
      <w:numFmt w:val="decimal"/>
      <w:lvlText w:val="%1."/>
      <w:lvlJc w:val="left"/>
      <w:pPr>
        <w:ind w:left="1080" w:hanging="360"/>
      </w:pPr>
      <w:rPr>
        <w:rFonts w:cs="Times New Roman" w:hint="default"/>
        <w:color w:val="auto"/>
        <w:rtl w:val="0"/>
        <w:cs w:val="0"/>
      </w:rPr>
    </w:lvl>
    <w:lvl w:ilvl="1">
      <w:start w:val="0"/>
      <w:numFmt w:val="bullet"/>
      <w:lvlText w:val="-"/>
      <w:lvlJc w:val="left"/>
      <w:pPr>
        <w:ind w:left="1800" w:hanging="360"/>
      </w:pPr>
      <w:rPr>
        <w:rFonts w:ascii="Times New Roman" w:eastAsia="Times New Roman" w:hAnsi="Times New Roman" w:hint="default"/>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BD950CF"/>
    <w:multiLevelType w:val="hybridMultilevel"/>
    <w:tmpl w:val="A80EA6A2"/>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4D952E1"/>
    <w:multiLevelType w:val="hybridMultilevel"/>
    <w:tmpl w:val="461E6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3804504"/>
    <w:multiLevelType w:val="hybridMultilevel"/>
    <w:tmpl w:val="A3B4B83A"/>
    <w:lvl w:ilvl="0">
      <w:start w:val="2"/>
      <w:numFmt w:val="bullet"/>
      <w:lvlText w:val="-"/>
      <w:lvlJc w:val="left"/>
      <w:pPr>
        <w:ind w:left="1788" w:hanging="360"/>
      </w:pPr>
      <w:rPr>
        <w:rFonts w:ascii="Times New Roman" w:eastAsia="Times New Roman" w:hAnsi="Times New Roman" w:hint="default"/>
      </w:rPr>
    </w:lvl>
    <w:lvl w:ilvl="1">
      <w:start w:val="1"/>
      <w:numFmt w:val="bullet"/>
      <w:lvlText w:val="o"/>
      <w:lvlJc w:val="left"/>
      <w:pPr>
        <w:ind w:left="2508" w:hanging="360"/>
      </w:pPr>
      <w:rPr>
        <w:rFonts w:ascii="Courier New" w:hAnsi="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hint="default"/>
      </w:rPr>
    </w:lvl>
    <w:lvl w:ilvl="8">
      <w:start w:val="1"/>
      <w:numFmt w:val="bullet"/>
      <w:lvlText w:val=""/>
      <w:lvlJc w:val="left"/>
      <w:pPr>
        <w:ind w:left="754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17254"/>
    <w:rsid w:val="000153E0"/>
    <w:rsid w:val="000B1A60"/>
    <w:rsid w:val="000C3CD9"/>
    <w:rsid w:val="00366709"/>
    <w:rsid w:val="003734D2"/>
    <w:rsid w:val="00400F79"/>
    <w:rsid w:val="004F21E2"/>
    <w:rsid w:val="00596981"/>
    <w:rsid w:val="005E7F51"/>
    <w:rsid w:val="005F5746"/>
    <w:rsid w:val="006B4C61"/>
    <w:rsid w:val="006D084B"/>
    <w:rsid w:val="006D5932"/>
    <w:rsid w:val="00713DB0"/>
    <w:rsid w:val="0076213A"/>
    <w:rsid w:val="007F6DB1"/>
    <w:rsid w:val="00817254"/>
    <w:rsid w:val="008B43ED"/>
    <w:rsid w:val="00905917"/>
    <w:rsid w:val="0098121C"/>
    <w:rsid w:val="00983394"/>
    <w:rsid w:val="00A322B5"/>
    <w:rsid w:val="00AC2DA5"/>
    <w:rsid w:val="00AD3C19"/>
    <w:rsid w:val="00AE04BB"/>
    <w:rsid w:val="00C37F0B"/>
    <w:rsid w:val="00C77106"/>
    <w:rsid w:val="00CF1E94"/>
    <w:rsid w:val="00D05BB9"/>
    <w:rsid w:val="00DD3939"/>
    <w:rsid w:val="00E77B92"/>
    <w:rsid w:val="00EB7D7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D3C19"/>
    <w:pPr>
      <w:ind w:left="720"/>
      <w:contextualSpacing/>
      <w:jc w:val="left"/>
    </w:pPr>
  </w:style>
  <w:style w:type="paragraph" w:styleId="BalloonText">
    <w:name w:val="Balloon Text"/>
    <w:basedOn w:val="Normal"/>
    <w:link w:val="TextbublinyChar"/>
    <w:uiPriority w:val="99"/>
    <w:rsid w:val="00AC2DA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AC2DA5"/>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112</TotalTime>
  <Pages>9</Pages>
  <Words>2498</Words>
  <Characters>14242</Characters>
  <Application>Microsoft Office Word</Application>
  <DocSecurity>0</DocSecurity>
  <Lines>0</Lines>
  <Paragraphs>0</Paragraphs>
  <ScaleCrop>false</ScaleCrop>
  <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MALIAR Martin</dc:creator>
  <cp:lastModifiedBy>Okruhlicová, Martina, Mgr.</cp:lastModifiedBy>
  <cp:revision>19</cp:revision>
  <cp:lastPrinted>2015-08-28T14:43:00Z</cp:lastPrinted>
  <dcterms:created xsi:type="dcterms:W3CDTF">2015-08-27T13:06:00Z</dcterms:created>
  <dcterms:modified xsi:type="dcterms:W3CDTF">2015-08-28T14:43:00Z</dcterms:modified>
</cp:coreProperties>
</file>