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9E9" w:rsidRPr="00F05301" w:rsidP="00F0530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F05301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05301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F05301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05301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05301" w:rsidR="00B56579">
        <w:rPr>
          <w:rFonts w:ascii="Book Antiqua" w:hAnsi="Book Antiqua"/>
          <w:sz w:val="22"/>
          <w:szCs w:val="22"/>
        </w:rPr>
        <w:t>z ...</w:t>
      </w:r>
      <w:r w:rsidRPr="00F05301" w:rsidR="00465C34">
        <w:rPr>
          <w:rFonts w:ascii="Book Antiqua" w:hAnsi="Book Antiqua"/>
          <w:sz w:val="22"/>
          <w:szCs w:val="22"/>
        </w:rPr>
        <w:t xml:space="preserve"> 2015</w:t>
      </w:r>
      <w:r w:rsidRPr="00F05301">
        <w:rPr>
          <w:rFonts w:ascii="Book Antiqua" w:hAnsi="Book Antiqua"/>
          <w:sz w:val="22"/>
          <w:szCs w:val="22"/>
        </w:rPr>
        <w:t>,</w:t>
      </w: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05301" w:rsidR="00FD1252">
        <w:rPr>
          <w:rFonts w:ascii="Book Antiqua" w:hAnsi="Book Antiqua"/>
          <w:b/>
          <w:sz w:val="22"/>
          <w:szCs w:val="22"/>
        </w:rPr>
        <w:t xml:space="preserve">ktorým sa mení </w:t>
      </w:r>
      <w:r w:rsidRPr="00F05301" w:rsidR="00FA37AF">
        <w:rPr>
          <w:rFonts w:ascii="Book Antiqua" w:hAnsi="Book Antiqua"/>
          <w:b/>
          <w:sz w:val="22"/>
          <w:szCs w:val="22"/>
        </w:rPr>
        <w:t xml:space="preserve">a dopĺňa </w:t>
      </w:r>
      <w:r w:rsidRPr="00F05301" w:rsidR="00FD1252">
        <w:rPr>
          <w:rFonts w:ascii="Book Antiqua" w:hAnsi="Book Antiqua"/>
          <w:b/>
          <w:sz w:val="22"/>
          <w:szCs w:val="22"/>
        </w:rPr>
        <w:t xml:space="preserve">zákon </w:t>
      </w:r>
      <w:r w:rsidRPr="00F05301" w:rsidR="00D61CF1">
        <w:rPr>
          <w:rFonts w:ascii="Book Antiqua" w:hAnsi="Book Antiqua"/>
          <w:b/>
          <w:sz w:val="22"/>
          <w:szCs w:val="22"/>
        </w:rPr>
        <w:t xml:space="preserve">č. 250/2007 Z. z. o ochrane spotrebiteľa a o zmene zákona </w:t>
      </w:r>
      <w:r w:rsidR="00F05301">
        <w:rPr>
          <w:rFonts w:ascii="Book Antiqua" w:hAnsi="Book Antiqua"/>
          <w:b/>
          <w:sz w:val="22"/>
          <w:szCs w:val="22"/>
        </w:rPr>
        <w:t xml:space="preserve">Slovenskej </w:t>
      </w:r>
      <w:r w:rsidRPr="00F05301" w:rsidR="00D61CF1">
        <w:rPr>
          <w:rFonts w:ascii="Book Antiqua" w:hAnsi="Book Antiqua"/>
          <w:b/>
          <w:sz w:val="22"/>
          <w:szCs w:val="22"/>
        </w:rPr>
        <w:t>národnej rady č. 372/1990 Zb. o priestupkoch v znení neskorších predpisov a ktor</w:t>
      </w:r>
      <w:r w:rsidR="00F05301">
        <w:rPr>
          <w:rFonts w:ascii="Book Antiqua" w:hAnsi="Book Antiqua"/>
          <w:b/>
          <w:sz w:val="22"/>
          <w:szCs w:val="22"/>
        </w:rPr>
        <w:t>ým sa menia a dopĺňajú niektoré zákony</w:t>
      </w:r>
    </w:p>
    <w:p w:rsidR="00465C34" w:rsidRPr="00F05301" w:rsidP="00F053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F05301" w:rsidP="00F053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E459E9" w:rsidRPr="00F05301" w:rsidP="00F0530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F05301" w:rsidP="00F053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/>
          <w:bCs/>
          <w:sz w:val="22"/>
          <w:szCs w:val="22"/>
        </w:rPr>
        <w:t>Čl. I</w:t>
      </w:r>
    </w:p>
    <w:p w:rsidR="00A62CC6" w:rsidRPr="00F05301" w:rsidP="00F053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 xml:space="preserve">Zákon č. 250/2007 Z. z. </w:t>
      </w:r>
      <w:r w:rsidRPr="00F05301">
        <w:rPr>
          <w:rFonts w:ascii="Book Antiqua" w:hAnsi="Book Antiqua"/>
          <w:sz w:val="22"/>
          <w:szCs w:val="22"/>
        </w:rPr>
        <w:t xml:space="preserve">o ochrane spotrebiteľa a o zmene zákona Slovenskej národnej rady č. 372/1990 Zb. o priestupkoch v znení </w:t>
      </w:r>
      <w:r w:rsidRPr="00F05301">
        <w:rPr>
          <w:rFonts w:ascii="Book Antiqua" w:hAnsi="Book Antiqua"/>
          <w:bCs/>
          <w:sz w:val="22"/>
          <w:szCs w:val="22"/>
        </w:rPr>
        <w:t xml:space="preserve">zákona </w:t>
      </w:r>
      <w:r w:rsidRPr="00F05301">
        <w:rPr>
          <w:rFonts w:ascii="Book Antiqua" w:hAnsi="Book Antiqua"/>
          <w:color w:val="000000"/>
          <w:sz w:val="22"/>
          <w:szCs w:val="22"/>
        </w:rPr>
        <w:t xml:space="preserve">č. 397/2008 Z. z., zákona č. 318/2009 Z. z., zákona č. 575/2009 Z. z., zákona č. 508/2010 Z. z., zákona č. 301/2012 Z. z., 132/2013 Z. z., zákona č. 437/2013 Z. z., zákona č. 102/2014 Z. z., zákona č. 151/2014 Z. z., zákona </w:t>
      </w:r>
      <w:r w:rsidR="00F05301">
        <w:rPr>
          <w:rFonts w:ascii="Book Antiqua" w:hAnsi="Book Antiqua"/>
          <w:color w:val="000000"/>
          <w:sz w:val="22"/>
          <w:szCs w:val="22"/>
        </w:rPr>
        <w:t xml:space="preserve">               </w:t>
      </w:r>
      <w:r w:rsidRPr="00F05301">
        <w:rPr>
          <w:rFonts w:ascii="Book Antiqua" w:hAnsi="Book Antiqua"/>
          <w:color w:val="000000"/>
          <w:sz w:val="22"/>
          <w:szCs w:val="22"/>
        </w:rPr>
        <w:t xml:space="preserve">č. 199/2014 Z. z. a zákona č. 373/2014 Z. z. sa mení a dopĺňa takto: </w:t>
      </w:r>
    </w:p>
    <w:p w:rsidR="007D4D2F" w:rsidRPr="00F05301" w:rsidP="00F05301">
      <w:pPr>
        <w:pStyle w:val="BodyText"/>
        <w:numPr>
          <w:numId w:val="1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 xml:space="preserve">V § </w:t>
      </w:r>
      <w:r w:rsidRPr="00F05301" w:rsidR="00F3274E">
        <w:rPr>
          <w:rFonts w:ascii="Book Antiqua" w:hAnsi="Book Antiqua"/>
          <w:bCs/>
          <w:sz w:val="22"/>
          <w:szCs w:val="22"/>
        </w:rPr>
        <w:t>2 sa za písmeno a) vkladajú nové písmená</w:t>
      </w:r>
      <w:r w:rsidRPr="00F05301">
        <w:rPr>
          <w:rFonts w:ascii="Book Antiqua" w:hAnsi="Book Antiqua"/>
          <w:bCs/>
          <w:sz w:val="22"/>
          <w:szCs w:val="22"/>
        </w:rPr>
        <w:t xml:space="preserve"> b)</w:t>
      </w:r>
      <w:r w:rsidRPr="00F05301" w:rsidR="00F3274E">
        <w:rPr>
          <w:rFonts w:ascii="Book Antiqua" w:hAnsi="Book Antiqua"/>
          <w:bCs/>
          <w:sz w:val="22"/>
          <w:szCs w:val="22"/>
        </w:rPr>
        <w:t xml:space="preserve"> a c), ktoré zn</w:t>
      </w:r>
      <w:r w:rsidRPr="00F05301">
        <w:rPr>
          <w:rFonts w:ascii="Book Antiqua" w:hAnsi="Book Antiqua"/>
          <w:bCs/>
          <w:sz w:val="22"/>
          <w:szCs w:val="22"/>
        </w:rPr>
        <w:t>e</w:t>
      </w:r>
      <w:r w:rsidRPr="00F05301" w:rsidR="00F3274E">
        <w:rPr>
          <w:rFonts w:ascii="Book Antiqua" w:hAnsi="Book Antiqua"/>
          <w:bCs/>
          <w:sz w:val="22"/>
          <w:szCs w:val="22"/>
        </w:rPr>
        <w:t>jú</w:t>
      </w:r>
      <w:r w:rsidRPr="00F05301">
        <w:rPr>
          <w:rFonts w:ascii="Book Antiqua" w:hAnsi="Book Antiqua"/>
          <w:bCs/>
          <w:sz w:val="22"/>
          <w:szCs w:val="22"/>
        </w:rPr>
        <w:t>:</w:t>
      </w:r>
    </w:p>
    <w:p w:rsidR="007D4D2F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E3540E" w:rsidR="00B767CC">
        <w:rPr>
          <w:rFonts w:ascii="Book Antiqua" w:hAnsi="Book Antiqua"/>
          <w:bCs/>
          <w:sz w:val="22"/>
          <w:szCs w:val="22"/>
        </w:rPr>
        <w:t>„b) zraniteľným spotrebiteľom</w:t>
      </w:r>
      <w:r w:rsidRPr="00E3540E">
        <w:rPr>
          <w:rFonts w:ascii="Book Antiqua" w:hAnsi="Book Antiqua"/>
          <w:bCs/>
          <w:sz w:val="22"/>
          <w:szCs w:val="22"/>
        </w:rPr>
        <w:t xml:space="preserve"> fyzická osoba</w:t>
      </w:r>
      <w:r w:rsidRPr="00E3540E" w:rsidR="00D61CF1">
        <w:rPr>
          <w:rFonts w:ascii="Book Antiqua" w:hAnsi="Book Antiqua"/>
          <w:bCs/>
          <w:sz w:val="22"/>
          <w:szCs w:val="22"/>
        </w:rPr>
        <w:t>, ktorá je ťažko zdravotne postihnutá</w:t>
      </w:r>
      <w:r w:rsidRPr="00E3540E" w:rsidR="00D4517B">
        <w:rPr>
          <w:rStyle w:val="FootnoteReference"/>
          <w:rFonts w:ascii="Book Antiqua" w:hAnsi="Book Antiqua"/>
          <w:bCs/>
          <w:sz w:val="22"/>
          <w:szCs w:val="22"/>
        </w:rPr>
        <w:t>2b</w:t>
      </w:r>
      <w:r w:rsidRPr="00E3540E" w:rsidR="00FC3CAD">
        <w:rPr>
          <w:rStyle w:val="FootnoteReference"/>
          <w:rFonts w:ascii="Book Antiqua" w:hAnsi="Book Antiqua"/>
          <w:bCs/>
          <w:sz w:val="22"/>
          <w:szCs w:val="22"/>
        </w:rPr>
        <w:t>)</w:t>
      </w:r>
      <w:r w:rsidRPr="00E3540E" w:rsidR="00D61CF1">
        <w:rPr>
          <w:rFonts w:ascii="Book Antiqua" w:hAnsi="Book Antiqua"/>
          <w:bCs/>
          <w:sz w:val="22"/>
          <w:szCs w:val="22"/>
        </w:rPr>
        <w:t>, fyzická osoba v dôchodkovom veku</w:t>
      </w:r>
      <w:r w:rsidRPr="00E3540E" w:rsidR="00D4517B">
        <w:rPr>
          <w:rStyle w:val="FootnoteReference"/>
          <w:rFonts w:ascii="Book Antiqua" w:hAnsi="Book Antiqua"/>
          <w:bCs/>
          <w:sz w:val="22"/>
          <w:szCs w:val="22"/>
        </w:rPr>
        <w:t>2c</w:t>
      </w:r>
      <w:r w:rsidRPr="00E3540E" w:rsidR="00FC3CAD">
        <w:rPr>
          <w:rStyle w:val="FootnoteReference"/>
          <w:rFonts w:ascii="Book Antiqua" w:hAnsi="Book Antiqua"/>
          <w:bCs/>
          <w:sz w:val="22"/>
          <w:szCs w:val="22"/>
        </w:rPr>
        <w:t>)</w:t>
      </w:r>
      <w:r w:rsidRPr="00E3540E" w:rsidR="00D61CF1">
        <w:rPr>
          <w:rFonts w:ascii="Book Antiqua" w:hAnsi="Book Antiqua"/>
          <w:bCs/>
          <w:sz w:val="22"/>
          <w:szCs w:val="22"/>
        </w:rPr>
        <w:t>, fyzická osoba</w:t>
      </w:r>
      <w:r w:rsidRPr="00E3540E" w:rsidR="00795562">
        <w:rPr>
          <w:rFonts w:ascii="Book Antiqua" w:hAnsi="Book Antiqua"/>
          <w:bCs/>
          <w:sz w:val="22"/>
          <w:szCs w:val="22"/>
        </w:rPr>
        <w:t xml:space="preserve"> vo</w:t>
      </w:r>
      <w:r w:rsidRPr="00E3540E" w:rsidR="005D13C7">
        <w:rPr>
          <w:rFonts w:ascii="Book Antiqua" w:hAnsi="Book Antiqua"/>
          <w:bCs/>
          <w:sz w:val="22"/>
          <w:szCs w:val="22"/>
        </w:rPr>
        <w:t xml:space="preserve"> veku nižšom ako pätnásť rokov,</w:t>
      </w:r>
      <w:r w:rsidRPr="00E3540E" w:rsidR="00795562">
        <w:rPr>
          <w:rFonts w:ascii="Book Antiqua" w:hAnsi="Book Antiqua"/>
          <w:bCs/>
          <w:sz w:val="22"/>
          <w:szCs w:val="22"/>
        </w:rPr>
        <w:t> fyzická osoba, ktorá poberá dávku v hmotnej núdzi</w:t>
      </w:r>
      <w:r w:rsidRPr="00E3540E" w:rsidR="00D4517B">
        <w:rPr>
          <w:rStyle w:val="FootnoteReference"/>
          <w:rFonts w:ascii="Book Antiqua" w:hAnsi="Book Antiqua"/>
          <w:bCs/>
          <w:sz w:val="22"/>
          <w:szCs w:val="22"/>
        </w:rPr>
        <w:t>2d</w:t>
      </w:r>
      <w:r w:rsidRPr="00E3540E" w:rsidR="00F3274E">
        <w:rPr>
          <w:rStyle w:val="FootnoteReference"/>
          <w:rFonts w:ascii="Book Antiqua" w:hAnsi="Book Antiqua"/>
          <w:bCs/>
          <w:sz w:val="22"/>
          <w:szCs w:val="22"/>
        </w:rPr>
        <w:t>)</w:t>
      </w:r>
      <w:r w:rsidRPr="00E3540E" w:rsidR="007518BB">
        <w:rPr>
          <w:rFonts w:ascii="Book Antiqua" w:hAnsi="Book Antiqua"/>
          <w:bCs/>
          <w:sz w:val="22"/>
          <w:szCs w:val="22"/>
        </w:rPr>
        <w:t xml:space="preserve"> a</w:t>
      </w:r>
      <w:r w:rsidRPr="00E3540E" w:rsidR="00E3540E">
        <w:rPr>
          <w:rFonts w:ascii="Book Antiqua" w:hAnsi="Book Antiqua"/>
          <w:bCs/>
          <w:sz w:val="22"/>
          <w:szCs w:val="22"/>
        </w:rPr>
        <w:t xml:space="preserve"> fyzická </w:t>
      </w:r>
      <w:r w:rsidRPr="00E3540E" w:rsidR="007518BB">
        <w:rPr>
          <w:rFonts w:ascii="Book Antiqua" w:hAnsi="Book Antiqua"/>
          <w:bCs/>
          <w:sz w:val="22"/>
          <w:szCs w:val="22"/>
        </w:rPr>
        <w:t>osoba,</w:t>
      </w:r>
      <w:r w:rsidRPr="00E3540E" w:rsidR="005D13C7">
        <w:rPr>
          <w:rFonts w:ascii="Book Antiqua" w:hAnsi="Book Antiqua"/>
          <w:bCs/>
          <w:sz w:val="22"/>
          <w:szCs w:val="22"/>
        </w:rPr>
        <w:t xml:space="preserve"> ktorá nemá úspešne absolv</w:t>
      </w:r>
      <w:r w:rsidRPr="00E3540E" w:rsidR="002C3923">
        <w:rPr>
          <w:rFonts w:ascii="Book Antiqua" w:hAnsi="Book Antiqua"/>
          <w:bCs/>
          <w:sz w:val="22"/>
          <w:szCs w:val="22"/>
        </w:rPr>
        <w:t>ované aspoň nižšie stredné vzdelanie</w:t>
      </w:r>
      <w:r w:rsidRPr="00E3540E" w:rsidR="002C3923">
        <w:rPr>
          <w:rStyle w:val="FootnoteReference"/>
          <w:rFonts w:ascii="Book Antiqua" w:hAnsi="Book Antiqua"/>
          <w:bCs/>
          <w:sz w:val="22"/>
          <w:szCs w:val="22"/>
        </w:rPr>
        <w:t>2e)</w:t>
      </w:r>
      <w:r w:rsidRPr="00E3540E" w:rsidR="002C3923">
        <w:rPr>
          <w:rFonts w:ascii="Book Antiqua" w:hAnsi="Book Antiqua"/>
          <w:bCs/>
          <w:sz w:val="22"/>
          <w:szCs w:val="22"/>
        </w:rPr>
        <w:t>,</w:t>
      </w:r>
    </w:p>
    <w:p w:rsidR="007518BB" w:rsidRPr="00F05301" w:rsidP="007518BB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 w:rsidR="00F3274E">
        <w:rPr>
          <w:rFonts w:ascii="Book Antiqua" w:hAnsi="Book Antiqua"/>
          <w:bCs/>
          <w:sz w:val="22"/>
          <w:szCs w:val="22"/>
        </w:rPr>
        <w:t>c) priemerným spotrebiteľom fyzická osoba, ktorá je bežne informovaná a primerane pozorná a obozretná,“.</w:t>
      </w:r>
    </w:p>
    <w:p w:rsidR="00795562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E3540E" w:rsidR="00E403C9">
        <w:rPr>
          <w:rFonts w:ascii="Book Antiqua" w:hAnsi="Book Antiqua"/>
          <w:bCs/>
          <w:sz w:val="22"/>
          <w:szCs w:val="22"/>
        </w:rPr>
        <w:t>Poznám</w:t>
      </w:r>
      <w:r w:rsidRPr="00E3540E" w:rsidR="002C3923">
        <w:rPr>
          <w:rFonts w:ascii="Book Antiqua" w:hAnsi="Book Antiqua"/>
          <w:bCs/>
          <w:sz w:val="22"/>
          <w:szCs w:val="22"/>
        </w:rPr>
        <w:t>ky pod čiarou k odkazom 2b až 2e</w:t>
      </w:r>
      <w:r w:rsidRPr="00E3540E">
        <w:rPr>
          <w:rFonts w:ascii="Book Antiqua" w:hAnsi="Book Antiqua"/>
          <w:bCs/>
          <w:sz w:val="22"/>
          <w:szCs w:val="22"/>
        </w:rPr>
        <w:t xml:space="preserve"> znejú:</w:t>
      </w:r>
    </w:p>
    <w:p w:rsidR="00795562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„</w:t>
      </w:r>
      <w:r w:rsidRPr="00F05301" w:rsidR="002F49AE">
        <w:rPr>
          <w:rStyle w:val="FootnoteReference"/>
          <w:rFonts w:ascii="Book Antiqua" w:hAnsi="Book Antiqua"/>
          <w:bCs/>
          <w:sz w:val="22"/>
          <w:szCs w:val="22"/>
        </w:rPr>
        <w:t>2b)</w:t>
      </w:r>
      <w:r w:rsidR="00E403C9">
        <w:rPr>
          <w:rFonts w:ascii="Book Antiqua" w:hAnsi="Book Antiqua"/>
          <w:bCs/>
          <w:sz w:val="22"/>
          <w:szCs w:val="22"/>
        </w:rPr>
        <w:t xml:space="preserve"> § 2 ods. 3 zákona </w:t>
      </w:r>
      <w:r w:rsidRPr="00F05301">
        <w:rPr>
          <w:rFonts w:ascii="Book Antiqua" w:hAnsi="Book Antiqua"/>
          <w:bCs/>
          <w:sz w:val="22"/>
          <w:szCs w:val="22"/>
        </w:rPr>
        <w:t>č. 447/2008 Z. z. o peňažných príspevkoch na kompenzáciu ťažkého zdravotného postihnutia a o zmene a doplnení niektorých zákonov.</w:t>
      </w:r>
    </w:p>
    <w:p w:rsidR="00795562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 w:rsidR="002F49AE">
        <w:rPr>
          <w:rStyle w:val="FootnoteReference"/>
          <w:rFonts w:ascii="Book Antiqua" w:hAnsi="Book Antiqua"/>
          <w:bCs/>
          <w:sz w:val="22"/>
          <w:szCs w:val="22"/>
        </w:rPr>
        <w:t>2c</w:t>
      </w:r>
      <w:r w:rsidRPr="00F05301">
        <w:rPr>
          <w:rStyle w:val="FootnoteReference"/>
          <w:rFonts w:ascii="Book Antiqua" w:hAnsi="Book Antiqua"/>
          <w:bCs/>
          <w:sz w:val="22"/>
          <w:szCs w:val="22"/>
        </w:rPr>
        <w:t xml:space="preserve">) </w:t>
      </w:r>
      <w:r w:rsidRPr="00F05301">
        <w:rPr>
          <w:rFonts w:ascii="Book Antiqua" w:hAnsi="Book Antiqua"/>
          <w:bCs/>
          <w:sz w:val="22"/>
          <w:szCs w:val="22"/>
        </w:rPr>
        <w:t xml:space="preserve">§ 65 ods. 2 zákona č. 461/2003 Z. z. o sociálnom </w:t>
      </w:r>
      <w:r w:rsidRPr="00F05301" w:rsidR="00082B28">
        <w:rPr>
          <w:rFonts w:ascii="Book Antiqua" w:hAnsi="Book Antiqua"/>
          <w:bCs/>
          <w:sz w:val="22"/>
          <w:szCs w:val="22"/>
        </w:rPr>
        <w:t>poistení</w:t>
      </w:r>
      <w:r w:rsidRPr="00F05301">
        <w:rPr>
          <w:rFonts w:ascii="Book Antiqua" w:hAnsi="Book Antiqua"/>
          <w:bCs/>
          <w:sz w:val="22"/>
          <w:szCs w:val="22"/>
        </w:rPr>
        <w:t>.</w:t>
      </w:r>
    </w:p>
    <w:p w:rsidR="00795562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 w:rsidR="002F49AE">
        <w:rPr>
          <w:rStyle w:val="FootnoteReference"/>
          <w:rFonts w:ascii="Book Antiqua" w:hAnsi="Book Antiqua"/>
          <w:bCs/>
          <w:sz w:val="22"/>
          <w:szCs w:val="22"/>
        </w:rPr>
        <w:t>2d</w:t>
      </w:r>
      <w:r w:rsidRPr="00F05301">
        <w:rPr>
          <w:rStyle w:val="FootnoteReference"/>
          <w:rFonts w:ascii="Book Antiqua" w:hAnsi="Book Antiqua"/>
          <w:bCs/>
          <w:sz w:val="22"/>
          <w:szCs w:val="22"/>
        </w:rPr>
        <w:t xml:space="preserve">) </w:t>
      </w:r>
      <w:r w:rsidRPr="00F05301">
        <w:rPr>
          <w:rFonts w:ascii="Book Antiqua" w:hAnsi="Book Antiqua"/>
          <w:bCs/>
          <w:sz w:val="22"/>
          <w:szCs w:val="22"/>
        </w:rPr>
        <w:t xml:space="preserve">§ 10 zákona č. 417/2013 Z. z. o pomoci v hmotnej núdzi a o zmene </w:t>
      </w:r>
      <w:r w:rsidR="002C3923">
        <w:rPr>
          <w:rFonts w:ascii="Book Antiqua" w:hAnsi="Book Antiqua"/>
          <w:bCs/>
          <w:sz w:val="22"/>
          <w:szCs w:val="22"/>
        </w:rPr>
        <w:t>a doplnení niektorých zákonov.</w:t>
      </w:r>
    </w:p>
    <w:p w:rsidR="002C3923" w:rsidRPr="00F05301" w:rsidP="002C3923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E3540E">
        <w:rPr>
          <w:rStyle w:val="FootnoteReference"/>
          <w:rFonts w:ascii="Book Antiqua" w:hAnsi="Book Antiqua"/>
          <w:bCs/>
          <w:sz w:val="22"/>
          <w:szCs w:val="22"/>
        </w:rPr>
        <w:t xml:space="preserve">2e) </w:t>
      </w:r>
      <w:r w:rsidRPr="00E3540E">
        <w:rPr>
          <w:rFonts w:ascii="Book Antiqua" w:hAnsi="Book Antiqua"/>
          <w:bCs/>
          <w:sz w:val="22"/>
          <w:szCs w:val="22"/>
        </w:rPr>
        <w:t>§ 16 ods. 3 písm. b) zákona č. 245/2008</w:t>
      </w:r>
      <w:r w:rsidRPr="00E3540E" w:rsidR="00E3540E">
        <w:rPr>
          <w:rFonts w:ascii="Book Antiqua" w:hAnsi="Book Antiqua"/>
          <w:bCs/>
          <w:sz w:val="22"/>
          <w:szCs w:val="22"/>
        </w:rPr>
        <w:t xml:space="preserve"> Z. z. o výchove a vzdelávaní (š</w:t>
      </w:r>
      <w:r w:rsidRPr="00E3540E">
        <w:rPr>
          <w:rFonts w:ascii="Book Antiqua" w:hAnsi="Book Antiqua"/>
          <w:bCs/>
          <w:sz w:val="22"/>
          <w:szCs w:val="22"/>
        </w:rPr>
        <w:t>kolský zákon) a o zmene a doplnení niektorých zákonov.“.</w:t>
      </w:r>
    </w:p>
    <w:p w:rsidR="00861F03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Doterajšie písmená b) až zd) sa označujú ako písmená d) a zf).“.</w:t>
      </w:r>
    </w:p>
    <w:p w:rsidR="00224DB1" w:rsidP="00F05301">
      <w:pPr>
        <w:pStyle w:val="BodyText"/>
        <w:numPr>
          <w:numId w:val="1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18 ods. 4 sa slová „podľa § 2 písm. m)“ nahrádzajú slovami „podľa § 2 písm. n)“.</w:t>
      </w:r>
    </w:p>
    <w:p w:rsidR="0023615B" w:rsidRPr="005B03CB" w:rsidP="00EE2D0B">
      <w:pPr>
        <w:pStyle w:val="BodyText"/>
        <w:numPr>
          <w:numId w:val="1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 w:rsidR="005D47BD">
        <w:rPr>
          <w:rFonts w:ascii="Book Antiqua" w:hAnsi="Book Antiqua"/>
          <w:bCs/>
          <w:sz w:val="22"/>
          <w:szCs w:val="22"/>
        </w:rPr>
        <w:t xml:space="preserve">V § 18 ods. 6 prvej vete pred bodkočiarkou sa za slová „odborného posúdenia“ vkladajú čiarka a slová „ktoré je predávajúci na žiadosť spotrebiteľa povinný </w:t>
      </w:r>
      <w:r w:rsidRPr="005B03CB" w:rsidR="005D47BD">
        <w:rPr>
          <w:rFonts w:ascii="Book Antiqua" w:hAnsi="Book Antiqua"/>
          <w:bCs/>
          <w:sz w:val="22"/>
          <w:szCs w:val="22"/>
        </w:rPr>
        <w:t>vykonať u príslušného znalca určeného spotrebiteľom alebo u príslušnej autorizovanej, notifikova</w:t>
      </w:r>
      <w:r w:rsidRPr="005B03CB" w:rsidR="00EE2D0B">
        <w:rPr>
          <w:rFonts w:ascii="Book Antiqua" w:hAnsi="Book Antiqua"/>
          <w:bCs/>
          <w:sz w:val="22"/>
          <w:szCs w:val="22"/>
        </w:rPr>
        <w:t>nej alebo akreditovanej osoby“.</w:t>
      </w:r>
    </w:p>
    <w:p w:rsidR="00764EBE" w:rsidRPr="005B03CB" w:rsidP="00F05301">
      <w:pPr>
        <w:pStyle w:val="BodyText"/>
        <w:numPr>
          <w:numId w:val="1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5B03CB" w:rsidR="00B22339">
        <w:rPr>
          <w:rFonts w:ascii="Book Antiqua" w:hAnsi="Book Antiqua"/>
          <w:bCs/>
          <w:sz w:val="22"/>
          <w:szCs w:val="22"/>
        </w:rPr>
        <w:t xml:space="preserve">V § </w:t>
      </w:r>
      <w:r w:rsidRPr="005B03CB" w:rsidR="00796B78">
        <w:rPr>
          <w:rFonts w:ascii="Book Antiqua" w:hAnsi="Book Antiqua"/>
          <w:bCs/>
          <w:sz w:val="22"/>
          <w:szCs w:val="22"/>
        </w:rPr>
        <w:t xml:space="preserve">18 ods. 7 </w:t>
      </w:r>
      <w:r w:rsidRPr="005B03CB">
        <w:rPr>
          <w:rFonts w:ascii="Book Antiqua" w:hAnsi="Book Antiqua"/>
          <w:sz w:val="22"/>
          <w:szCs w:val="22"/>
        </w:rPr>
        <w:t>znie</w:t>
      </w:r>
      <w:r w:rsidRPr="005B03CB" w:rsidR="001F4C74">
        <w:rPr>
          <w:rFonts w:ascii="Book Antiqua" w:hAnsi="Book Antiqua"/>
          <w:sz w:val="22"/>
          <w:szCs w:val="22"/>
        </w:rPr>
        <w:t>:</w:t>
      </w:r>
    </w:p>
    <w:p w:rsidR="00B22339" w:rsidRPr="005B03CB" w:rsidP="00764EBE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5B03CB" w:rsidR="001F4C74">
        <w:rPr>
          <w:rFonts w:ascii="Book Antiqua" w:hAnsi="Book Antiqua"/>
          <w:sz w:val="22"/>
          <w:szCs w:val="22"/>
        </w:rPr>
        <w:t>„</w:t>
      </w:r>
      <w:r w:rsidRPr="005B03CB" w:rsidR="00764EBE">
        <w:rPr>
          <w:rFonts w:ascii="Book Antiqua" w:hAnsi="Book Antiqua"/>
          <w:sz w:val="22"/>
          <w:szCs w:val="22"/>
        </w:rPr>
        <w:t xml:space="preserve">(7) </w:t>
      </w:r>
      <w:r w:rsidRPr="005B03CB" w:rsidR="00764EB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Ak spotrebiteľ reklamáciu výrobku uplatnil po 12 mesiacoch od kúpy a predávajúci ju zamietol, osoba, ktorá reklamáciu vybavila, je povinná v doklade o vybavení reklamácie </w:t>
      </w:r>
      <w:r w:rsidRPr="005B03CB" w:rsidR="00764EBE">
        <w:rPr>
          <w:rFonts w:ascii="Book Antiqua" w:hAnsi="Book Antiqua"/>
          <w:bCs/>
          <w:sz w:val="22"/>
          <w:szCs w:val="22"/>
        </w:rPr>
        <w:t>uviesť, že spotrebiteľ môže zaslať výrobok na odborné posúdenie ktorémukoľvek znalcovi v príslušnom odbore</w:t>
      </w:r>
      <w:r w:rsidRPr="005B03CB" w:rsidR="00764EB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, a že náklady odborného posúdenia, ako aj všetky ostatné s tým súvisiace účelne vynaložené náklady znáša predávajúci bez ohľadu na výsledok odborného posúdenia. Ak spotrebiteľ odborným posúdením preukáže zodpovednosť predávajúceho za vadu, môže reklamáciu uplatniť znova; počas vykonávania odborného posúdenia záručná doba neplynie. Znova uplatnenú reklamáciu nemožno zamietnuť.</w:t>
      </w:r>
      <w:r w:rsidRPr="005B03CB" w:rsidR="00764EBE">
        <w:rPr>
          <w:rFonts w:ascii="Book Antiqua" w:hAnsi="Book Antiqua" w:cs="Arial"/>
          <w:color w:val="000000"/>
          <w:shd w:val="clear" w:color="auto" w:fill="FFFFFF"/>
        </w:rPr>
        <w:t xml:space="preserve">“ </w:t>
      </w:r>
    </w:p>
    <w:p w:rsidR="00224DB1" w:rsidRPr="005B03CB" w:rsidP="00224DB1">
      <w:pPr>
        <w:pStyle w:val="BodyText"/>
        <w:numPr>
          <w:numId w:val="1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5B03CB">
        <w:rPr>
          <w:rFonts w:ascii="Book Antiqua" w:hAnsi="Book Antiqua"/>
          <w:bCs/>
          <w:sz w:val="22"/>
          <w:szCs w:val="22"/>
        </w:rPr>
        <w:t>V § 18a sa odsek 1 dopĺňa písmenom f), ktoré znie:</w:t>
      </w:r>
    </w:p>
    <w:p w:rsidR="00224DB1" w:rsidP="00224DB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5B03CB">
        <w:rPr>
          <w:rFonts w:ascii="Book Antiqua" w:hAnsi="Book Antiqua"/>
          <w:bCs/>
          <w:sz w:val="22"/>
          <w:szCs w:val="22"/>
        </w:rPr>
        <w:t>„f) odôvodnenie.“.</w:t>
      </w:r>
    </w:p>
    <w:p w:rsidR="00C23F61" w:rsidRPr="00224DB1" w:rsidP="00224DB1">
      <w:pPr>
        <w:pStyle w:val="BodyText"/>
        <w:numPr>
          <w:numId w:val="1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 xml:space="preserve">V § </w:t>
      </w:r>
      <w:r>
        <w:rPr>
          <w:rFonts w:ascii="Book Antiqua" w:hAnsi="Book Antiqua"/>
          <w:bCs/>
          <w:sz w:val="22"/>
          <w:szCs w:val="22"/>
        </w:rPr>
        <w:t>26 sa slová „v § 2 písm. b) až e)“ nahrádzajú slovami „v § 2 písm. d) až g)“.</w:t>
      </w:r>
    </w:p>
    <w:p w:rsidR="007D4D2F" w:rsidRPr="00F05301" w:rsidP="00F053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</w:p>
    <w:p w:rsidR="006E568E" w:rsidRPr="00490C1F" w:rsidP="006E568E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</w:t>
      </w:r>
      <w:r>
        <w:rPr>
          <w:rFonts w:ascii="Book Antiqua" w:hAnsi="Book Antiqua"/>
          <w:b/>
          <w:bCs/>
          <w:sz w:val="22"/>
          <w:szCs w:val="22"/>
        </w:rPr>
        <w:t>I</w:t>
      </w:r>
    </w:p>
    <w:p w:rsidR="006E568E" w:rsidP="006E568E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Zákon č. 40/1964 Zb. Občiansky zákonník v znení zákona č. 58/1969 Zb., zákona č.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 </w:t>
      </w:r>
      <w:r w:rsidRP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 </w:t>
      </w:r>
      <w:r w:rsidRP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261/2001 Z. z., zákona č. 281/2001 Z. z., zákona č. 23/2002 Z. z., zákona č. 34/2002 Z. z., zákona č. 95/2002 Z. z., zákona č. 184/2002 Z. z., zákona č. 215/2002 Z. z., zákona č.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 </w:t>
      </w:r>
      <w:r w:rsidRP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526/2002 Z. z., zákona č. 504/2003 Z. z., zákona č. 515/2003 Z. z., zákona č. 150/2004 Z. z., zákona č. 404/2004 Z. z., zákona č. 635/2004 Z. z., zákona č. 171/2005 Z. z., zákona č.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 </w:t>
      </w:r>
      <w:r w:rsidRPr="008D140E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266/2005 Z. z., zákona č. 336/</w:t>
      </w:r>
      <w:r w:rsidRPr="00692578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2005 Z. z., zákona č. 118/2006 Z. z., zákona č. 188/2006 Z. z., zákona č. 84/2007 Z. z., zákona č. 335/2007 Z. z., zákona č. 568/2007 Z. z., zákona č. 214/2008 Z. z., zákona č. 379/2008 Z. z., zákona č. 477/2008 Z. z., zákona č. 186/2009 Z. z., zákona č. 575/2009 Z. z., zákona č. 129/2010 Z. z., zákona č. 546/2010 Z. z., zákona č. 130/2011 Z. z., zákona č. 161/2011 Z. z., zákona č. 69/2012 Z. z., zákona č. 180/2013 Z. z., zákona č. 102/2014 Z. z., zákona č. 106/2014 Z. z.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, </w:t>
      </w:r>
      <w:r w:rsidRPr="00692578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zákona č. 335/2014 Z. z.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a zákona č. 117/2015</w:t>
      </w:r>
      <w:r w:rsidRPr="00692578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Z. z. sa </w:t>
      </w:r>
      <w:r w:rsidRPr="00692578">
        <w:rPr>
          <w:rFonts w:ascii="Book Antiqua" w:hAnsi="Book Antiqua"/>
          <w:bCs/>
          <w:sz w:val="22"/>
          <w:szCs w:val="22"/>
        </w:rPr>
        <w:t>dopĺňa takto:</w:t>
      </w:r>
    </w:p>
    <w:p w:rsidR="0068224B" w:rsidP="00434EC9">
      <w:pPr>
        <w:pStyle w:val="BodyText"/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68224B" w:rsidR="006E568E">
        <w:rPr>
          <w:rFonts w:ascii="Book Antiqua" w:hAnsi="Book Antiqua"/>
          <w:sz w:val="22"/>
          <w:szCs w:val="22"/>
        </w:rPr>
        <w:t xml:space="preserve">§ </w:t>
      </w:r>
      <w:r w:rsidRPr="0068224B" w:rsidR="00913A7D">
        <w:rPr>
          <w:rFonts w:ascii="Book Antiqua" w:hAnsi="Book Antiqua"/>
          <w:sz w:val="22"/>
          <w:szCs w:val="22"/>
        </w:rPr>
        <w:t>53d</w:t>
      </w:r>
      <w:r w:rsidRPr="0068224B" w:rsidR="006E568E">
        <w:rPr>
          <w:rFonts w:ascii="Book Antiqua" w:hAnsi="Book Antiqua"/>
          <w:sz w:val="22"/>
          <w:szCs w:val="22"/>
        </w:rPr>
        <w:t xml:space="preserve"> </w:t>
      </w:r>
      <w:r w:rsidRPr="0068224B">
        <w:rPr>
          <w:rFonts w:ascii="Book Antiqua" w:hAnsi="Book Antiqua"/>
          <w:bCs/>
          <w:sz w:val="22"/>
          <w:szCs w:val="22"/>
        </w:rPr>
        <w:t>znie</w:t>
      </w:r>
      <w:r w:rsidR="00A6592E">
        <w:rPr>
          <w:rFonts w:ascii="Book Antiqua" w:hAnsi="Book Antiqua"/>
          <w:bCs/>
          <w:sz w:val="22"/>
          <w:szCs w:val="22"/>
        </w:rPr>
        <w:t>:</w:t>
      </w:r>
    </w:p>
    <w:p w:rsidR="00A6592E" w:rsidRPr="00A6592E" w:rsidP="00A6592E">
      <w:pPr>
        <w:pStyle w:val="BodyText"/>
        <w:tabs>
          <w:tab w:val="left" w:pos="851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A6592E">
        <w:rPr>
          <w:rFonts w:ascii="Book Antiqua" w:hAnsi="Book Antiqua"/>
          <w:b/>
          <w:bCs/>
          <w:sz w:val="22"/>
          <w:szCs w:val="22"/>
        </w:rPr>
        <w:t>§ 53d</w:t>
      </w:r>
    </w:p>
    <w:p w:rsidR="006E568E" w:rsidP="00434EC9">
      <w:pPr>
        <w:pStyle w:val="BodyText"/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68224B" w:rsidR="0068224B">
        <w:rPr>
          <w:rFonts w:ascii="Book Antiqua" w:hAnsi="Book Antiqua"/>
          <w:bCs/>
          <w:sz w:val="22"/>
          <w:szCs w:val="22"/>
        </w:rPr>
        <w:t>Spotrebiteľská zmluva, ktorej uzavretie bolo dosiahnuté za použitia nekalej obchodnej praktiky alebo úžery, je neplatná</w:t>
      </w:r>
      <w:r w:rsidRPr="0068224B" w:rsidR="00434EC9">
        <w:rPr>
          <w:rFonts w:ascii="Book Antiqua" w:hAnsi="Book Antiqua"/>
          <w:bCs/>
          <w:sz w:val="22"/>
          <w:szCs w:val="22"/>
        </w:rPr>
        <w:t>.“.</w:t>
      </w:r>
    </w:p>
    <w:p w:rsidR="00A6592E" w:rsidRPr="0068224B" w:rsidP="00434EC9">
      <w:pPr>
        <w:pStyle w:val="BodyText"/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5B3ADA" w:rsidRPr="00F05301" w:rsidP="005B3AD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Čl. II</w:t>
      </w:r>
      <w:r w:rsidR="006E568E">
        <w:rPr>
          <w:rFonts w:ascii="Book Antiqua" w:hAnsi="Book Antiqua"/>
          <w:b/>
          <w:bCs/>
          <w:sz w:val="22"/>
          <w:szCs w:val="22"/>
        </w:rPr>
        <w:t>I</w:t>
      </w:r>
    </w:p>
    <w:p w:rsidR="005B3ADA" w:rsidRPr="00F05301" w:rsidP="005B3ADA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  <w:lang w:eastAsia="en-US"/>
        </w:rPr>
      </w:pPr>
      <w:r w:rsidRPr="00F05301">
        <w:rPr>
          <w:rFonts w:ascii="Book Antiqua" w:hAnsi="Book Antiqua"/>
          <w:sz w:val="22"/>
          <w:szCs w:val="22"/>
          <w:lang w:eastAsia="en-US"/>
        </w:rPr>
        <w:t xml:space="preserve">Zákon č. 99/1963 Zb. Občiansky súdny poriadok v znení zákona č. 36/1967 Zb., zákona č. 158/1969 Zb., zákona č. 49/1973 Zb., zákona č. 20/1975 Zb., zákona č. 133/1982 Zb., zákona č. 180/1990 Zb., zákona č. 328/1991 Zb., zákona č. 519/1991 Zb., zákona </w:t>
      </w:r>
      <w:r>
        <w:rPr>
          <w:rFonts w:ascii="Book Antiqua" w:hAnsi="Book Antiqua"/>
          <w:sz w:val="22"/>
          <w:szCs w:val="22"/>
          <w:lang w:eastAsia="en-US"/>
        </w:rPr>
        <w:t xml:space="preserve">             </w:t>
      </w:r>
      <w:r w:rsidRPr="00F05301">
        <w:rPr>
          <w:rFonts w:ascii="Book Antiqua" w:hAnsi="Book Antiqua"/>
          <w:sz w:val="22"/>
          <w:szCs w:val="22"/>
          <w:lang w:eastAsia="en-US"/>
        </w:rPr>
        <w:t xml:space="preserve">č. 263/1992 Zb., zákona Národnej rady Slovenskej republiky č. 5/1993 Z. z., zákona Národnej rady Slovenskej republiky č. 46/1994 Z. z., zákona Národnej rady Slovenskej republiky č. 190/1995 Z. z., zákona Národnej rady Slovenskej republiky č. 232/1995 Z. z., zákona Národnej rady Slovenskej republiky č. 233/1995 Z. z., zákona Národnej rady Slovenskej republiky č. 22/1996 Z. z., zákona Národnej rady Slovenskej republiky č. 58/1996 Z. z., nálezu Ústavného súdu Slovenskej republiky č. 281/1996 Z. z., zákona č. 211/1997 Z. z., nálezu Ústavného súdu Slovenskej republiky č. 359/1997 Z. z., zákona č. 124/1998 Z. z., zákona č. 144/1998 Z. z., zákona č. 169/1998 Z. z., zákona č. 187/1998 Z. z., zákona č. 225/1998 Z. z., zákona č. 233/1998 Z. z., zákona č. 235/1998 Z. z., nálezu Ústavného súdu Slovenskej republiky č. 318/1998 Z. z., zákona č. 331/1998 Z. z., zákona č. 46/1999 Z. z., nálezu Ústavného súdu Slovenskej republiky č. 66/1999 Z. z., nálezu Ústavného súdu Slovenskej republiky č. 166/1999 Z. z., nálezu Ústavného súdu Slovenskej republiky č. 185/1999 Z. z., zákona č. 223/1999 Z. z., zákona č. 303/2001 Z. z., zákona č. 501/2001 Z. z., zákona č. 215/2002 Z. z., zákona č. 232/2002 Z. z., zákona č. 424/2002 Z. z., zákona č. 451/2002 Z. z., zákona č. 480/2002 Z. z., nálezu Ústavného súdu Slovenskej republiky č. 620/2002 Z. z., nálezu Ústavného súdu Slovenskej republiky č. 75/2003 Z. z., zákona č. 353/2003 Z. z., zákona č. 530/2003 Z. z., zákona č. 589/2003 Z. z., zákona č. 204/2004 Z. z., zákona č. 371/2004 Z. z., zákona č. 382/2004 Z. z., zákona č. 420/2004 Z. z., zákona č. 428/2004 Z. z., zákona č. 613/2004 Z. z., zákona č. 757/2004 Z. z., zákona č. 36/2005 Z. z., zákona č. 290/2005 Z. z., zákona č. 341/2005 Z. z., zákona č. 24/2007 Z. z., zákona č. 84/2007 Z. z., zákona č. 273/2007 Z. z., zákona č. 335/2007 Z. z., zákona č. 643/2007 Z. z., zákona č. 384/2008 Z. z., zákona č. 477/2008 Z. z., zákona č. 484/2008 Z. z., zákona č. 491/2008 Z. z., zákona č. 487/2009 Z. z., zákona č. 495/2009 Z. z., zákona č. 575/2009 Z. z., zákona č. 151/2010 Z. z., zákona č. 183/2011 Z. z., zákona č. 332/2011 Z. z., zákona č. 348/2011 Z. z., zákona č. 388/2011 Z. z, zákona č. 335/2012 Z. z.,  zákona č. 64/2013 Z. z., zákona č. 75/2013 Z. z., zákona č. 180/2013 Z. z., zákona č. 106/2014 Z. z., zákona č. 151/2014 Z. z., zákona č. 180/2014 Z. z., zákona č. </w:t>
      </w:r>
      <w:r w:rsidRPr="00F05301">
        <w:rPr>
          <w:rFonts w:ascii="Book Antiqua" w:hAnsi="Book Antiqua"/>
          <w:bCs/>
          <w:sz w:val="22"/>
          <w:szCs w:val="22"/>
          <w:lang w:eastAsia="en-US"/>
        </w:rPr>
        <w:t>335/</w:t>
      </w:r>
      <w:r w:rsidRPr="00F05301">
        <w:rPr>
          <w:rFonts w:ascii="Book Antiqua" w:hAnsi="Book Antiqua"/>
          <w:sz w:val="22"/>
          <w:szCs w:val="22"/>
          <w:lang w:eastAsia="en-US"/>
        </w:rPr>
        <w:t>2014 Z. z. a zákona č. 353/2014 Z. z.  sa mení a dopĺňa takto:</w:t>
      </w:r>
    </w:p>
    <w:p w:rsidR="005B3ADA" w:rsidRPr="005B03CB" w:rsidP="005B3ADA">
      <w:pPr>
        <w:pStyle w:val="BodyText"/>
        <w:numPr>
          <w:numId w:val="2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 xml:space="preserve">V § 79 ods. 2 sa na konci pripája táto veta: </w:t>
      </w:r>
      <w:r w:rsidRPr="00F05301">
        <w:rPr>
          <w:rFonts w:ascii="Book Antiqua" w:hAnsi="Book Antiqua"/>
          <w:bCs/>
          <w:sz w:val="22"/>
          <w:szCs w:val="22"/>
        </w:rPr>
        <w:t xml:space="preserve">„Ak je predmetom návrhu na začatie konania peňažné plnenie, je navrhovateľ povinný okrem listinných dôkazov podľa prvej </w:t>
      </w:r>
      <w:r w:rsidRPr="005B03CB">
        <w:rPr>
          <w:rFonts w:ascii="Book Antiqua" w:hAnsi="Book Antiqua"/>
          <w:bCs/>
          <w:sz w:val="22"/>
          <w:szCs w:val="22"/>
        </w:rPr>
        <w:t>vety pripojiť aj kópiu výzvy na úhradu peňažného plnenia spolu s doručenkou alebo vrátenou nedoručenou zásielkou.“.</w:t>
      </w:r>
    </w:p>
    <w:p w:rsidR="005B3ADA" w:rsidRPr="005B03CB" w:rsidP="005B3ADA">
      <w:pPr>
        <w:pStyle w:val="BodyText"/>
        <w:numPr>
          <w:numId w:val="2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5B03CB">
        <w:rPr>
          <w:rFonts w:ascii="Book Antiqua" w:hAnsi="Book Antiqua"/>
          <w:bCs/>
          <w:sz w:val="22"/>
          <w:szCs w:val="22"/>
        </w:rPr>
        <w:t>V § 150 ods. 2 sa na konci nahrádza bodka bodkočiarkou a pripájajú sa tieto slová: „súd tak urobí vždy, ak trovy konania v drobných sporoch prevyšujú sumu</w:t>
      </w:r>
      <w:r w:rsidRPr="005B03CB" w:rsidR="00764EBE">
        <w:rPr>
          <w:rFonts w:ascii="Book Antiqua" w:hAnsi="Book Antiqua"/>
          <w:bCs/>
          <w:sz w:val="22"/>
          <w:szCs w:val="22"/>
        </w:rPr>
        <w:t xml:space="preserve"> pohľadávky</w:t>
      </w:r>
      <w:r w:rsidRPr="005B03CB">
        <w:rPr>
          <w:rFonts w:ascii="Book Antiqua" w:hAnsi="Book Antiqua"/>
          <w:bCs/>
          <w:sz w:val="22"/>
          <w:szCs w:val="22"/>
        </w:rPr>
        <w:t>.“.</w:t>
      </w:r>
    </w:p>
    <w:p w:rsidR="005B3ADA" w:rsidRPr="00F05301" w:rsidP="005B3ADA">
      <w:pPr>
        <w:pStyle w:val="BodyText"/>
        <w:numPr>
          <w:numId w:val="22"/>
        </w:numPr>
        <w:tabs>
          <w:tab w:val="left" w:pos="142"/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5B03CB">
        <w:rPr>
          <w:rFonts w:ascii="Book Antiqua" w:hAnsi="Book Antiqua"/>
          <w:bCs/>
          <w:sz w:val="22"/>
          <w:szCs w:val="22"/>
        </w:rPr>
        <w:t>Za § 372w sa vkladá nový</w:t>
      </w:r>
      <w:r w:rsidRPr="00F05301">
        <w:rPr>
          <w:rFonts w:ascii="Book Antiqua" w:hAnsi="Book Antiqua"/>
          <w:bCs/>
          <w:sz w:val="22"/>
          <w:szCs w:val="22"/>
        </w:rPr>
        <w:t xml:space="preserve"> § 372x, ktorý vrátane nadpisu znie:</w:t>
      </w:r>
    </w:p>
    <w:p w:rsidR="005B3ADA" w:rsidP="005B3AD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„</w:t>
      </w:r>
      <w:r w:rsidRPr="00F05301">
        <w:rPr>
          <w:rFonts w:ascii="Book Antiqua" w:hAnsi="Book Antiqua"/>
          <w:b/>
          <w:bCs/>
          <w:sz w:val="22"/>
          <w:szCs w:val="22"/>
        </w:rPr>
        <w:t>§ 372x</w:t>
      </w:r>
    </w:p>
    <w:p w:rsidR="005B3ADA" w:rsidRPr="00F05301" w:rsidP="005B3AD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/>
          <w:bCs/>
          <w:sz w:val="22"/>
          <w:szCs w:val="22"/>
        </w:rPr>
        <w:t>Prechodné ustanovenie k úpravám účinným od 1. januára 2016</w:t>
      </w:r>
    </w:p>
    <w:p w:rsidR="005B3ADA" w:rsidP="005B3ADA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left="851" w:firstLine="0"/>
        <w:jc w:val="both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 xml:space="preserve">Na konania začaté do 31. decembra 2015 sa použijú predpisy </w:t>
      </w:r>
      <w:r>
        <w:rPr>
          <w:rFonts w:ascii="Book Antiqua" w:hAnsi="Book Antiqua"/>
          <w:bCs/>
          <w:sz w:val="22"/>
          <w:szCs w:val="22"/>
        </w:rPr>
        <w:t>účinné do 31. decembra 2015.“.</w:t>
      </w:r>
    </w:p>
    <w:p w:rsidR="005B3ADA" w:rsidP="00F053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A62CC6" w:rsidRPr="00F05301" w:rsidP="00F053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="006E568E">
        <w:rPr>
          <w:rFonts w:ascii="Book Antiqua" w:hAnsi="Book Antiqua"/>
          <w:b/>
          <w:bCs/>
          <w:sz w:val="22"/>
          <w:szCs w:val="22"/>
        </w:rPr>
        <w:t>Čl. IV</w:t>
      </w:r>
    </w:p>
    <w:p w:rsidR="00465C34" w:rsidRPr="00F05301" w:rsidP="00224DB1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F05301" w:rsidR="00E459E9">
        <w:rPr>
          <w:rFonts w:ascii="Book Antiqua" w:hAnsi="Book Antiqua"/>
          <w:bCs/>
          <w:sz w:val="22"/>
          <w:szCs w:val="22"/>
        </w:rPr>
        <w:t>Zákon Národnej rady Slovenskej republiky č. </w:t>
      </w:r>
      <w:r w:rsidRPr="00F05301" w:rsidR="00975C3A">
        <w:rPr>
          <w:rFonts w:ascii="Book Antiqua" w:hAnsi="Book Antiqua"/>
          <w:bCs/>
          <w:sz w:val="22"/>
          <w:szCs w:val="22"/>
        </w:rPr>
        <w:t>233/1995</w:t>
      </w:r>
      <w:r w:rsidRPr="00F05301" w:rsidR="00E459E9">
        <w:rPr>
          <w:rFonts w:ascii="Book Antiqua" w:hAnsi="Book Antiqua"/>
          <w:bCs/>
          <w:sz w:val="22"/>
          <w:szCs w:val="22"/>
        </w:rPr>
        <w:t xml:space="preserve"> Z. z. </w:t>
      </w:r>
      <w:r w:rsidRPr="00F05301" w:rsidR="00AB75AF">
        <w:rPr>
          <w:rFonts w:ascii="Book Antiqua" w:hAnsi="Book Antiqua"/>
          <w:sz w:val="22"/>
          <w:szCs w:val="22"/>
        </w:rPr>
        <w:t>o</w:t>
      </w:r>
      <w:r w:rsidRPr="00F05301" w:rsidR="00975C3A">
        <w:rPr>
          <w:rFonts w:ascii="Book Antiqua" w:hAnsi="Book Antiqua"/>
          <w:sz w:val="22"/>
          <w:szCs w:val="22"/>
        </w:rPr>
        <w:t> súdnych exekútoroch a exekučnej činnosti (Exekučný poriadok)</w:t>
      </w:r>
      <w:r w:rsidRPr="00F05301" w:rsidR="00E459E9">
        <w:rPr>
          <w:rFonts w:ascii="Book Antiqua" w:hAnsi="Book Antiqua"/>
          <w:bCs/>
          <w:sz w:val="22"/>
          <w:szCs w:val="22"/>
        </w:rPr>
        <w:t xml:space="preserve"> </w:t>
      </w:r>
      <w:r w:rsidRPr="00F05301" w:rsidR="00975C3A">
        <w:rPr>
          <w:rFonts w:ascii="Book Antiqua" w:hAnsi="Book Antiqua"/>
          <w:bCs/>
          <w:sz w:val="22"/>
          <w:szCs w:val="22"/>
        </w:rPr>
        <w:t xml:space="preserve">a o zmene a doplnení ďalších zákonov </w:t>
      </w:r>
      <w:r w:rsidRPr="00F05301" w:rsidR="00E459E9">
        <w:rPr>
          <w:rFonts w:ascii="Book Antiqua" w:hAnsi="Book Antiqua"/>
          <w:bCs/>
          <w:sz w:val="22"/>
          <w:szCs w:val="22"/>
        </w:rPr>
        <w:t xml:space="preserve">v znení zákona 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č. 211/1997 Z. z., zákona č. 353/1997 Z. z., zákona č. 235/1998 Z. z., zákona</w:t>
      </w:r>
      <w:r w:rsidRPr="00F05301" w:rsidR="00975C3A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č. 240/1998 Z. z., zákona č. 280/1999 Z. z., nálezu Ústavného súdu Slovenskej republiky</w:t>
      </w:r>
      <w:r w:rsidRPr="00F05301" w:rsidR="00975C3A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 xml:space="preserve">č. 415/2000 Z. z., zákona č. 291/2001 Z. z., </w:t>
      </w:r>
      <w:r w:rsidRPr="00F05301" w:rsidR="0016680E">
        <w:rPr>
          <w:rFonts w:ascii="Book Antiqua" w:hAnsi="Book Antiqua"/>
          <w:color w:val="000000"/>
          <w:sz w:val="22"/>
          <w:szCs w:val="22"/>
        </w:rPr>
        <w:t xml:space="preserve">zákona č. 483/2001 Z. z., 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zákona č.</w:t>
      </w:r>
      <w:r w:rsidRPr="00F05301" w:rsidR="00FE743C">
        <w:rPr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 xml:space="preserve">32/2002 Z. z., zákona č. 356/2003 Z. z., zákona č. 514/2003 Z. z., zákona č. 589/2003 Z. z., zákona č. 613/2004 Z. z., nálezu Ústavného súdu Slovenskej republiky č. 125/2005 Z. z., zákona č. 341/2005 Z. z., </w:t>
      </w:r>
      <w:r w:rsidRPr="00F05301" w:rsidR="00AA6CCE">
        <w:rPr>
          <w:rFonts w:ascii="Book Antiqua" w:hAnsi="Book Antiqua"/>
          <w:color w:val="000000"/>
          <w:sz w:val="22"/>
          <w:szCs w:val="22"/>
        </w:rPr>
        <w:t xml:space="preserve">zákona č. 300/2005 Z. z., 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zákona</w:t>
      </w:r>
      <w:r w:rsidRPr="00F05301" w:rsidR="00975C3A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č. 585/2006 Z. z., zákona č.</w:t>
      </w:r>
      <w:r w:rsidRPr="00F05301" w:rsidR="00FE743C">
        <w:rPr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84/2007 Z. z., zákona č. 568/2007 Z. z., zákona č. 384/2008 Z. z., zákona č. 477/2008 Z. z., zákona č. 554/2008 Z. z., zákona č. 84/2009 Z. z., zákona</w:t>
      </w:r>
      <w:r w:rsidRPr="00F05301" w:rsidR="00975C3A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č. 192/2009 Z. z., zákona č.</w:t>
      </w:r>
      <w:r w:rsidRPr="00F05301" w:rsidR="00FE743C">
        <w:rPr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466/2009 Z. z., zákona č. 144/2010 Z. z., zákona</w:t>
      </w:r>
      <w:r w:rsidRPr="00F05301" w:rsidR="00975C3A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č. 151/2010 Z. z., zákona č. 102/2011 Z. z., zákona č. 348/2011 Z. z.,</w:t>
      </w:r>
      <w:r w:rsidRPr="00F05301" w:rsidR="00AA6CC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 xml:space="preserve">uznesenia Ústavného súdu Slovenskej republiky č. 1/2012 Z. z., zákona č. 230/2012 Z. z., zákona č. 335/2012 Z. z., zákona č. 440/2012 </w:t>
      </w:r>
      <w:r w:rsidRPr="00F05301" w:rsidR="00AA6CCE">
        <w:rPr>
          <w:rFonts w:ascii="Book Antiqua" w:hAnsi="Book Antiqua"/>
          <w:color w:val="000000"/>
          <w:sz w:val="22"/>
          <w:szCs w:val="22"/>
        </w:rPr>
        <w:t>Z. z., zákona č.</w:t>
      </w:r>
      <w:r w:rsidRPr="00F05301" w:rsidR="00FE743C">
        <w:rPr>
          <w:rFonts w:ascii="Book Antiqua" w:hAnsi="Book Antiqua"/>
          <w:color w:val="000000"/>
          <w:sz w:val="22"/>
          <w:szCs w:val="22"/>
        </w:rPr>
        <w:t> </w:t>
      </w:r>
      <w:r w:rsidRPr="00F05301" w:rsidR="00AA6CCE">
        <w:rPr>
          <w:rFonts w:ascii="Book Antiqua" w:hAnsi="Book Antiqua"/>
          <w:color w:val="000000"/>
          <w:sz w:val="22"/>
          <w:szCs w:val="22"/>
        </w:rPr>
        <w:t>461/2012 Z. z.,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 nálezu Ústavného súdu Slovenskej republiky č. 14/2013 Z. z.</w:t>
      </w:r>
      <w:r w:rsidRPr="00F05301" w:rsidR="00AA6CCE">
        <w:rPr>
          <w:rFonts w:ascii="Book Antiqua" w:hAnsi="Book Antiqua"/>
          <w:color w:val="000000"/>
          <w:sz w:val="22"/>
          <w:szCs w:val="22"/>
        </w:rPr>
        <w:t>, zákona č.</w:t>
      </w:r>
      <w:r w:rsidRPr="00F05301" w:rsidR="00FE743C">
        <w:rPr>
          <w:rFonts w:ascii="Book Antiqua" w:hAnsi="Book Antiqua"/>
          <w:color w:val="000000"/>
          <w:sz w:val="22"/>
          <w:szCs w:val="22"/>
        </w:rPr>
        <w:t> </w:t>
      </w:r>
      <w:r w:rsidRPr="00F05301" w:rsidR="00AA6CCE">
        <w:rPr>
          <w:rFonts w:ascii="Book Antiqua" w:hAnsi="Book Antiqua"/>
          <w:color w:val="000000"/>
          <w:sz w:val="22"/>
          <w:szCs w:val="22"/>
        </w:rPr>
        <w:t>180/2013 Z. z., zákona č. 299/2013</w:t>
      </w:r>
      <w:r w:rsidRPr="00F05301" w:rsidR="00975C3A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 w:rsidR="00AA6CCE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Z. z., zákona č. 355/2013 Z. z., zákona č. 106/2014 Z. z. a zákona č. 335/2014 Z. z. 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sa</w:t>
      </w:r>
      <w:r w:rsidRPr="00F05301" w:rsidR="00975C3A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mení a dopĺňa</w:t>
      </w:r>
      <w:r w:rsidRPr="00F05301" w:rsidR="00975C3A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 w:rsidR="00975C3A">
        <w:rPr>
          <w:rFonts w:ascii="Book Antiqua" w:hAnsi="Book Antiqua"/>
          <w:color w:val="000000"/>
          <w:sz w:val="22"/>
          <w:szCs w:val="22"/>
        </w:rPr>
        <w:t>takto:</w:t>
      </w:r>
    </w:p>
    <w:p w:rsidR="006459A8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 xml:space="preserve">V § 38 sa za odsek 2 vkladajú nové odseky </w:t>
      </w:r>
      <w:smartTag w:uri="urn:schemas-microsoft-com:office:smarttags" w:element="metricconverter">
        <w:smartTagPr>
          <w:attr w:name="ProductID" w:val="3 a"/>
        </w:smartTagPr>
        <w:r w:rsidRPr="00F05301">
          <w:rPr>
            <w:rFonts w:ascii="Book Antiqua" w:hAnsi="Book Antiqua"/>
            <w:bCs/>
            <w:sz w:val="22"/>
            <w:szCs w:val="22"/>
          </w:rPr>
          <w:t>3 a</w:t>
        </w:r>
      </w:smartTag>
      <w:r w:rsidRPr="00F05301">
        <w:rPr>
          <w:rFonts w:ascii="Book Antiqua" w:hAnsi="Book Antiqua"/>
          <w:bCs/>
          <w:sz w:val="22"/>
          <w:szCs w:val="22"/>
        </w:rPr>
        <w:t xml:space="preserve"> 4, ktoré znejú:</w:t>
      </w:r>
    </w:p>
    <w:p w:rsidR="006459A8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„(3) Pred podaním návrhu na vykonanie exekúcie je oprávnený povinný v primeranej lehote po nadobudnutí vykonateľnosti rozhodnutia písomne vyzvať povinného na splnenie toho, čo mu ukladá vykonateľné rozhodnutie. Lehota na plnenie určená vo výzve nesmie byť kratšia ako 5 dní.</w:t>
      </w:r>
    </w:p>
    <w:p w:rsidR="006459A8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(4) Výzva podľa odseku 3 obsahuje najmä označenie oprávneného v rozsahu titul, meno, priezvisko a adresu trvalého pobytu ak ide o fyzickú osobu, alebo obchodné meno, sídlo a IČO, ak ide o právnickú osobu, označenie exekučného titulu, osobitné označenie výšky sumy istiny a výšky sumy príslušenstva, ktorú je potrebné uhradiť, číslo účtu a</w:t>
      </w:r>
      <w:r w:rsidR="00224DB1">
        <w:rPr>
          <w:rFonts w:ascii="Book Antiqua" w:hAnsi="Book Antiqua"/>
          <w:bCs/>
          <w:sz w:val="22"/>
          <w:szCs w:val="22"/>
        </w:rPr>
        <w:t xml:space="preserve"> kontaktné údaje oprávneného.“.</w:t>
      </w:r>
    </w:p>
    <w:p w:rsidR="00224DB1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B559A5">
        <w:rPr>
          <w:rFonts w:ascii="Book Antiqua" w:hAnsi="Book Antiqua"/>
          <w:bCs/>
          <w:sz w:val="22"/>
          <w:szCs w:val="22"/>
        </w:rPr>
        <w:t>Doterajší odsek 3 sa označuje ako odsek 5.</w:t>
      </w:r>
    </w:p>
    <w:p w:rsidR="006A1E6A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>Za § 38 sa vkladá nový paragraf 38a, ktorý znie</w:t>
      </w:r>
      <w:r w:rsidRPr="00F05301">
        <w:rPr>
          <w:rFonts w:ascii="Book Antiqua" w:hAnsi="Book Antiqua"/>
          <w:bCs/>
          <w:sz w:val="22"/>
          <w:szCs w:val="22"/>
        </w:rPr>
        <w:t>:</w:t>
      </w:r>
    </w:p>
    <w:p w:rsidR="006A1E6A" w:rsidRPr="00F05301" w:rsidP="00A45B0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>„</w:t>
      </w:r>
      <w:r w:rsidRPr="00A45B01">
        <w:rPr>
          <w:rFonts w:ascii="Book Antiqua" w:hAnsi="Book Antiqua"/>
          <w:b/>
          <w:sz w:val="22"/>
          <w:szCs w:val="22"/>
        </w:rPr>
        <w:t>38a</w:t>
      </w:r>
    </w:p>
    <w:p w:rsidR="006A1E6A" w:rsidRPr="00F05301" w:rsidP="00F05301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>(1) Návrh za vykonanie exekúcie možno len vtedy</w:t>
      </w:r>
      <w:r w:rsidR="00224DB1">
        <w:rPr>
          <w:rFonts w:ascii="Book Antiqua" w:hAnsi="Book Antiqua"/>
          <w:sz w:val="22"/>
          <w:szCs w:val="22"/>
        </w:rPr>
        <w:t>,</w:t>
      </w:r>
      <w:r w:rsidRPr="00F05301">
        <w:rPr>
          <w:rFonts w:ascii="Book Antiqua" w:hAnsi="Book Antiqua"/>
          <w:sz w:val="22"/>
          <w:szCs w:val="22"/>
        </w:rPr>
        <w:t xml:space="preserve"> ak rozhodnutie opatrené potvrdením o jeho vykonateľnosti (exekučný titul) zaväzuje na peňažné plnenie vo výške aspoň 30 eur.</w:t>
      </w:r>
    </w:p>
    <w:p w:rsidR="006A1E6A" w:rsidRPr="00F05301" w:rsidP="00F05301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>(2) Exekučný titul, ktorého vymožiteľné plnenie nedosahuje výšku podľa odseku 1</w:t>
      </w:r>
      <w:r w:rsidR="00A45B01">
        <w:rPr>
          <w:rFonts w:ascii="Book Antiqua" w:hAnsi="Book Antiqua"/>
          <w:sz w:val="22"/>
          <w:szCs w:val="22"/>
        </w:rPr>
        <w:t>,</w:t>
      </w:r>
      <w:r w:rsidRPr="00F05301">
        <w:rPr>
          <w:rFonts w:ascii="Book Antiqua" w:hAnsi="Book Antiqua"/>
          <w:sz w:val="22"/>
          <w:szCs w:val="22"/>
        </w:rPr>
        <w:t xml:space="preserve"> môže oprávnený spojiť s iným exekučným titulom len </w:t>
      </w:r>
      <w:r w:rsidR="00A45B01">
        <w:rPr>
          <w:rFonts w:ascii="Book Antiqua" w:hAnsi="Book Antiqua"/>
          <w:sz w:val="22"/>
          <w:szCs w:val="22"/>
        </w:rPr>
        <w:t xml:space="preserve">vtedy, </w:t>
      </w:r>
      <w:r w:rsidRPr="00F05301">
        <w:rPr>
          <w:rFonts w:ascii="Book Antiqua" w:hAnsi="Book Antiqua"/>
          <w:sz w:val="22"/>
          <w:szCs w:val="22"/>
        </w:rPr>
        <w:t xml:space="preserve">ak sa jedná o toho istého povinného. </w:t>
      </w:r>
    </w:p>
    <w:p w:rsidR="006A1E6A" w:rsidRPr="00F05301" w:rsidP="00F05301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>(3) Podľa odseku 1 sa nepostupuje</w:t>
      </w:r>
      <w:r w:rsidR="00A45B01">
        <w:rPr>
          <w:rFonts w:ascii="Book Antiqua" w:hAnsi="Book Antiqua"/>
          <w:sz w:val="22"/>
          <w:szCs w:val="22"/>
        </w:rPr>
        <w:t>,</w:t>
      </w:r>
      <w:r w:rsidRPr="00F05301">
        <w:rPr>
          <w:rFonts w:ascii="Book Antiqua" w:hAnsi="Book Antiqua"/>
          <w:sz w:val="22"/>
          <w:szCs w:val="22"/>
        </w:rPr>
        <w:t xml:space="preserve"> ak oprávnený v priebehu kalendárneho roka nenadobudne exekučné tituly, ktorých výška vymáhaných plnení spolu nedosiahne sumu aspoň 30 eur.“.</w:t>
      </w:r>
    </w:p>
    <w:p w:rsidR="00455133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>V § 41 ods. 4 sa za slovo „ustanovenie“</w:t>
      </w:r>
      <w:r w:rsidRPr="00F05301">
        <w:rPr>
          <w:rFonts w:ascii="Book Antiqua" w:hAnsi="Book Antiqua"/>
          <w:bCs/>
          <w:sz w:val="22"/>
          <w:szCs w:val="22"/>
        </w:rPr>
        <w:t xml:space="preserve"> vkladajú slová „§ 38 ods. 3 a 4.“.</w:t>
      </w:r>
    </w:p>
    <w:p w:rsidR="003D4EA1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V § 44 ods. 1 sa za slová „exekučným titulom“ vkladá čiarka a slová „</w:t>
      </w:r>
      <w:r w:rsidRPr="00F05301" w:rsidR="00455133">
        <w:rPr>
          <w:rFonts w:ascii="Book Antiqua" w:hAnsi="Book Antiqua"/>
          <w:bCs/>
          <w:sz w:val="22"/>
          <w:szCs w:val="22"/>
        </w:rPr>
        <w:t>kópiou výzvy a dokladom o doručení výzvy alebo nedoručenou zásielkou podľa § 38 ods. 3 a 4</w:t>
      </w:r>
      <w:r w:rsidRPr="00F05301">
        <w:rPr>
          <w:rFonts w:ascii="Book Antiqua" w:hAnsi="Book Antiqua"/>
          <w:bCs/>
          <w:sz w:val="22"/>
          <w:szCs w:val="22"/>
        </w:rPr>
        <w:t>“.</w:t>
      </w:r>
    </w:p>
    <w:p w:rsidR="003D4EA1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V § 104 ods. 1 sa suma „99,58 eura“ nahrádza sumou „200 eur“.</w:t>
      </w:r>
    </w:p>
    <w:p w:rsidR="00743A4E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A45B01">
        <w:rPr>
          <w:rFonts w:ascii="Book Antiqua" w:hAnsi="Book Antiqua"/>
          <w:bCs/>
          <w:sz w:val="22"/>
          <w:szCs w:val="22"/>
        </w:rPr>
        <w:t>V § 115 ods. 2 písm.</w:t>
      </w:r>
      <w:r w:rsidRPr="00F05301">
        <w:rPr>
          <w:rFonts w:ascii="Book Antiqua" w:hAnsi="Book Antiqua"/>
          <w:bCs/>
          <w:sz w:val="22"/>
          <w:szCs w:val="22"/>
        </w:rPr>
        <w:t xml:space="preserve"> i) </w:t>
      </w:r>
      <w:r w:rsidR="00A45B01">
        <w:rPr>
          <w:rFonts w:ascii="Book Antiqua" w:hAnsi="Book Antiqua"/>
          <w:bCs/>
          <w:sz w:val="22"/>
          <w:szCs w:val="22"/>
        </w:rPr>
        <w:t xml:space="preserve">sa </w:t>
      </w:r>
      <w:r w:rsidRPr="00F05301">
        <w:rPr>
          <w:rFonts w:ascii="Book Antiqua" w:hAnsi="Book Antiqua"/>
          <w:bCs/>
          <w:sz w:val="22"/>
          <w:szCs w:val="22"/>
        </w:rPr>
        <w:t>slová „sumy 99,58 eura“ nahrádzajú slovami „ sumy 200 eur“.</w:t>
      </w:r>
    </w:p>
    <w:p w:rsidR="00C02240" w:rsidP="00C02240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68224B">
        <w:rPr>
          <w:rFonts w:ascii="Book Antiqua" w:hAnsi="Book Antiqua"/>
          <w:bCs/>
          <w:sz w:val="22"/>
          <w:szCs w:val="22"/>
        </w:rPr>
        <w:t xml:space="preserve">V § 196 sa na konci pripája táto veta: </w:t>
      </w:r>
      <w:r w:rsidRPr="00C02240">
        <w:rPr>
          <w:rFonts w:ascii="Book Antiqua" w:hAnsi="Book Antiqua"/>
          <w:bCs/>
          <w:sz w:val="22"/>
          <w:szCs w:val="22"/>
        </w:rPr>
        <w:t>„Ak je povinným na úhradu trov exekúcie osoba podľa osobitného predpisu</w:t>
      </w:r>
      <w:r w:rsidRPr="00C02240">
        <w:rPr>
          <w:rStyle w:val="FootnoteReference"/>
          <w:rFonts w:ascii="Book Antiqua" w:hAnsi="Book Antiqua"/>
          <w:bCs/>
          <w:sz w:val="22"/>
          <w:szCs w:val="22"/>
        </w:rPr>
        <w:t>17bc)</w:t>
      </w:r>
      <w:r w:rsidRPr="00C02240">
        <w:rPr>
          <w:rFonts w:ascii="Book Antiqua" w:hAnsi="Book Antiqua"/>
          <w:bCs/>
          <w:sz w:val="22"/>
          <w:szCs w:val="22"/>
        </w:rPr>
        <w:t>, výška odmeny súdneho exekútora sa znižuje o polovicu.“.</w:t>
      </w:r>
    </w:p>
    <w:p w:rsidR="00C02240" w:rsidRPr="00C02240" w:rsidP="00C02240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C02240">
        <w:rPr>
          <w:rFonts w:ascii="Book Antiqua" w:hAnsi="Book Antiqua"/>
          <w:bCs/>
          <w:sz w:val="22"/>
          <w:szCs w:val="22"/>
        </w:rPr>
        <w:t>Poznámka pod čiarou k odkazu 17bc znie:</w:t>
      </w:r>
    </w:p>
    <w:p w:rsidR="00C02240" w:rsidP="00C02240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C02240">
        <w:rPr>
          <w:rFonts w:ascii="Book Antiqua" w:hAnsi="Book Antiqua"/>
          <w:bCs/>
          <w:sz w:val="22"/>
          <w:szCs w:val="22"/>
        </w:rPr>
        <w:t>„</w:t>
      </w:r>
      <w:r w:rsidRPr="00C02240">
        <w:rPr>
          <w:rStyle w:val="FootnoteReference"/>
          <w:rFonts w:ascii="Book Antiqua" w:hAnsi="Book Antiqua"/>
          <w:bCs/>
          <w:sz w:val="22"/>
          <w:szCs w:val="22"/>
        </w:rPr>
        <w:t>17bc)</w:t>
      </w:r>
      <w:r w:rsidRPr="00C02240">
        <w:rPr>
          <w:rFonts w:ascii="Book Antiqua" w:hAnsi="Book Antiqua"/>
          <w:bCs/>
          <w:sz w:val="22"/>
          <w:szCs w:val="22"/>
        </w:rPr>
        <w:t xml:space="preserve"> § 2 písm. b) zákona č. 250/2007 Z. z. o ochrane spotrebiteľa a o zmene zákona Slovenskej národnej rady č. 372/1990 Zb. o priestupkoch v znení neskorších predpisov.“.</w:t>
      </w:r>
    </w:p>
    <w:p w:rsidR="00743A4E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A45B01">
        <w:rPr>
          <w:rFonts w:ascii="Book Antiqua" w:hAnsi="Book Antiqua"/>
          <w:bCs/>
          <w:sz w:val="22"/>
          <w:szCs w:val="22"/>
        </w:rPr>
        <w:t>V § 200 ods.</w:t>
      </w:r>
      <w:r w:rsidRPr="00F05301">
        <w:rPr>
          <w:rFonts w:ascii="Book Antiqua" w:hAnsi="Book Antiqua"/>
          <w:bCs/>
          <w:sz w:val="22"/>
          <w:szCs w:val="22"/>
        </w:rPr>
        <w:t xml:space="preserve"> 2 písm. a) sa slovo „šesťnásobok“ mení na slovo „štvornásobok“. </w:t>
      </w:r>
    </w:p>
    <w:p w:rsidR="00743A4E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A45B01">
        <w:rPr>
          <w:rFonts w:ascii="Book Antiqua" w:hAnsi="Book Antiqua"/>
          <w:bCs/>
          <w:sz w:val="22"/>
          <w:szCs w:val="22"/>
        </w:rPr>
        <w:t>V § 200 ods.</w:t>
      </w:r>
      <w:r w:rsidRPr="00F05301">
        <w:rPr>
          <w:rFonts w:ascii="Book Antiqua" w:hAnsi="Book Antiqua"/>
          <w:bCs/>
          <w:sz w:val="22"/>
          <w:szCs w:val="22"/>
        </w:rPr>
        <w:t xml:space="preserve"> 2 písm. b) sa slovo „päťnásobok“ mení na slovo „trojnásobok“.</w:t>
      </w:r>
    </w:p>
    <w:p w:rsidR="00743A4E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V § 200 sa za odsek 3 vkladá nový odsek 4, ktorý znie:</w:t>
      </w:r>
    </w:p>
    <w:p w:rsidR="00743A4E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„(4) Ak je povinným z drobnej exekúcie fyzická osoba podľa osobitného predpisu</w:t>
      </w:r>
      <w:r w:rsidRPr="0068224B" w:rsidR="00C02240">
        <w:rPr>
          <w:rStyle w:val="FootnoteReference"/>
          <w:rFonts w:ascii="Book Antiqua" w:hAnsi="Book Antiqua"/>
          <w:bCs/>
          <w:sz w:val="22"/>
          <w:szCs w:val="22"/>
        </w:rPr>
        <w:t>17bc</w:t>
      </w:r>
      <w:r w:rsidRPr="0068224B">
        <w:rPr>
          <w:rStyle w:val="FootnoteReference"/>
          <w:rFonts w:ascii="Book Antiqua" w:hAnsi="Book Antiqua"/>
          <w:bCs/>
          <w:sz w:val="22"/>
          <w:szCs w:val="22"/>
        </w:rPr>
        <w:t>)</w:t>
      </w:r>
      <w:r w:rsidRPr="00F05301">
        <w:rPr>
          <w:rStyle w:val="FootnoteReference"/>
          <w:rFonts w:ascii="Book Antiqua" w:hAnsi="Book Antiqua"/>
          <w:bCs/>
          <w:sz w:val="22"/>
          <w:szCs w:val="22"/>
        </w:rPr>
        <w:t xml:space="preserve"> </w:t>
      </w:r>
      <w:r w:rsidRPr="00F05301">
        <w:rPr>
          <w:rFonts w:ascii="Book Antiqua" w:hAnsi="Book Antiqua"/>
          <w:bCs/>
          <w:sz w:val="22"/>
          <w:szCs w:val="22"/>
        </w:rPr>
        <w:t>trovy exekúcie nesmú presiahnuť výšku pohľadávky bez príslušenstva.“.</w:t>
      </w:r>
    </w:p>
    <w:p w:rsidR="00A45B01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Doterajšie</w:t>
      </w:r>
      <w:r w:rsidRPr="00B559A5">
        <w:rPr>
          <w:rFonts w:ascii="Book Antiqua" w:hAnsi="Book Antiqua"/>
          <w:bCs/>
          <w:sz w:val="22"/>
          <w:szCs w:val="22"/>
        </w:rPr>
        <w:t xml:space="preserve"> odsek</w:t>
      </w:r>
      <w:r>
        <w:rPr>
          <w:rFonts w:ascii="Book Antiqua" w:hAnsi="Book Antiqua"/>
          <w:bCs/>
          <w:sz w:val="22"/>
          <w:szCs w:val="22"/>
        </w:rPr>
        <w:t>y 4 až 6 sa označujú</w:t>
      </w:r>
      <w:r w:rsidRPr="00B559A5">
        <w:rPr>
          <w:rFonts w:ascii="Book Antiqua" w:hAnsi="Book Antiqua"/>
          <w:bCs/>
          <w:sz w:val="22"/>
          <w:szCs w:val="22"/>
        </w:rPr>
        <w:t xml:space="preserve"> ako odsek</w:t>
      </w:r>
      <w:r>
        <w:rPr>
          <w:rFonts w:ascii="Book Antiqua" w:hAnsi="Book Antiqua"/>
          <w:bCs/>
          <w:sz w:val="22"/>
          <w:szCs w:val="22"/>
        </w:rPr>
        <w:t>y</w:t>
      </w:r>
      <w:r w:rsidRPr="00B559A5">
        <w:rPr>
          <w:rFonts w:ascii="Book Antiqua" w:hAnsi="Book Antiqua"/>
          <w:bCs/>
          <w:sz w:val="22"/>
          <w:szCs w:val="22"/>
        </w:rPr>
        <w:t xml:space="preserve"> 5</w:t>
      </w:r>
      <w:r>
        <w:rPr>
          <w:rFonts w:ascii="Book Antiqua" w:hAnsi="Book Antiqua"/>
          <w:bCs/>
          <w:sz w:val="22"/>
          <w:szCs w:val="22"/>
        </w:rPr>
        <w:t xml:space="preserve"> až 7</w:t>
      </w:r>
      <w:r w:rsidRPr="00B559A5">
        <w:rPr>
          <w:rFonts w:ascii="Book Antiqua" w:hAnsi="Book Antiqua"/>
          <w:bCs/>
          <w:sz w:val="22"/>
          <w:szCs w:val="22"/>
        </w:rPr>
        <w:t>.</w:t>
      </w:r>
    </w:p>
    <w:p w:rsidR="00743A4E" w:rsidRPr="00F05301" w:rsidP="00F05301">
      <w:pPr>
        <w:pStyle w:val="BodyText"/>
        <w:numPr>
          <w:numId w:val="2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Za § 243d sa vkladá nový § 243e, ktorý vrátane nadpisu znie:</w:t>
      </w:r>
    </w:p>
    <w:p w:rsidR="00743A4E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/>
          <w:bCs/>
          <w:sz w:val="22"/>
          <w:szCs w:val="22"/>
        </w:rPr>
      </w:pPr>
      <w:r w:rsidRPr="00F05301" w:rsidR="00D05F2F">
        <w:rPr>
          <w:rFonts w:ascii="Book Antiqua" w:hAnsi="Book Antiqua"/>
          <w:bCs/>
          <w:sz w:val="22"/>
          <w:szCs w:val="22"/>
        </w:rPr>
        <w:tab/>
        <w:tab/>
        <w:tab/>
        <w:tab/>
        <w:tab/>
      </w:r>
      <w:r w:rsidRPr="00F05301">
        <w:rPr>
          <w:rFonts w:ascii="Book Antiqua" w:hAnsi="Book Antiqua"/>
          <w:bCs/>
          <w:sz w:val="22"/>
          <w:szCs w:val="22"/>
        </w:rPr>
        <w:t>„</w:t>
      </w:r>
      <w:r w:rsidRPr="00F05301">
        <w:rPr>
          <w:rFonts w:ascii="Book Antiqua" w:hAnsi="Book Antiqua"/>
          <w:b/>
          <w:bCs/>
          <w:sz w:val="22"/>
          <w:szCs w:val="22"/>
        </w:rPr>
        <w:t>§ 243e</w:t>
      </w:r>
    </w:p>
    <w:p w:rsidR="00743A4E" w:rsidRPr="00F05301" w:rsidP="00F05301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/>
          <w:bCs/>
          <w:sz w:val="22"/>
          <w:szCs w:val="22"/>
        </w:rPr>
        <w:t>Prechodné ustanoven</w:t>
      </w:r>
      <w:r w:rsidR="005B3ADA">
        <w:rPr>
          <w:rFonts w:ascii="Book Antiqua" w:hAnsi="Book Antiqua"/>
          <w:b/>
          <w:bCs/>
          <w:sz w:val="22"/>
          <w:szCs w:val="22"/>
        </w:rPr>
        <w:t>ie</w:t>
      </w:r>
      <w:r w:rsidRPr="00F05301">
        <w:rPr>
          <w:rFonts w:ascii="Book Antiqua" w:hAnsi="Book Antiqua"/>
          <w:b/>
          <w:bCs/>
          <w:sz w:val="22"/>
          <w:szCs w:val="22"/>
        </w:rPr>
        <w:t xml:space="preserve"> k úpravám účinným od 1. </w:t>
      </w:r>
      <w:r w:rsidRPr="00F05301" w:rsidR="006459A8">
        <w:rPr>
          <w:rFonts w:ascii="Book Antiqua" w:hAnsi="Book Antiqua"/>
          <w:b/>
          <w:bCs/>
          <w:sz w:val="22"/>
          <w:szCs w:val="22"/>
        </w:rPr>
        <w:t>januára 2016</w:t>
      </w:r>
    </w:p>
    <w:p w:rsidR="00B93DFB" w:rsidRPr="00F05301" w:rsidP="005B3AD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 w:rsidR="00931AC5">
        <w:rPr>
          <w:rFonts w:ascii="Book Antiqua" w:hAnsi="Book Antiqua"/>
          <w:bCs/>
          <w:sz w:val="22"/>
          <w:szCs w:val="22"/>
        </w:rPr>
        <w:t xml:space="preserve">Exekučné konanie, </w:t>
      </w:r>
      <w:r w:rsidRPr="00F05301" w:rsidR="001031E8">
        <w:rPr>
          <w:rFonts w:ascii="Book Antiqua" w:hAnsi="Book Antiqua"/>
          <w:bCs/>
          <w:sz w:val="22"/>
          <w:szCs w:val="22"/>
        </w:rPr>
        <w:t>ktoré sa začalo</w:t>
      </w:r>
      <w:r w:rsidRPr="00F05301" w:rsidR="00931AC5">
        <w:rPr>
          <w:rFonts w:ascii="Book Antiqua" w:hAnsi="Book Antiqua"/>
          <w:bCs/>
          <w:sz w:val="22"/>
          <w:szCs w:val="22"/>
        </w:rPr>
        <w:t xml:space="preserve"> pred 1. </w:t>
      </w:r>
      <w:r w:rsidRPr="00F05301" w:rsidR="001031E8">
        <w:rPr>
          <w:rFonts w:ascii="Book Antiqua" w:hAnsi="Book Antiqua"/>
          <w:bCs/>
          <w:sz w:val="22"/>
          <w:szCs w:val="22"/>
        </w:rPr>
        <w:t>januárom</w:t>
      </w:r>
      <w:r w:rsidRPr="00F05301" w:rsidR="00931AC5">
        <w:rPr>
          <w:rFonts w:ascii="Book Antiqua" w:hAnsi="Book Antiqua"/>
          <w:bCs/>
          <w:sz w:val="22"/>
          <w:szCs w:val="22"/>
        </w:rPr>
        <w:t xml:space="preserve"> </w:t>
      </w:r>
      <w:r w:rsidRPr="00F05301" w:rsidR="001031E8">
        <w:rPr>
          <w:rFonts w:ascii="Book Antiqua" w:hAnsi="Book Antiqua"/>
          <w:bCs/>
          <w:sz w:val="22"/>
          <w:szCs w:val="22"/>
        </w:rPr>
        <w:t>2016 a nebolo zastavené alebo právoplatne ukončené do 31. decembra 2015</w:t>
      </w:r>
      <w:r w:rsidR="00436DD0">
        <w:rPr>
          <w:rFonts w:ascii="Book Antiqua" w:hAnsi="Book Antiqua"/>
          <w:bCs/>
          <w:sz w:val="22"/>
          <w:szCs w:val="22"/>
        </w:rPr>
        <w:t>,</w:t>
      </w:r>
      <w:r w:rsidRPr="00F05301" w:rsidR="001031E8">
        <w:rPr>
          <w:rFonts w:ascii="Book Antiqua" w:hAnsi="Book Antiqua"/>
          <w:bCs/>
          <w:sz w:val="22"/>
          <w:szCs w:val="22"/>
        </w:rPr>
        <w:t xml:space="preserve"> sa dokončí podľa tohto zákona v znení účin</w:t>
      </w:r>
      <w:r w:rsidRPr="00F05301" w:rsidR="009B3603">
        <w:rPr>
          <w:rFonts w:ascii="Book Antiqua" w:hAnsi="Book Antiqua"/>
          <w:bCs/>
          <w:sz w:val="22"/>
          <w:szCs w:val="22"/>
        </w:rPr>
        <w:t>nom od 1. januára 2016. T</w:t>
      </w:r>
      <w:r w:rsidRPr="00F05301" w:rsidR="001031E8">
        <w:rPr>
          <w:rFonts w:ascii="Book Antiqua" w:hAnsi="Book Antiqua"/>
          <w:bCs/>
          <w:sz w:val="22"/>
          <w:szCs w:val="22"/>
        </w:rPr>
        <w:t>rovy exekúcie alebo preddavky na trovy exekúcie</w:t>
      </w:r>
      <w:r w:rsidRPr="00F05301" w:rsidR="009B3603">
        <w:rPr>
          <w:rFonts w:ascii="Book Antiqua" w:hAnsi="Book Antiqua"/>
          <w:bCs/>
          <w:sz w:val="22"/>
          <w:szCs w:val="22"/>
        </w:rPr>
        <w:t xml:space="preserve"> uhradené do 31. decembra 2015</w:t>
      </w:r>
      <w:r w:rsidRPr="00F05301" w:rsidR="001031E8">
        <w:rPr>
          <w:rFonts w:ascii="Book Antiqua" w:hAnsi="Book Antiqua"/>
          <w:bCs/>
          <w:sz w:val="22"/>
          <w:szCs w:val="22"/>
        </w:rPr>
        <w:t xml:space="preserve">, ktoré prevyšujú trovy exekúcie </w:t>
      </w:r>
      <w:r w:rsidR="00436DD0">
        <w:rPr>
          <w:rFonts w:ascii="Book Antiqua" w:hAnsi="Book Antiqua"/>
          <w:bCs/>
          <w:sz w:val="22"/>
          <w:szCs w:val="22"/>
        </w:rPr>
        <w:t xml:space="preserve">určené </w:t>
      </w:r>
      <w:r w:rsidRPr="00F05301" w:rsidR="009B3603">
        <w:rPr>
          <w:rFonts w:ascii="Book Antiqua" w:hAnsi="Book Antiqua"/>
          <w:bCs/>
          <w:sz w:val="22"/>
          <w:szCs w:val="22"/>
        </w:rPr>
        <w:t>podľa ustanovení tohto záko</w:t>
      </w:r>
      <w:r w:rsidR="00CA72B6">
        <w:rPr>
          <w:rFonts w:ascii="Book Antiqua" w:hAnsi="Book Antiqua"/>
          <w:bCs/>
          <w:sz w:val="22"/>
          <w:szCs w:val="22"/>
        </w:rPr>
        <w:t>na účinných od 1. januára 2016 s</w:t>
      </w:r>
      <w:r w:rsidRPr="00F05301" w:rsidR="009B3603">
        <w:rPr>
          <w:rFonts w:ascii="Book Antiqua" w:hAnsi="Book Antiqua"/>
          <w:bCs/>
          <w:sz w:val="22"/>
          <w:szCs w:val="22"/>
        </w:rPr>
        <w:t>a v prevyšujúcej sume nevracajú.“.</w:t>
      </w:r>
    </w:p>
    <w:p w:rsidR="000E22E2" w:rsidRPr="00F05301" w:rsidP="00F05301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</w:p>
    <w:p w:rsidR="00CD1F18" w:rsidRPr="00F05301" w:rsidP="00F053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="006E568E">
        <w:rPr>
          <w:rFonts w:ascii="Book Antiqua" w:hAnsi="Book Antiqua"/>
          <w:b/>
          <w:bCs/>
          <w:sz w:val="22"/>
          <w:szCs w:val="22"/>
        </w:rPr>
        <w:t>Čl. </w:t>
      </w:r>
      <w:r w:rsidRPr="00F05301">
        <w:rPr>
          <w:rFonts w:ascii="Book Antiqua" w:hAnsi="Book Antiqua"/>
          <w:b/>
          <w:bCs/>
          <w:sz w:val="22"/>
          <w:szCs w:val="22"/>
        </w:rPr>
        <w:t>V</w:t>
      </w:r>
    </w:p>
    <w:p w:rsidR="00CD1F18" w:rsidRPr="00F05301" w:rsidP="00F05301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ab/>
        <w:t xml:space="preserve">Zákon č. 244/2002 Z. z. </w:t>
      </w:r>
      <w:r w:rsidRPr="00F05301">
        <w:rPr>
          <w:rFonts w:ascii="Book Antiqua" w:hAnsi="Book Antiqua"/>
          <w:sz w:val="22"/>
          <w:szCs w:val="22"/>
        </w:rPr>
        <w:t xml:space="preserve">o rozhodcovskom konaní </w:t>
      </w:r>
      <w:r w:rsidRPr="00F05301">
        <w:rPr>
          <w:rFonts w:ascii="Book Antiqua" w:hAnsi="Book Antiqua"/>
          <w:bCs/>
          <w:sz w:val="22"/>
          <w:szCs w:val="22"/>
        </w:rPr>
        <w:t xml:space="preserve">v znení zákona </w:t>
      </w:r>
      <w:r w:rsidRPr="00F05301">
        <w:rPr>
          <w:rFonts w:ascii="Book Antiqua" w:hAnsi="Book Antiqua"/>
          <w:color w:val="000000"/>
          <w:sz w:val="22"/>
          <w:szCs w:val="22"/>
        </w:rPr>
        <w:t>č. 521/2005 Z. z., zákona č. 71/2009 Z. z. a zákona č. 336/2014 Z. z. sa dopĺňa</w:t>
      </w:r>
      <w:r w:rsidRPr="00F05301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>
        <w:rPr>
          <w:rFonts w:ascii="Book Antiqua" w:hAnsi="Book Antiqua"/>
          <w:color w:val="000000"/>
          <w:sz w:val="22"/>
          <w:szCs w:val="22"/>
        </w:rPr>
        <w:t>takto:</w:t>
      </w:r>
    </w:p>
    <w:p w:rsidR="00CD1F18" w:rsidRPr="00F05301" w:rsidP="00F05301">
      <w:pPr>
        <w:pStyle w:val="BodyText"/>
        <w:numPr>
          <w:numId w:val="2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V § 1</w:t>
      </w:r>
      <w:r w:rsidR="00F855AD">
        <w:rPr>
          <w:rFonts w:ascii="Book Antiqua" w:hAnsi="Book Antiqua"/>
          <w:bCs/>
          <w:sz w:val="22"/>
          <w:szCs w:val="22"/>
        </w:rPr>
        <w:t>8 ods.</w:t>
      </w:r>
      <w:r w:rsidRPr="00F05301">
        <w:rPr>
          <w:rFonts w:ascii="Book Antiqua" w:hAnsi="Book Antiqua"/>
          <w:bCs/>
          <w:sz w:val="22"/>
          <w:szCs w:val="22"/>
        </w:rPr>
        <w:t xml:space="preserve"> 2 sa na konci pripája táto veta: </w:t>
      </w:r>
      <w:r w:rsidRPr="00F05301">
        <w:rPr>
          <w:rFonts w:ascii="Book Antiqua" w:hAnsi="Book Antiqua"/>
          <w:sz w:val="22"/>
          <w:szCs w:val="22"/>
        </w:rPr>
        <w:t>„</w:t>
      </w:r>
      <w:r w:rsidRPr="00F05301">
        <w:rPr>
          <w:rFonts w:ascii="Book Antiqua" w:hAnsi="Book Antiqua"/>
          <w:bCs/>
          <w:sz w:val="22"/>
          <w:szCs w:val="22"/>
        </w:rPr>
        <w:t>Ak</w:t>
      </w:r>
      <w:r w:rsidR="00F855AD">
        <w:rPr>
          <w:rFonts w:ascii="Book Antiqua" w:hAnsi="Book Antiqua"/>
          <w:bCs/>
          <w:sz w:val="22"/>
          <w:szCs w:val="22"/>
        </w:rPr>
        <w:t xml:space="preserve"> je predmetom žaloby</w:t>
      </w:r>
      <w:r w:rsidRPr="00F05301">
        <w:rPr>
          <w:rFonts w:ascii="Book Antiqua" w:hAnsi="Book Antiqua"/>
          <w:bCs/>
          <w:sz w:val="22"/>
          <w:szCs w:val="22"/>
        </w:rPr>
        <w:t xml:space="preserve"> peňažné plnenie, je žalobca povinný okrem dôkazov podľa prvej vety pripojiť aj kópiu výzvy na úhradu peňažného plnenia spolu s doručenkou alebo vrátenou nedoručenou zásielkou.“.</w:t>
      </w:r>
    </w:p>
    <w:p w:rsidR="00CD1F18" w:rsidRPr="00F05301" w:rsidP="00F05301">
      <w:pPr>
        <w:pStyle w:val="BodyText"/>
        <w:numPr>
          <w:numId w:val="2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Za § 54b sa vkladá nový § 54c, ktorý vrátane nadpisu znie:</w:t>
      </w:r>
    </w:p>
    <w:p w:rsidR="00F855AD" w:rsidP="00F855AD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05301" w:rsidR="00CD1F18">
        <w:rPr>
          <w:rFonts w:ascii="Book Antiqua" w:hAnsi="Book Antiqua"/>
          <w:bCs/>
          <w:sz w:val="22"/>
          <w:szCs w:val="22"/>
        </w:rPr>
        <w:t>„</w:t>
      </w:r>
      <w:r w:rsidRPr="00F05301" w:rsidR="00CD1F18">
        <w:rPr>
          <w:rFonts w:ascii="Book Antiqua" w:hAnsi="Book Antiqua"/>
          <w:b/>
          <w:bCs/>
          <w:sz w:val="22"/>
          <w:szCs w:val="22"/>
        </w:rPr>
        <w:t>§ 54c</w:t>
      </w:r>
    </w:p>
    <w:p w:rsidR="00CD1F18" w:rsidRPr="00F05301" w:rsidP="00F855AD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/>
          <w:bCs/>
          <w:sz w:val="22"/>
          <w:szCs w:val="22"/>
        </w:rPr>
        <w:t>Prechodné ustanovenie k úpravám účinným od 1. januára 2016</w:t>
      </w:r>
    </w:p>
    <w:p w:rsidR="00CD1F18" w:rsidRPr="00F05301" w:rsidP="00F05301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 xml:space="preserve">Na </w:t>
      </w:r>
      <w:r w:rsidR="00F855AD">
        <w:rPr>
          <w:rFonts w:ascii="Book Antiqua" w:hAnsi="Book Antiqua"/>
          <w:bCs/>
          <w:sz w:val="22"/>
          <w:szCs w:val="22"/>
        </w:rPr>
        <w:t>konania začaté pred 1. januárom 2016</w:t>
      </w:r>
      <w:r w:rsidRPr="00F05301">
        <w:rPr>
          <w:rFonts w:ascii="Book Antiqua" w:hAnsi="Book Antiqua"/>
          <w:bCs/>
          <w:sz w:val="22"/>
          <w:szCs w:val="22"/>
        </w:rPr>
        <w:t xml:space="preserve"> sa použijú predpisy účinné do 31. decembra 2015.“.</w:t>
      </w:r>
    </w:p>
    <w:p w:rsidR="00CD1F18" w:rsidRPr="00F05301" w:rsidP="00F053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left="708" w:firstLine="0"/>
        <w:jc w:val="center"/>
        <w:rPr>
          <w:rFonts w:ascii="Book Antiqua" w:hAnsi="Book Antiqua"/>
          <w:sz w:val="22"/>
          <w:szCs w:val="22"/>
        </w:rPr>
      </w:pPr>
    </w:p>
    <w:p w:rsidR="00CD1F18" w:rsidRPr="00F05301" w:rsidP="00F0530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/>
          <w:bCs/>
          <w:sz w:val="22"/>
          <w:szCs w:val="22"/>
        </w:rPr>
        <w:t>Čl. V</w:t>
      </w:r>
      <w:r w:rsidR="006E568E">
        <w:rPr>
          <w:rFonts w:ascii="Book Antiqua" w:hAnsi="Book Antiqua"/>
          <w:b/>
          <w:bCs/>
          <w:sz w:val="22"/>
          <w:szCs w:val="22"/>
        </w:rPr>
        <w:t>I</w:t>
      </w:r>
    </w:p>
    <w:p w:rsidR="00CD1F18" w:rsidRPr="00F05301" w:rsidP="00F05301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ab/>
      </w:r>
      <w:r w:rsidR="00F855AD">
        <w:rPr>
          <w:rFonts w:ascii="Book Antiqua" w:hAnsi="Book Antiqua"/>
          <w:bCs/>
          <w:sz w:val="22"/>
          <w:szCs w:val="22"/>
        </w:rPr>
        <w:t xml:space="preserve">Zákon </w:t>
      </w:r>
      <w:r w:rsidRPr="00F05301">
        <w:rPr>
          <w:rFonts w:ascii="Book Antiqua" w:hAnsi="Book Antiqua"/>
          <w:bCs/>
          <w:sz w:val="22"/>
          <w:szCs w:val="22"/>
        </w:rPr>
        <w:t xml:space="preserve">č. 335/2014 Z. z. </w:t>
      </w:r>
      <w:r w:rsidRPr="00F05301">
        <w:rPr>
          <w:rFonts w:ascii="Book Antiqua" w:hAnsi="Book Antiqua"/>
          <w:sz w:val="22"/>
          <w:szCs w:val="22"/>
        </w:rPr>
        <w:t xml:space="preserve">o spotrebiteľskom rozhodcovskom konaní a o zmene a doplnení niektorých zákonov </w:t>
      </w:r>
      <w:r w:rsidRPr="00F05301">
        <w:rPr>
          <w:rFonts w:ascii="Book Antiqua" w:hAnsi="Book Antiqua"/>
          <w:color w:val="000000"/>
          <w:sz w:val="22"/>
          <w:szCs w:val="22"/>
        </w:rPr>
        <w:t>sa dopĺňa</w:t>
      </w:r>
      <w:r w:rsidRPr="00F05301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F05301">
        <w:rPr>
          <w:rFonts w:ascii="Book Antiqua" w:hAnsi="Book Antiqua"/>
          <w:color w:val="000000"/>
          <w:sz w:val="22"/>
          <w:szCs w:val="22"/>
        </w:rPr>
        <w:t>takto:</w:t>
      </w:r>
    </w:p>
    <w:p w:rsidR="00CD1F18" w:rsidRPr="00F05301" w:rsidP="00F05301">
      <w:pPr>
        <w:pStyle w:val="BodyText"/>
        <w:numPr>
          <w:numId w:val="2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 xml:space="preserve">V § 25 ods. 2 sa na konci pripája táto veta: </w:t>
      </w:r>
      <w:r w:rsidRPr="00F05301">
        <w:rPr>
          <w:rFonts w:ascii="Book Antiqua" w:hAnsi="Book Antiqua"/>
          <w:sz w:val="22"/>
          <w:szCs w:val="22"/>
        </w:rPr>
        <w:t>„</w:t>
      </w:r>
      <w:r w:rsidR="00F855AD">
        <w:rPr>
          <w:rFonts w:ascii="Book Antiqua" w:hAnsi="Book Antiqua"/>
          <w:bCs/>
          <w:sz w:val="22"/>
          <w:szCs w:val="22"/>
        </w:rPr>
        <w:t>Ak je predmetom žaloby</w:t>
      </w:r>
      <w:r w:rsidRPr="00F05301">
        <w:rPr>
          <w:rFonts w:ascii="Book Antiqua" w:hAnsi="Book Antiqua"/>
          <w:bCs/>
          <w:sz w:val="22"/>
          <w:szCs w:val="22"/>
        </w:rPr>
        <w:t xml:space="preserve"> peňažné plnenie, je žalobca povinný okrem dôkazov podľa prvej vety pripojiť aj kópiu výzvy na úhradu peňažného plnenia spolu s doručenkou alebo vrátenou nedoručenou zásielkou.“.</w:t>
      </w:r>
    </w:p>
    <w:p w:rsidR="00CD1F18" w:rsidRPr="00F05301" w:rsidP="00F05301">
      <w:pPr>
        <w:pStyle w:val="BodyText"/>
        <w:numPr>
          <w:numId w:val="24"/>
        </w:numPr>
        <w:tabs>
          <w:tab w:val="left" w:pos="851"/>
        </w:tabs>
        <w:bidi w:val="0"/>
        <w:spacing w:before="120" w:line="276" w:lineRule="auto"/>
        <w:ind w:hanging="1488"/>
        <w:rPr>
          <w:rFonts w:ascii="Book Antiqua" w:hAnsi="Book Antiqua"/>
          <w:bCs/>
          <w:sz w:val="22"/>
          <w:szCs w:val="22"/>
        </w:rPr>
      </w:pPr>
      <w:r w:rsidRPr="00F05301">
        <w:rPr>
          <w:rFonts w:ascii="Book Antiqua" w:hAnsi="Book Antiqua"/>
          <w:bCs/>
          <w:sz w:val="22"/>
          <w:szCs w:val="22"/>
        </w:rPr>
        <w:t>Za § 73 sa vkladá nový § 73a, ktorý vrátane nadpisu znie:</w:t>
      </w:r>
    </w:p>
    <w:p w:rsidR="00F855AD" w:rsidP="00F855AD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05301" w:rsidR="00CD1F18">
        <w:rPr>
          <w:rFonts w:ascii="Book Antiqua" w:hAnsi="Book Antiqua"/>
          <w:bCs/>
          <w:sz w:val="22"/>
          <w:szCs w:val="22"/>
        </w:rPr>
        <w:t>„</w:t>
      </w:r>
      <w:r w:rsidRPr="00F05301" w:rsidR="00CD1F18">
        <w:rPr>
          <w:rFonts w:ascii="Book Antiqua" w:hAnsi="Book Antiqua"/>
          <w:b/>
          <w:bCs/>
          <w:sz w:val="22"/>
          <w:szCs w:val="22"/>
        </w:rPr>
        <w:t>§ 73a</w:t>
      </w:r>
    </w:p>
    <w:p w:rsidR="00CD1F18" w:rsidRPr="00F05301" w:rsidP="00F855AD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/>
          <w:bCs/>
          <w:sz w:val="22"/>
          <w:szCs w:val="22"/>
        </w:rPr>
        <w:t>Prechodné ustanovenie k úpravám účinným od 1. januára 2016</w:t>
      </w:r>
    </w:p>
    <w:p w:rsidR="00CD1F18" w:rsidRPr="00F05301" w:rsidP="00F05301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="00F855AD">
        <w:rPr>
          <w:rFonts w:ascii="Book Antiqua" w:hAnsi="Book Antiqua"/>
          <w:bCs/>
          <w:sz w:val="22"/>
          <w:szCs w:val="22"/>
        </w:rPr>
        <w:t xml:space="preserve">Na </w:t>
      </w:r>
      <w:r w:rsidRPr="00F05301">
        <w:rPr>
          <w:rFonts w:ascii="Book Antiqua" w:hAnsi="Book Antiqua"/>
          <w:bCs/>
          <w:sz w:val="22"/>
          <w:szCs w:val="22"/>
        </w:rPr>
        <w:t xml:space="preserve">konania začaté </w:t>
      </w:r>
      <w:r w:rsidR="00F855AD">
        <w:rPr>
          <w:rFonts w:ascii="Book Antiqua" w:hAnsi="Book Antiqua"/>
          <w:bCs/>
          <w:sz w:val="22"/>
          <w:szCs w:val="22"/>
        </w:rPr>
        <w:t>pred 1. januárom 2016</w:t>
      </w:r>
      <w:r w:rsidRPr="00F05301">
        <w:rPr>
          <w:rFonts w:ascii="Book Antiqua" w:hAnsi="Book Antiqua"/>
          <w:bCs/>
          <w:sz w:val="22"/>
          <w:szCs w:val="22"/>
        </w:rPr>
        <w:t xml:space="preserve"> sa použijú predpisy účinné do 31. decembra 2015.“.</w:t>
      </w:r>
    </w:p>
    <w:p w:rsidR="00CD1F18" w:rsidRPr="00F05301" w:rsidP="00F05301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</w:p>
    <w:p w:rsidR="00CD1F18" w:rsidRPr="00F05301" w:rsidP="00F0530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05301">
        <w:rPr>
          <w:rFonts w:ascii="Book Antiqua" w:hAnsi="Book Antiqua"/>
          <w:b/>
          <w:bCs/>
          <w:sz w:val="22"/>
          <w:szCs w:val="22"/>
        </w:rPr>
        <w:t>Čl. VI</w:t>
      </w:r>
      <w:r w:rsidR="006E568E">
        <w:rPr>
          <w:rFonts w:ascii="Book Antiqua" w:hAnsi="Book Antiqua"/>
          <w:b/>
          <w:bCs/>
          <w:sz w:val="22"/>
          <w:szCs w:val="22"/>
        </w:rPr>
        <w:t>I</w:t>
      </w:r>
    </w:p>
    <w:p w:rsidR="00CD1F18" w:rsidRPr="00F05301" w:rsidP="00F05301">
      <w:pPr>
        <w:pStyle w:val="BodyText"/>
        <w:bidi w:val="0"/>
        <w:spacing w:before="120" w:line="276" w:lineRule="auto"/>
        <w:ind w:left="708"/>
        <w:jc w:val="left"/>
        <w:rPr>
          <w:rFonts w:ascii="Book Antiqua" w:hAnsi="Book Antiqua"/>
          <w:sz w:val="22"/>
          <w:szCs w:val="22"/>
        </w:rPr>
      </w:pPr>
      <w:r w:rsidRPr="00F05301">
        <w:rPr>
          <w:rFonts w:ascii="Book Antiqua" w:hAnsi="Book Antiqua"/>
          <w:sz w:val="22"/>
          <w:szCs w:val="22"/>
        </w:rPr>
        <w:t>Tento zákon nadobúda účinnosť 1. januára 2016.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756"/>
    <w:multiLevelType w:val="hybridMultilevel"/>
    <w:tmpl w:val="BBCC26EE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7">
    <w:nsid w:val="27F17DDC"/>
    <w:multiLevelType w:val="hybridMultilevel"/>
    <w:tmpl w:val="2AE87316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74" w:hanging="180"/>
      </w:pPr>
      <w:rPr>
        <w:rFonts w:cs="Times New Roman"/>
        <w:rtl w:val="0"/>
        <w:cs w:val="0"/>
      </w:rPr>
    </w:lvl>
  </w:abstractNum>
  <w:abstractNum w:abstractNumId="8">
    <w:nsid w:val="2C20014C"/>
    <w:multiLevelType w:val="hybridMultilevel"/>
    <w:tmpl w:val="DAD80A64"/>
    <w:lvl w:ilvl="0">
      <w:start w:val="1"/>
      <w:numFmt w:val="decimal"/>
      <w:lvlText w:val="%1."/>
      <w:lvlJc w:val="left"/>
      <w:pPr>
        <w:ind w:left="15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cs="Times New Roman"/>
        <w:rtl w:val="0"/>
        <w:cs w:val="0"/>
      </w:rPr>
    </w:lvl>
  </w:abstractNum>
  <w:abstractNum w:abstractNumId="9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40EE3096"/>
    <w:multiLevelType w:val="hybridMultilevel"/>
    <w:tmpl w:val="5CC0A53C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2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3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46FA3957"/>
    <w:multiLevelType w:val="hybridMultilevel"/>
    <w:tmpl w:val="FE06D298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B757A77"/>
    <w:multiLevelType w:val="hybridMultilevel"/>
    <w:tmpl w:val="409C0DC4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DFD37A0"/>
    <w:multiLevelType w:val="hybridMultilevel"/>
    <w:tmpl w:val="49D60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F73390B"/>
    <w:multiLevelType w:val="hybridMultilevel"/>
    <w:tmpl w:val="DD20C5D0"/>
    <w:lvl w:ilvl="0">
      <w:start w:val="1"/>
      <w:numFmt w:val="decimal"/>
      <w:lvlText w:val="%1.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8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AC57CD"/>
    <w:multiLevelType w:val="hybridMultilevel"/>
    <w:tmpl w:val="C32625B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6D620FF5"/>
    <w:multiLevelType w:val="hybridMultilevel"/>
    <w:tmpl w:val="814850A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0AA7D70"/>
    <w:multiLevelType w:val="hybridMultilevel"/>
    <w:tmpl w:val="0F9056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B803967"/>
    <w:multiLevelType w:val="hybridMultilevel"/>
    <w:tmpl w:val="A1E8F24A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"/>
  </w:num>
  <w:num w:numId="5">
    <w:abstractNumId w:val="3"/>
  </w:num>
  <w:num w:numId="6">
    <w:abstractNumId w:val="21"/>
  </w:num>
  <w:num w:numId="7">
    <w:abstractNumId w:val="24"/>
  </w:num>
  <w:num w:numId="8">
    <w:abstractNumId w:val="5"/>
  </w:num>
  <w:num w:numId="9">
    <w:abstractNumId w:val="1"/>
  </w:num>
  <w:num w:numId="10">
    <w:abstractNumId w:val="19"/>
  </w:num>
  <w:num w:numId="11">
    <w:abstractNumId w:val="9"/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22"/>
  </w:num>
  <w:num w:numId="17">
    <w:abstractNumId w:val="7"/>
  </w:num>
  <w:num w:numId="18">
    <w:abstractNumId w:val="11"/>
  </w:num>
  <w:num w:numId="19">
    <w:abstractNumId w:val="25"/>
  </w:num>
  <w:num w:numId="20">
    <w:abstractNumId w:val="20"/>
  </w:num>
  <w:num w:numId="21">
    <w:abstractNumId w:val="0"/>
  </w:num>
  <w:num w:numId="22">
    <w:abstractNumId w:val="17"/>
  </w:num>
  <w:num w:numId="23">
    <w:abstractNumId w:val="8"/>
  </w:num>
  <w:num w:numId="24">
    <w:abstractNumId w:val="15"/>
  </w:num>
  <w:num w:numId="25">
    <w:abstractNumId w:val="2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490C1F"/>
    <w:rsid w:val="000174AA"/>
    <w:rsid w:val="000345B8"/>
    <w:rsid w:val="00044187"/>
    <w:rsid w:val="00067C2A"/>
    <w:rsid w:val="00072A46"/>
    <w:rsid w:val="00082B28"/>
    <w:rsid w:val="000B1641"/>
    <w:rsid w:val="000B31F4"/>
    <w:rsid w:val="000B3DB5"/>
    <w:rsid w:val="000B7684"/>
    <w:rsid w:val="000D455C"/>
    <w:rsid w:val="000D5EE8"/>
    <w:rsid w:val="000D6CF8"/>
    <w:rsid w:val="000E22E2"/>
    <w:rsid w:val="001031E8"/>
    <w:rsid w:val="00107142"/>
    <w:rsid w:val="001249E9"/>
    <w:rsid w:val="0013280B"/>
    <w:rsid w:val="00141D15"/>
    <w:rsid w:val="0014395F"/>
    <w:rsid w:val="00150E3C"/>
    <w:rsid w:val="00152306"/>
    <w:rsid w:val="0016680E"/>
    <w:rsid w:val="00192E69"/>
    <w:rsid w:val="001C0A2D"/>
    <w:rsid w:val="001C7BD9"/>
    <w:rsid w:val="001E6685"/>
    <w:rsid w:val="001F4C74"/>
    <w:rsid w:val="00205294"/>
    <w:rsid w:val="00224DB1"/>
    <w:rsid w:val="002304CB"/>
    <w:rsid w:val="0023615B"/>
    <w:rsid w:val="00252331"/>
    <w:rsid w:val="00261188"/>
    <w:rsid w:val="002626CC"/>
    <w:rsid w:val="002777B2"/>
    <w:rsid w:val="002A6BB2"/>
    <w:rsid w:val="002B078B"/>
    <w:rsid w:val="002C0474"/>
    <w:rsid w:val="002C1FC3"/>
    <w:rsid w:val="002C3923"/>
    <w:rsid w:val="002D1E2F"/>
    <w:rsid w:val="002F49AE"/>
    <w:rsid w:val="0031122A"/>
    <w:rsid w:val="00313E68"/>
    <w:rsid w:val="00316CAE"/>
    <w:rsid w:val="00356AA0"/>
    <w:rsid w:val="003614D8"/>
    <w:rsid w:val="0039735E"/>
    <w:rsid w:val="003A73D5"/>
    <w:rsid w:val="003B6B02"/>
    <w:rsid w:val="003C3448"/>
    <w:rsid w:val="003C673C"/>
    <w:rsid w:val="003D252E"/>
    <w:rsid w:val="003D290F"/>
    <w:rsid w:val="003D4EA1"/>
    <w:rsid w:val="00412274"/>
    <w:rsid w:val="00434EC9"/>
    <w:rsid w:val="00435524"/>
    <w:rsid w:val="00436D03"/>
    <w:rsid w:val="00436DD0"/>
    <w:rsid w:val="00455133"/>
    <w:rsid w:val="004578BE"/>
    <w:rsid w:val="00465C34"/>
    <w:rsid w:val="00490C1F"/>
    <w:rsid w:val="004A4742"/>
    <w:rsid w:val="004C6A6B"/>
    <w:rsid w:val="00520C11"/>
    <w:rsid w:val="005221BA"/>
    <w:rsid w:val="00540F65"/>
    <w:rsid w:val="00545DDF"/>
    <w:rsid w:val="00575044"/>
    <w:rsid w:val="0058617D"/>
    <w:rsid w:val="0059078F"/>
    <w:rsid w:val="0059565D"/>
    <w:rsid w:val="00597169"/>
    <w:rsid w:val="0059716A"/>
    <w:rsid w:val="005B03CB"/>
    <w:rsid w:val="005B1E8E"/>
    <w:rsid w:val="005B3ADA"/>
    <w:rsid w:val="005D13C7"/>
    <w:rsid w:val="005D47BD"/>
    <w:rsid w:val="005D4BE9"/>
    <w:rsid w:val="005F3FA3"/>
    <w:rsid w:val="00601944"/>
    <w:rsid w:val="00602CD3"/>
    <w:rsid w:val="0061176E"/>
    <w:rsid w:val="00612FF2"/>
    <w:rsid w:val="0063170B"/>
    <w:rsid w:val="00643BE2"/>
    <w:rsid w:val="006459A8"/>
    <w:rsid w:val="006460D4"/>
    <w:rsid w:val="006616F0"/>
    <w:rsid w:val="0067297B"/>
    <w:rsid w:val="00673418"/>
    <w:rsid w:val="006778F4"/>
    <w:rsid w:val="0068224B"/>
    <w:rsid w:val="0068628D"/>
    <w:rsid w:val="00692578"/>
    <w:rsid w:val="00696C7C"/>
    <w:rsid w:val="006A1E6A"/>
    <w:rsid w:val="006A47EB"/>
    <w:rsid w:val="006B7446"/>
    <w:rsid w:val="006E568E"/>
    <w:rsid w:val="0072596E"/>
    <w:rsid w:val="00743A4E"/>
    <w:rsid w:val="007518BB"/>
    <w:rsid w:val="00755028"/>
    <w:rsid w:val="00764EBE"/>
    <w:rsid w:val="00774AB8"/>
    <w:rsid w:val="00782D5A"/>
    <w:rsid w:val="00795562"/>
    <w:rsid w:val="007966DD"/>
    <w:rsid w:val="00796B78"/>
    <w:rsid w:val="007A4541"/>
    <w:rsid w:val="007B50E6"/>
    <w:rsid w:val="007C1C07"/>
    <w:rsid w:val="007D4B28"/>
    <w:rsid w:val="007D4D2F"/>
    <w:rsid w:val="007F4EB7"/>
    <w:rsid w:val="00804F2A"/>
    <w:rsid w:val="00817ACE"/>
    <w:rsid w:val="00836590"/>
    <w:rsid w:val="0085128C"/>
    <w:rsid w:val="00861F03"/>
    <w:rsid w:val="0086457B"/>
    <w:rsid w:val="00881B4E"/>
    <w:rsid w:val="008B52E5"/>
    <w:rsid w:val="008B795D"/>
    <w:rsid w:val="008C695C"/>
    <w:rsid w:val="008D140E"/>
    <w:rsid w:val="008D4A46"/>
    <w:rsid w:val="00900CF0"/>
    <w:rsid w:val="0090724B"/>
    <w:rsid w:val="009103AD"/>
    <w:rsid w:val="00913A7D"/>
    <w:rsid w:val="009228E3"/>
    <w:rsid w:val="00925E2C"/>
    <w:rsid w:val="00931AC5"/>
    <w:rsid w:val="009322D0"/>
    <w:rsid w:val="00975C3A"/>
    <w:rsid w:val="0097608A"/>
    <w:rsid w:val="00985941"/>
    <w:rsid w:val="009B3603"/>
    <w:rsid w:val="009B3FF9"/>
    <w:rsid w:val="009C05DE"/>
    <w:rsid w:val="009D03DA"/>
    <w:rsid w:val="009E1290"/>
    <w:rsid w:val="009E2B6E"/>
    <w:rsid w:val="009F1FCA"/>
    <w:rsid w:val="00A20614"/>
    <w:rsid w:val="00A359E2"/>
    <w:rsid w:val="00A45B01"/>
    <w:rsid w:val="00A615CB"/>
    <w:rsid w:val="00A62CC6"/>
    <w:rsid w:val="00A6592E"/>
    <w:rsid w:val="00AA6CCE"/>
    <w:rsid w:val="00AB75AF"/>
    <w:rsid w:val="00AE0C74"/>
    <w:rsid w:val="00AE48CD"/>
    <w:rsid w:val="00AF368E"/>
    <w:rsid w:val="00B10AA5"/>
    <w:rsid w:val="00B22339"/>
    <w:rsid w:val="00B24595"/>
    <w:rsid w:val="00B3213E"/>
    <w:rsid w:val="00B40DBE"/>
    <w:rsid w:val="00B53F3A"/>
    <w:rsid w:val="00B559A5"/>
    <w:rsid w:val="00B56579"/>
    <w:rsid w:val="00B767CC"/>
    <w:rsid w:val="00B93DFB"/>
    <w:rsid w:val="00B945BC"/>
    <w:rsid w:val="00BD5E1D"/>
    <w:rsid w:val="00C02240"/>
    <w:rsid w:val="00C0497F"/>
    <w:rsid w:val="00C13253"/>
    <w:rsid w:val="00C23F61"/>
    <w:rsid w:val="00C57812"/>
    <w:rsid w:val="00C63127"/>
    <w:rsid w:val="00C64F0F"/>
    <w:rsid w:val="00C64FF8"/>
    <w:rsid w:val="00C65552"/>
    <w:rsid w:val="00C720AC"/>
    <w:rsid w:val="00CA424E"/>
    <w:rsid w:val="00CA72B6"/>
    <w:rsid w:val="00CC3BCA"/>
    <w:rsid w:val="00CD1F18"/>
    <w:rsid w:val="00CE0AC5"/>
    <w:rsid w:val="00CE14C1"/>
    <w:rsid w:val="00D05F2F"/>
    <w:rsid w:val="00D15201"/>
    <w:rsid w:val="00D22FE0"/>
    <w:rsid w:val="00D4517B"/>
    <w:rsid w:val="00D52C95"/>
    <w:rsid w:val="00D61CF1"/>
    <w:rsid w:val="00D84B27"/>
    <w:rsid w:val="00D95177"/>
    <w:rsid w:val="00DA1F97"/>
    <w:rsid w:val="00DB2DBA"/>
    <w:rsid w:val="00DC62CF"/>
    <w:rsid w:val="00DE25A9"/>
    <w:rsid w:val="00DE45EA"/>
    <w:rsid w:val="00DE5C53"/>
    <w:rsid w:val="00DE5FBE"/>
    <w:rsid w:val="00E004C0"/>
    <w:rsid w:val="00E34F00"/>
    <w:rsid w:val="00E3540E"/>
    <w:rsid w:val="00E403C9"/>
    <w:rsid w:val="00E459E9"/>
    <w:rsid w:val="00E53E7A"/>
    <w:rsid w:val="00E67F44"/>
    <w:rsid w:val="00E70666"/>
    <w:rsid w:val="00E80C6E"/>
    <w:rsid w:val="00E82D4C"/>
    <w:rsid w:val="00E900C0"/>
    <w:rsid w:val="00E93725"/>
    <w:rsid w:val="00E95BE2"/>
    <w:rsid w:val="00EE2D0B"/>
    <w:rsid w:val="00EF4B6A"/>
    <w:rsid w:val="00EF6B3F"/>
    <w:rsid w:val="00F05301"/>
    <w:rsid w:val="00F3274E"/>
    <w:rsid w:val="00F402F8"/>
    <w:rsid w:val="00F65E25"/>
    <w:rsid w:val="00F814CC"/>
    <w:rsid w:val="00F8214A"/>
    <w:rsid w:val="00F855AD"/>
    <w:rsid w:val="00F86DE6"/>
    <w:rsid w:val="00F964A2"/>
    <w:rsid w:val="00FA37AF"/>
    <w:rsid w:val="00FA5E07"/>
    <w:rsid w:val="00FC3693"/>
    <w:rsid w:val="00FC3CAD"/>
    <w:rsid w:val="00FD1252"/>
    <w:rsid w:val="00FE743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Calibri" w:hAnsi="Calibri"/>
    </w:r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semiHidden/>
    <w:pPr>
      <w:autoSpaceDE/>
      <w:autoSpaceDN/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9322D0"/>
    <w:rPr>
      <w:vertAlign w:val="superscript"/>
    </w:rPr>
  </w:style>
  <w:style w:type="character" w:customStyle="1" w:styleId="h1a">
    <w:name w:val="h1a"/>
    <w:uiPriority w:val="99"/>
    <w:rsid w:val="00316CAE"/>
  </w:style>
  <w:style w:type="character" w:customStyle="1" w:styleId="apple-converted-space">
    <w:name w:val="apple-converted-space"/>
    <w:basedOn w:val="DefaultParagraphFont"/>
    <w:rsid w:val="00975C3A"/>
    <w:rPr>
      <w:rFonts w:cs="Times New Roman"/>
      <w:rtl w:val="0"/>
      <w:cs w:val="0"/>
    </w:rPr>
  </w:style>
  <w:style w:type="character" w:customStyle="1" w:styleId="BodyTextChar">
    <w:name w:val="Body Text Char"/>
    <w:link w:val="BodyText"/>
    <w:semiHidden/>
    <w:locked/>
    <w:rsid w:val="002B07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2051</Words>
  <Characters>11696</Characters>
  <Application>Microsoft Office Word</Application>
  <DocSecurity>0</DocSecurity>
  <Lines>0</Lines>
  <Paragraphs>0</Paragraphs>
  <ScaleCrop>false</ScaleCrop>
  <Company>Nebo</Company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cp:lastPrinted>2015-08-28T16:18:00Z</cp:lastPrinted>
  <dcterms:created xsi:type="dcterms:W3CDTF">2015-08-28T16:27:00Z</dcterms:created>
  <dcterms:modified xsi:type="dcterms:W3CDTF">2015-08-28T16:27:00Z</dcterms:modified>
</cp:coreProperties>
</file>