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132D" w:rsidRPr="00AC11EE" w:rsidP="002E132D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2E132D" w:rsidRPr="00AC11EE" w:rsidP="002E132D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2E132D" w:rsidRPr="00AC11EE" w:rsidP="002E132D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2E132D" w:rsidRPr="00AC11EE" w:rsidP="002E132D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poslan</w:t>
      </w:r>
      <w:r>
        <w:rPr>
          <w:rFonts w:ascii="Times New Roman" w:hAnsi="Times New Roman"/>
        </w:rPr>
        <w:t>ci</w:t>
      </w:r>
      <w:r w:rsidRPr="00AC11EE">
        <w:rPr>
          <w:rFonts w:ascii="Times New Roman" w:hAnsi="Times New Roman"/>
        </w:rPr>
        <w:t xml:space="preserve"> Národnej rady Slovenskej republiky </w:t>
      </w:r>
    </w:p>
    <w:p w:rsidR="00452B47" w:rsidRPr="00452B47" w:rsidP="00452B47">
      <w:pPr>
        <w:bidi w:val="0"/>
        <w:rPr>
          <w:rFonts w:hint="default"/>
        </w:rPr>
      </w:pPr>
      <w:r w:rsidRPr="00AC11EE" w:rsidR="002E132D">
        <w:rPr>
          <w:rFonts w:ascii="Times New Roman" w:hAnsi="Times New Roman"/>
          <w:b/>
          <w:szCs w:val="24"/>
        </w:rPr>
        <w:t>2. </w:t>
      </w:r>
      <w:r w:rsidRPr="00AC11EE" w:rsidR="002E132D">
        <w:rPr>
          <w:rFonts w:ascii="Times New Roman" w:hAnsi="Times New Roman" w:hint="default"/>
          <w:b/>
          <w:szCs w:val="24"/>
        </w:rPr>
        <w:t>Ná</w:t>
      </w:r>
      <w:r w:rsidRPr="00AC11EE" w:rsidR="002E132D">
        <w:rPr>
          <w:rFonts w:ascii="Times New Roman" w:hAnsi="Times New Roman" w:hint="default"/>
          <w:b/>
          <w:szCs w:val="24"/>
        </w:rPr>
        <w:t>zov ná</w:t>
      </w:r>
      <w:r w:rsidRPr="00AC11EE" w:rsidR="002E132D">
        <w:rPr>
          <w:rFonts w:ascii="Times New Roman" w:hAnsi="Times New Roman" w:hint="default"/>
          <w:b/>
          <w:szCs w:val="24"/>
        </w:rPr>
        <w:t>vrhu zá</w:t>
      </w:r>
      <w:r w:rsidRPr="00AC11EE" w:rsidR="002E132D">
        <w:rPr>
          <w:rFonts w:ascii="Times New Roman" w:hAnsi="Times New Roman" w:hint="default"/>
          <w:b/>
          <w:szCs w:val="24"/>
        </w:rPr>
        <w:t>kona:</w:t>
      </w:r>
      <w:r w:rsidRPr="00AC11EE" w:rsidR="002E132D">
        <w:rPr>
          <w:rFonts w:ascii="Times New Roman" w:hAnsi="Times New Roman"/>
          <w:szCs w:val="24"/>
        </w:rPr>
        <w:t xml:space="preserve"> </w:t>
      </w:r>
      <w:r w:rsidRPr="00971EB0" w:rsidR="002E132D">
        <w:rPr>
          <w:rFonts w:ascii="Times New Roman" w:hAnsi="Times New Roman" w:hint="default"/>
          <w:szCs w:val="24"/>
        </w:rPr>
        <w:t>Ná</w:t>
      </w:r>
      <w:r w:rsidRPr="00971EB0" w:rsidR="002E132D">
        <w:rPr>
          <w:rFonts w:ascii="Times New Roman" w:hAnsi="Times New Roman" w:hint="default"/>
          <w:szCs w:val="24"/>
        </w:rPr>
        <w:t>vrh zá</w:t>
      </w:r>
      <w:r w:rsidRPr="00971EB0" w:rsidR="002E132D">
        <w:rPr>
          <w:rFonts w:ascii="Times New Roman" w:hAnsi="Times New Roman" w:hint="default"/>
          <w:szCs w:val="24"/>
        </w:rPr>
        <w:t xml:space="preserve">kona, </w:t>
      </w:r>
      <w:r w:rsidRPr="00452B47">
        <w:rPr>
          <w:rFonts w:hint="default"/>
        </w:rPr>
        <w:t>ktorý</w:t>
      </w:r>
      <w:r w:rsidRPr="00452B47">
        <w:rPr>
          <w:rFonts w:hint="default"/>
        </w:rPr>
        <w:t>m sa mení</w:t>
      </w:r>
      <w:r w:rsidRPr="00452B47">
        <w:rPr>
          <w:rFonts w:hint="default"/>
        </w:rPr>
        <w:t xml:space="preserve"> a dopĺň</w:t>
      </w:r>
      <w:r w:rsidRPr="00452B47">
        <w:rPr>
          <w:rFonts w:hint="default"/>
        </w:rPr>
        <w:t>a zá</w:t>
      </w:r>
      <w:r w:rsidRPr="00452B47">
        <w:rPr>
          <w:rFonts w:hint="default"/>
        </w:rPr>
        <w:t>kon č</w:t>
      </w:r>
      <w:r w:rsidRPr="00452B47">
        <w:rPr>
          <w:rFonts w:hint="default"/>
        </w:rPr>
        <w:t>. 595/2003 Z. z. o </w:t>
      </w:r>
      <w:r w:rsidRPr="00452B47">
        <w:rPr>
          <w:rFonts w:hint="default"/>
        </w:rPr>
        <w:t>dani z prí</w:t>
      </w:r>
      <w:r w:rsidRPr="00452B47">
        <w:rPr>
          <w:rFonts w:hint="default"/>
        </w:rPr>
        <w:t xml:space="preserve">jmov </w:t>
      </w:r>
      <w:r w:rsidRPr="00452B47">
        <w:rPr>
          <w:rFonts w:hint="default"/>
        </w:rPr>
        <w:t>v </w:t>
      </w:r>
      <w:r w:rsidRPr="00452B47">
        <w:rPr>
          <w:rFonts w:hint="default"/>
        </w:rPr>
        <w:t>znení</w:t>
      </w:r>
      <w:r w:rsidRPr="00452B47">
        <w:rPr>
          <w:rFonts w:hint="default"/>
        </w:rPr>
        <w:t xml:space="preserve"> neskorší</w:t>
      </w:r>
      <w:r w:rsidRPr="00452B47">
        <w:rPr>
          <w:rFonts w:hint="default"/>
        </w:rPr>
        <w:t>ch predpisov (zá</w:t>
      </w:r>
      <w:r w:rsidRPr="00452B47">
        <w:rPr>
          <w:rFonts w:hint="default"/>
        </w:rPr>
        <w:t>kon o </w:t>
      </w:r>
      <w:r w:rsidRPr="00452B47">
        <w:rPr>
          <w:rFonts w:hint="default"/>
        </w:rPr>
        <w:t>finanč</w:t>
      </w:r>
      <w:r w:rsidRPr="00452B47">
        <w:rPr>
          <w:rFonts w:hint="default"/>
        </w:rPr>
        <w:t>nej odluke cirkví</w:t>
      </w:r>
      <w:r w:rsidRPr="00452B47">
        <w:rPr>
          <w:rFonts w:hint="default"/>
        </w:rPr>
        <w:t xml:space="preserve"> od š</w:t>
      </w:r>
      <w:r w:rsidRPr="00452B47">
        <w:rPr>
          <w:rFonts w:hint="default"/>
        </w:rPr>
        <w:t>tá</w:t>
      </w:r>
      <w:r w:rsidRPr="00452B47">
        <w:rPr>
          <w:rFonts w:hint="default"/>
        </w:rPr>
        <w:t>tu)</w:t>
      </w:r>
    </w:p>
    <w:p w:rsidR="002E132D" w:rsidRPr="00A13401" w:rsidP="002E132D">
      <w:pPr>
        <w:bidi w:val="0"/>
        <w:jc w:val="both"/>
        <w:rPr>
          <w:rFonts w:ascii="Times New Roman" w:hAnsi="Times New Roman"/>
          <w:szCs w:val="24"/>
        </w:rPr>
      </w:pPr>
    </w:p>
    <w:p w:rsidR="002E132D" w:rsidRPr="00A13401" w:rsidP="002E132D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2E132D" w:rsidRPr="00A13401" w:rsidP="002E132D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Nie </w:t>
      </w: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2E132D" w:rsidRPr="00A13401" w:rsidP="002E132D">
      <w:pPr>
        <w:bidi w:val="0"/>
        <w:rPr>
          <w:rFonts w:ascii="Times New Roman" w:hAnsi="Times New Roman"/>
        </w:rPr>
      </w:pPr>
    </w:p>
    <w:p w:rsidR="002E132D" w:rsidRPr="00A13401" w:rsidP="002E132D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>nie.</w:t>
      </w:r>
    </w:p>
    <w:p w:rsidR="002E132D" w:rsidRPr="00A13401" w:rsidP="002E132D">
      <w:pPr>
        <w:bidi w:val="0"/>
        <w:rPr>
          <w:rFonts w:ascii="Times New Roman" w:hAnsi="Times New Roman"/>
        </w:rPr>
      </w:pPr>
    </w:p>
    <w:p w:rsidR="002E132D" w:rsidRPr="00A13401" w:rsidP="002E132D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>zky Slovenskej republiky vo</w:t>
      </w:r>
      <w:r w:rsidRPr="00A13401">
        <w:rPr>
          <w:rFonts w:ascii="Times New Roman" w:hAnsi="Times New Roman" w:hint="default"/>
          <w:b/>
        </w:rPr>
        <w:t xml:space="preserve"> vzť</w:t>
      </w:r>
      <w:r w:rsidRPr="00A13401">
        <w:rPr>
          <w:rFonts w:ascii="Times New Roman" w:hAnsi="Times New Roman" w:hint="default"/>
          <w:b/>
        </w:rPr>
        <w:t>ahu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2E132D" w:rsidRPr="00A13401" w:rsidP="002E132D">
      <w:pPr>
        <w:bidi w:val="0"/>
        <w:rPr>
          <w:rFonts w:ascii="Times New Roman" w:hAnsi="Times New Roman"/>
        </w:rPr>
      </w:pPr>
    </w:p>
    <w:p w:rsidR="002E132D" w:rsidRPr="00A13401" w:rsidP="002E132D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 xml:space="preserve">      Bezpredmetné </w:t>
      </w:r>
    </w:p>
    <w:p w:rsidR="002E132D" w:rsidRPr="00A13401" w:rsidP="002E132D">
      <w:pPr>
        <w:bidi w:val="0"/>
        <w:ind w:firstLine="708"/>
        <w:rPr>
          <w:rFonts w:ascii="Times New Roman" w:hAnsi="Times New Roman"/>
        </w:rPr>
      </w:pPr>
    </w:p>
    <w:p w:rsidR="002E132D" w:rsidRPr="00A13401" w:rsidP="002E132D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2E132D" w:rsidRPr="00A13401" w:rsidP="002E132D">
      <w:pPr>
        <w:bidi w:val="0"/>
        <w:rPr>
          <w:rFonts w:ascii="Times New Roman" w:hAnsi="Times New Roman"/>
        </w:rPr>
      </w:pPr>
    </w:p>
    <w:p w:rsidR="002E132D" w:rsidRPr="00A13401" w:rsidP="002E132D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2E132D" w:rsidRPr="00A13401" w:rsidP="002E132D">
      <w:pPr>
        <w:bidi w:val="0"/>
        <w:rPr>
          <w:rFonts w:ascii="Times New Roman" w:hAnsi="Times New Roman"/>
        </w:rPr>
      </w:pPr>
    </w:p>
    <w:p w:rsidR="002E132D" w:rsidRPr="00A13401" w:rsidP="002E132D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2E132D" w:rsidRPr="00A13401" w:rsidP="002E132D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2E132D" w:rsidRPr="00A13401" w:rsidP="002E132D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2E132D" w:rsidRPr="00A13401" w:rsidP="002E132D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2E132D" w:rsidRPr="00AC11EE" w:rsidP="002E132D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2E132D" w:rsidRPr="00AC11EE" w:rsidP="002E132D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2E132D" w:rsidRPr="00AC11EE" w:rsidP="002E132D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2E132D" w:rsidRPr="00AC11EE" w:rsidP="002E132D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2E132D" w:rsidRPr="00AC11EE" w:rsidP="002E132D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2E132D" w:rsidRPr="00AC11EE" w:rsidP="002E132D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452B47" w:rsidP="00452B47">
      <w:pPr>
        <w:bidi w:val="0"/>
      </w:pPr>
      <w:r w:rsidRPr="00AC11EE" w:rsidR="002E132D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 w:rsidR="002E132D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 w:rsidR="002E132D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971EB0">
        <w:rPr>
          <w:rFonts w:ascii="Times New Roman" w:hAnsi="Times New Roman" w:hint="default"/>
          <w:szCs w:val="24"/>
        </w:rPr>
        <w:t>Ná</w:t>
      </w:r>
      <w:r w:rsidRPr="00971EB0">
        <w:rPr>
          <w:rFonts w:ascii="Times New Roman" w:hAnsi="Times New Roman" w:hint="default"/>
          <w:szCs w:val="24"/>
        </w:rPr>
        <w:t>vrh zá</w:t>
      </w:r>
      <w:r w:rsidRPr="00971EB0">
        <w:rPr>
          <w:rFonts w:ascii="Times New Roman" w:hAnsi="Times New Roman" w:hint="default"/>
          <w:szCs w:val="24"/>
        </w:rPr>
        <w:t>kona, ktorý</w:t>
      </w:r>
      <w:r w:rsidRPr="00971EB0">
        <w:rPr>
          <w:rFonts w:ascii="Times New Roman" w:hAnsi="Times New Roman" w:hint="default"/>
          <w:szCs w:val="24"/>
        </w:rPr>
        <w:t>m sa mení</w:t>
      </w:r>
      <w:r w:rsidRPr="00971EB0">
        <w:rPr>
          <w:rFonts w:ascii="Times New Roman" w:hAnsi="Times New Roman" w:hint="default"/>
          <w:szCs w:val="24"/>
        </w:rPr>
        <w:t xml:space="preserve"> a dopĺň</w:t>
      </w:r>
      <w:r w:rsidRPr="00971EB0">
        <w:rPr>
          <w:rFonts w:ascii="Times New Roman" w:hAnsi="Times New Roman" w:hint="default"/>
          <w:szCs w:val="24"/>
        </w:rPr>
        <w:t xml:space="preserve">a </w:t>
      </w:r>
      <w:r w:rsidRPr="00452B47">
        <w:rPr>
          <w:rFonts w:hint="default"/>
        </w:rPr>
        <w:t>ktorý</w:t>
      </w:r>
      <w:r w:rsidRPr="00452B47">
        <w:rPr>
          <w:rFonts w:hint="default"/>
        </w:rPr>
        <w:t>m sa mení</w:t>
      </w:r>
      <w:r w:rsidRPr="00452B47">
        <w:rPr>
          <w:rFonts w:hint="default"/>
        </w:rPr>
        <w:t xml:space="preserve"> a dopĺň</w:t>
      </w:r>
      <w:r w:rsidRPr="00452B47">
        <w:rPr>
          <w:rFonts w:hint="default"/>
        </w:rPr>
        <w:t>a zá</w:t>
      </w:r>
      <w:r w:rsidRPr="00452B47">
        <w:rPr>
          <w:rFonts w:hint="default"/>
        </w:rPr>
        <w:t>kon č</w:t>
      </w:r>
      <w:r w:rsidRPr="00452B47">
        <w:rPr>
          <w:rFonts w:hint="default"/>
        </w:rPr>
        <w:t>. 595/2003 Z. z. o </w:t>
      </w:r>
      <w:r w:rsidRPr="00452B47">
        <w:rPr>
          <w:rFonts w:hint="default"/>
        </w:rPr>
        <w:t>dani z prí</w:t>
      </w:r>
      <w:r w:rsidRPr="00452B47">
        <w:rPr>
          <w:rFonts w:hint="default"/>
        </w:rPr>
        <w:t>jmov v </w:t>
      </w:r>
      <w:r w:rsidRPr="00452B47">
        <w:rPr>
          <w:rFonts w:hint="default"/>
        </w:rPr>
        <w:t>znení</w:t>
      </w:r>
      <w:r w:rsidRPr="00452B47">
        <w:rPr>
          <w:rFonts w:hint="default"/>
        </w:rPr>
        <w:t xml:space="preserve"> neskorší</w:t>
      </w:r>
      <w:r w:rsidRPr="00452B47">
        <w:rPr>
          <w:rFonts w:hint="default"/>
        </w:rPr>
        <w:t>ch predpisov (zá</w:t>
      </w:r>
      <w:r w:rsidRPr="00452B47">
        <w:rPr>
          <w:rFonts w:hint="default"/>
        </w:rPr>
        <w:t>kon o </w:t>
      </w:r>
      <w:r w:rsidRPr="00452B47">
        <w:rPr>
          <w:rFonts w:hint="default"/>
        </w:rPr>
        <w:t>finanč</w:t>
      </w:r>
      <w:r w:rsidRPr="00452B47">
        <w:rPr>
          <w:rFonts w:hint="default"/>
        </w:rPr>
        <w:t>nej odluke cirkví</w:t>
      </w:r>
      <w:r w:rsidRPr="00452B47">
        <w:rPr>
          <w:rFonts w:hint="default"/>
        </w:rPr>
        <w:t xml:space="preserve"> od š</w:t>
      </w:r>
      <w:r w:rsidRPr="00452B47">
        <w:rPr>
          <w:rFonts w:hint="default"/>
        </w:rPr>
        <w:t>tá</w:t>
      </w:r>
      <w:r w:rsidRPr="00452B47">
        <w:rPr>
          <w:rFonts w:hint="default"/>
        </w:rPr>
        <w:t>tu)</w:t>
      </w:r>
    </w:p>
    <w:p w:rsidR="00452B47" w:rsidRPr="00452B47" w:rsidP="00452B47">
      <w:pPr>
        <w:bidi w:val="0"/>
      </w:pPr>
    </w:p>
    <w:p w:rsidR="002E132D" w:rsidRPr="00AC11EE" w:rsidP="00452B47">
      <w:pPr>
        <w:bidi w:val="0"/>
        <w:jc w:val="both"/>
      </w:pPr>
      <w:r w:rsidRPr="00AC11EE">
        <w:rPr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452B47">
              <w:rPr>
                <w:rFonts w:ascii="Times New Roman" w:hAnsi="Times New Roman"/>
              </w:rPr>
              <w:t>x</w:t>
            </w: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2E132D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DD2C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DD2C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52B47" w:rsidRPr="00AC11EE" w:rsidP="00933197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E132D" w:rsidP="002E132D">
      <w:pPr>
        <w:pStyle w:val="NormalWeb"/>
        <w:bidi w:val="0"/>
        <w:spacing w:before="120" w:after="0" w:line="276" w:lineRule="auto"/>
        <w:rPr>
          <w:rFonts w:ascii="Times New Roman" w:hAnsi="Times New Roman"/>
          <w:b/>
          <w:color w:val="000000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2E132D" w:rsidRPr="00793431" w:rsidP="002E132D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Navrhovateľ predpokladá mierne </w:t>
      </w:r>
      <w:r w:rsidR="00452B47">
        <w:rPr>
          <w:rFonts w:ascii="Times New Roman" w:hAnsi="Times New Roman"/>
          <w:color w:val="000000"/>
        </w:rPr>
        <w:t xml:space="preserve">negatívny vplyv na rozpočet verejnej správy vo výške cca. 7,87 mil. eur v roku 2017, a obdobne v rokoch nasledujúcich. Negatívny dosah na rozpočet vyplýva zo zavedenia možnosti poukázať ďalšie 2 % zo zaplatenej dane z príjmu fyzických osôb pre registrované cirkvi a náboženské spoločnosti a zároveň využitím takto neasignovaných prostriedkov pre nový Fond obnovy kultúrneho dedičstva; tento vplyv je vo veľkej miere kompenzovaný zrušením existujúcich výdavkových položiek v oblasti financovania cirkví a obnovy národných kultúrnych pamiatok. </w:t>
      </w:r>
    </w:p>
    <w:p w:rsidR="002E132D" w:rsidRPr="00AC11EE" w:rsidP="002E132D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452B47" w:rsidRPr="00452B47" w:rsidP="002E132D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  <w:r w:rsidRPr="00452B47">
        <w:rPr>
          <w:rFonts w:ascii="Times New Roman" w:hAnsi="Times New Roman"/>
          <w:color w:val="000000"/>
        </w:rPr>
        <w:t>Nepredkladá sa.</w:t>
      </w:r>
    </w:p>
    <w:p w:rsidR="00FA139A" w:rsidP="00452B47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 w:rsidR="002E132D">
        <w:rPr>
          <w:rFonts w:ascii="Times New Roman" w:hAnsi="Times New Roman"/>
          <w:b/>
          <w:color w:val="000000"/>
        </w:rPr>
        <w:t>A.5. Stanovisko gestorov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444B7"/>
    <w:rsid w:val="002E132D"/>
    <w:rsid w:val="00452B47"/>
    <w:rsid w:val="00793431"/>
    <w:rsid w:val="008444B7"/>
    <w:rsid w:val="00933197"/>
    <w:rsid w:val="00971EB0"/>
    <w:rsid w:val="00A13401"/>
    <w:rsid w:val="00AC11EE"/>
    <w:rsid w:val="00C50B58"/>
    <w:rsid w:val="00DD2C08"/>
    <w:rsid w:val="00DE3C7C"/>
    <w:rsid w:val="00FA139A"/>
    <w:rsid w:val="00FD43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2D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E13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2E132D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298</Words>
  <Characters>1700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2015-08-28T14:49:00Z</dcterms:created>
  <dcterms:modified xsi:type="dcterms:W3CDTF">2015-08-28T14:49:00Z</dcterms:modified>
</cp:coreProperties>
</file>