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2B0" w:rsidP="002212B0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46">
        <w:rPr>
          <w:rFonts w:ascii="Times New Roman" w:hAnsi="Times New Roman" w:cs="Times New Roman"/>
          <w:b/>
          <w:sz w:val="28"/>
          <w:szCs w:val="28"/>
        </w:rPr>
        <w:t>D ô v o d o v á   s p r á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31F46">
        <w:rPr>
          <w:rFonts w:ascii="Times New Roman" w:hAnsi="Times New Roman" w:cs="Times New Roman"/>
          <w:b/>
          <w:sz w:val="28"/>
          <w:szCs w:val="28"/>
        </w:rPr>
        <w:t>a</w:t>
      </w:r>
    </w:p>
    <w:p w:rsidR="002212B0" w:rsidP="002212B0">
      <w:pPr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2B0" w:rsidP="002212B0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Všeobecná časť</w:t>
      </w:r>
    </w:p>
    <w:p w:rsidR="002212B0" w:rsidP="002212B0">
      <w:pPr>
        <w:pStyle w:val="ListParagraph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2B0" w:rsidP="002212B0">
      <w:pPr>
        <w:pStyle w:val="ListParagraph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2B0" w:rsidP="002212B0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rokovanie Národnej rady Slovenskej republiky sa predkladá  novela zákona Národnej rady Slovenskej republiky č. 350/1996 Z. z. o rokovacom poriadku Národnej rady Slovenskej republiky (ďalej len „novela rokovacieho poriadku“).</w:t>
      </w:r>
    </w:p>
    <w:p w:rsidR="002212B0" w:rsidP="002212B0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Cieľom navrhovanej  novely rokovacieho poriadku je stransparentnenie legislatívneho procesu pri prerokúvaní návrhov zákonov. Predložené návrhy zmien možno rozdeliť do  nasledujúcich okruhov: 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B">
        <w:rPr>
          <w:rFonts w:ascii="Times New Roman" w:hAnsi="Times New Roman" w:cs="Times New Roman"/>
          <w:sz w:val="24"/>
          <w:szCs w:val="24"/>
        </w:rPr>
        <w:t>obmedzenie predkladania vecne nesúvisiacich novie</w:t>
      </w:r>
      <w:r>
        <w:rPr>
          <w:rFonts w:ascii="Times New Roman" w:hAnsi="Times New Roman" w:cs="Times New Roman"/>
          <w:sz w:val="24"/>
          <w:szCs w:val="24"/>
        </w:rPr>
        <w:t>l,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013C75">
        <w:rPr>
          <w:rFonts w:ascii="Times New Roman" w:hAnsi="Times New Roman" w:cs="Times New Roman"/>
          <w:sz w:val="24"/>
          <w:szCs w:val="24"/>
        </w:rPr>
        <w:t>lasovanie o pozmeňujúcich a doplňujúcich návrhoch najskôr po uplynutí 48 hodín od ich podania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3C75">
        <w:rPr>
          <w:rFonts w:ascii="Times New Roman" w:hAnsi="Times New Roman" w:cs="Times New Roman"/>
          <w:sz w:val="24"/>
          <w:szCs w:val="24"/>
        </w:rPr>
        <w:t>rozprave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Etický kódex poslanca</w:t>
      </w:r>
      <w:r w:rsidRPr="008A7D9A">
        <w:rPr>
          <w:rFonts w:ascii="Times New Roman" w:hAnsi="Times New Roman" w:cs="Times New Roman"/>
          <w:sz w:val="24"/>
          <w:szCs w:val="24"/>
        </w:rPr>
        <w:t>, ktorým</w:t>
      </w:r>
      <w:r>
        <w:t xml:space="preserve"> </w:t>
      </w:r>
      <w:r w:rsidRPr="008A7D9A">
        <w:rPr>
          <w:rFonts w:ascii="Times New Roman" w:hAnsi="Times New Roman" w:cs="Times New Roman"/>
          <w:sz w:val="24"/>
          <w:szCs w:val="24"/>
        </w:rPr>
        <w:t>sa dopĺňajú pravidlá správania sa poslanca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a doplnenie ustanovení upravujúcich</w:t>
      </w:r>
    </w:p>
    <w:p w:rsidR="002212B0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schôdze Národnej rady Slovenskej republiky (ďalej len „národná rada“) a postup zverejňovania návrhov zákonov, spoločnej správy výborov a pozmeňujúcich a doplňujúcich návrhov k návrhom zákonov na webovom sídle národnej rady,</w:t>
      </w:r>
    </w:p>
    <w:p w:rsidR="002212B0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interpelácie,</w:t>
      </w:r>
    </w:p>
    <w:p w:rsidR="002212B0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hodinu otázok,</w:t>
      </w:r>
    </w:p>
    <w:p w:rsidR="002212B0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posudzovanie neúčasti poslanca na rokovaní národnej rady,</w:t>
      </w:r>
    </w:p>
    <w:p w:rsidR="002212B0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podávania procedurálneho návrhu,</w:t>
      </w:r>
    </w:p>
    <w:p w:rsidR="002212B0" w:rsidRPr="00716CE4" w:rsidP="002212B0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disciplinárne konanie – sankcie aj vo väzbe na Etický kódex poslanca,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sprísnenie postupu pri späť vzatí návrhu zákona,</w:t>
      </w:r>
    </w:p>
    <w:p w:rsidR="002212B0" w:rsidP="005349A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B22">
        <w:rPr>
          <w:rFonts w:ascii="Times New Roman" w:hAnsi="Times New Roman" w:cs="Times New Roman"/>
          <w:sz w:val="24"/>
          <w:szCs w:val="24"/>
        </w:rPr>
        <w:t xml:space="preserve">navrhuje sa  zrušiť zákon  </w:t>
      </w:r>
      <w:r w:rsidRPr="005349A0" w:rsidR="005349A0">
        <w:rPr>
          <w:rFonts w:ascii="Times New Roman" w:hAnsi="Times New Roman" w:cs="Times New Roman"/>
          <w:sz w:val="24"/>
          <w:szCs w:val="24"/>
        </w:rPr>
        <w:t xml:space="preserve">Slovenskej národnej rady </w:t>
      </w:r>
      <w:r w:rsidRPr="00985B22">
        <w:rPr>
          <w:rFonts w:ascii="Times New Roman" w:hAnsi="Times New Roman" w:cs="Times New Roman"/>
          <w:sz w:val="24"/>
          <w:szCs w:val="24"/>
        </w:rPr>
        <w:t>č. 45/1989 Zb. o poslancoch  Slovenskej národnej rady v znení neskorších predpisov a v tejto súvislosti sa niektoré ustanovenia preberajú do  zákona o rokovacom poriadku</w:t>
      </w:r>
      <w:r>
        <w:rPr>
          <w:rFonts w:ascii="Times New Roman" w:hAnsi="Times New Roman" w:cs="Times New Roman"/>
          <w:sz w:val="24"/>
          <w:szCs w:val="24"/>
        </w:rPr>
        <w:t xml:space="preserve"> (úprava vydania poslaneckého preukazu, výkon poslaneckého prieskumu),</w:t>
      </w:r>
    </w:p>
    <w:p w:rsidR="002212B0" w:rsidRPr="00985B22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0239B">
        <w:rPr>
          <w:rFonts w:ascii="Times New Roman" w:hAnsi="Times New Roman" w:cs="Times New Roman"/>
          <w:sz w:val="24"/>
          <w:szCs w:val="24"/>
        </w:rPr>
        <w:t xml:space="preserve">pravuje sa právomoc výboru </w:t>
      </w:r>
      <w:r>
        <w:rPr>
          <w:rFonts w:ascii="Times New Roman" w:hAnsi="Times New Roman" w:cs="Times New Roman"/>
          <w:sz w:val="24"/>
          <w:szCs w:val="24"/>
        </w:rPr>
        <w:t xml:space="preserve">pre európske záležitosti </w:t>
      </w:r>
      <w:r w:rsidRPr="0050239B">
        <w:rPr>
          <w:rFonts w:ascii="Times New Roman" w:hAnsi="Times New Roman" w:cs="Times New Roman"/>
          <w:sz w:val="24"/>
          <w:szCs w:val="24"/>
        </w:rPr>
        <w:t>pri schvaľovaní odôvodneného stanoviska v zmysle Protokolu č. 2 o uplatňovaní zásad subsidiarity a proporcionality pripojeného k Lisabonskej zmluve (zasielanie odôvodnených stanovísk za účelom uloženia tzv. žltej resp. oranžovej karty národnými parlamentmi členských štátov EÚ voči legislatívnemu návrhu Komisie).</w:t>
      </w:r>
    </w:p>
    <w:p w:rsidR="002212B0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zrušenie obsolentných ustanovení a</w:t>
      </w:r>
    </w:p>
    <w:p w:rsidR="002212B0" w:rsidRPr="00985B22" w:rsidP="002212B0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legislatívno-technické úpravy súvisiace s navrhovanými zmenami.</w:t>
      </w:r>
    </w:p>
    <w:p w:rsidR="002212B0" w:rsidP="002212B0">
      <w:pPr>
        <w:pStyle w:val="ListParagraph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B0" w:rsidP="002212B0">
      <w:pPr>
        <w:pStyle w:val="ListParagraph"/>
        <w:bidi w:val="0"/>
        <w:spacing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je v súlade s Ústavou Slovenskej republiky, všeobecne záväznými právnymi predpismi, s medzinárodnými zmluvami a s právom Európskej únie.</w:t>
      </w:r>
    </w:p>
    <w:p w:rsidR="002212B0" w:rsidRPr="006670F2" w:rsidP="002212B0">
      <w:pPr>
        <w:bidi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2B0" w:rsidRPr="006670F2" w:rsidP="002212B0">
      <w:pPr>
        <w:bidi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2B0" w:rsidRPr="006670F2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12B0" w:rsidRPr="00A7746C" w:rsidP="002212B0">
      <w:pPr>
        <w:pageBreakBefore/>
        <w:widowControl w:val="0"/>
        <w:suppressAutoHyphens/>
        <w:bidi w:val="0"/>
        <w:spacing w:after="0" w:line="240" w:lineRule="auto"/>
        <w:ind w:right="-720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b/>
          <w:bCs/>
          <w:spacing w:val="30"/>
          <w:kern w:val="1"/>
          <w:sz w:val="24"/>
          <w:szCs w:val="24"/>
          <w:lang w:eastAsia="ar-SA"/>
        </w:rPr>
        <w:t>Dolož</w:t>
      </w:r>
      <w:r w:rsidRPr="00A7746C">
        <w:rPr>
          <w:rFonts w:ascii="Times New Roman" w:eastAsia="SimSun" w:hAnsi="Times New Roman" w:cs="Times New Roman" w:hint="default"/>
          <w:b/>
          <w:bCs/>
          <w:spacing w:val="30"/>
          <w:kern w:val="1"/>
          <w:sz w:val="24"/>
          <w:szCs w:val="24"/>
          <w:lang w:eastAsia="ar-SA"/>
        </w:rPr>
        <w:t>ka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vybraný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ch vplyvov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tabs>
          <w:tab w:val="left" w:pos="0"/>
        </w:tabs>
        <w:suppressAutoHyphens/>
        <w:bidi w:val="0"/>
        <w:spacing w:after="0" w:line="240" w:lineRule="auto"/>
        <w:ind w:right="-71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A.1. Ná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zov materiá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 xml:space="preserve">lu: 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Ná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vrh zá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kona, ktorý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m sa mení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 xml:space="preserve"> a dopĺň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a zá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kon Ná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rodnej rady Slovenskej republiky č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. 350/1996 Z. z. o rokovacom poriadku Ná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>rodnej rady Slovenskej republiky v znení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 xml:space="preserve"> neskorší</w:t>
      </w:r>
      <w:r w:rsidRPr="00A7746C">
        <w:rPr>
          <w:rFonts w:ascii="Times New Roman" w:eastAsia="SimSun" w:hAnsi="Times New Roman" w:cs="Times New Roman" w:hint="default"/>
          <w:bCs/>
          <w:kern w:val="1"/>
          <w:sz w:val="24"/>
          <w:szCs w:val="24"/>
          <w:lang w:eastAsia="ar-SA"/>
        </w:rPr>
        <w:t xml:space="preserve">ch predpisov  </w:t>
      </w:r>
    </w:p>
    <w:p w:rsidR="002212B0" w:rsidRPr="00A7746C" w:rsidP="002212B0">
      <w:pPr>
        <w:widowControl w:val="0"/>
        <w:tabs>
          <w:tab w:val="left" w:pos="567"/>
        </w:tabs>
        <w:suppressAutoHyphens/>
        <w:bidi w:val="0"/>
        <w:spacing w:after="0" w:line="240" w:lineRule="auto"/>
        <w:ind w:left="567" w:right="-720" w:hanging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Cambria" w:eastAsia="SimSun" w:hAnsi="Cambria" w:cs="Times New Roman"/>
          <w:sz w:val="24"/>
          <w:szCs w:val="24"/>
          <w:lang w:val="cs-CZ" w:eastAsia="ar-SA"/>
        </w:rPr>
      </w:pPr>
      <w:r w:rsidRPr="00A774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A.2. Vplyvy:</w:t>
      </w:r>
    </w:p>
    <w:tbl>
      <w:tblPr>
        <w:tblStyle w:val="TableNormal"/>
        <w:tblW w:w="12244" w:type="dxa"/>
        <w:tblInd w:w="-17" w:type="dxa"/>
        <w:tblLayout w:type="fixed"/>
      </w:tblPr>
      <w:tblGrid>
        <w:gridCol w:w="6295"/>
        <w:gridCol w:w="1797"/>
        <w:gridCol w:w="1956"/>
        <w:gridCol w:w="2196"/>
      </w:tblGrid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rPr>
                <w:rFonts w:ascii="Cambria" w:eastAsia="SimSun" w:hAnsi="Cambria" w:cs="Times New Roman"/>
                <w:sz w:val="24"/>
                <w:szCs w:val="24"/>
                <w:lang w:val="cs-CZ" w:eastAsia="ar-SA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Pozití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vne 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 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iadne 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Cambria" w:eastAsia="SimSun" w:hAnsi="Cambria" w:cs="Times New Roman"/>
                <w:sz w:val="24"/>
                <w:szCs w:val="24"/>
                <w:lang w:val="cs-CZ"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 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Negatí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vne </w:t>
            </w: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1. Vplyvy na rozpoč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et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verejnej sprá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vy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2. Vplyvy na podnikateľ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ské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prostredie 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–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dochá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dza k zvýš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eniu regulač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né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ho zať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až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enia?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3. Sociá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lne vplyvy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–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vplyvy na hospodá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renie obyvateľ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stva,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                    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–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sociá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lnu exklú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ziu,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–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rovnosť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prí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lež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itostí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a rodovú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rovnosť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a vplyvy na zamestnanosť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4. Vplyvy na ž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ivotné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 xml:space="preserve"> prostredie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>
        <w:tblPrEx>
          <w:tblW w:w="12244" w:type="dxa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5. Vplyvy na informatizá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ciu spoloč</w:t>
            </w:r>
            <w:r w:rsidRPr="00A7746C">
              <w:rPr>
                <w:rFonts w:ascii="Times New Roman" w:eastAsia="SimSun" w:hAnsi="Times New Roman" w:cs="Times New Roman" w:hint="default"/>
                <w:kern w:val="1"/>
                <w:sz w:val="24"/>
                <w:szCs w:val="24"/>
                <w:lang w:eastAsia="ar-SA"/>
              </w:rPr>
              <w:t>nosti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7746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212B0" w:rsidRPr="00A7746C" w:rsidP="004D7599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2212B0" w:rsidRPr="00A7746C" w:rsidP="002212B0">
      <w:pPr>
        <w:widowControl w:val="0"/>
        <w:suppressAutoHyphens/>
        <w:bidi w:val="0"/>
        <w:spacing w:after="200" w:line="276" w:lineRule="auto"/>
        <w:ind w:right="-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 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A.3. Pozná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mky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16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Ná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vrh zá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kona nezakladá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zvýš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ené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ná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roky na vý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davkovú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č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asť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tá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tneho 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rozpoč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tu, rozpoč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et verejnej sprá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vy, nemá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negatí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vny vplyv na podnikateľ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ské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prostredie. Nemá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vplyv na ž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ivotné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prostredie, na zamestnanosť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a ani vplyv na informatizá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ciu spoloč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nosti. Zá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roveň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predlož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ený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ná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vrh zá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kona nemá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 negatí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vny</w:t>
      </w:r>
      <w:r w:rsidRPr="00A774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sociá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lny vplyv, ani vplyv na h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ospodá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>renie obyvateľ</w:t>
      </w:r>
      <w:r w:rsidRPr="00A7746C">
        <w:rPr>
          <w:rFonts w:ascii="Times New Roman" w:eastAsia="SimSun" w:hAnsi="Times New Roman" w:cs="Times New Roman" w:hint="default"/>
          <w:sz w:val="24"/>
          <w:szCs w:val="24"/>
          <w:lang w:eastAsia="ar-SA"/>
        </w:rPr>
        <w:t xml:space="preserve">stva. 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A.4. Alternatí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vne rieš</w:t>
      </w:r>
      <w:r w:rsidRPr="00A7746C">
        <w:rPr>
          <w:rFonts w:ascii="Times New Roman" w:eastAsia="SimSun" w:hAnsi="Times New Roman" w:cs="Times New Roman" w:hint="default"/>
          <w:b/>
          <w:bCs/>
          <w:kern w:val="1"/>
          <w:sz w:val="24"/>
          <w:szCs w:val="24"/>
          <w:lang w:eastAsia="ar-SA"/>
        </w:rPr>
        <w:t>enia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kern w:val="1"/>
          <w:sz w:val="24"/>
          <w:szCs w:val="24"/>
          <w:lang w:eastAsia="ar-SA"/>
        </w:rPr>
        <w:t>Bezpredmetné 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212B0" w:rsidRPr="00A7746C" w:rsidP="002212B0">
      <w:pPr>
        <w:widowControl w:val="0"/>
        <w:suppressAutoHyphens/>
        <w:bidi w:val="0"/>
        <w:spacing w:after="0" w:line="240" w:lineRule="auto"/>
        <w:ind w:left="567" w:right="-720" w:hanging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A.5. </w:t>
        <w:tab/>
        <w:t>Stanovisko gestorov</w:t>
      </w:r>
    </w:p>
    <w:p w:rsidR="002212B0" w:rsidRPr="00A7746C" w:rsidP="002212B0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cs="Times New Roman" w:hint="default"/>
          <w:kern w:val="1"/>
          <w:sz w:val="24"/>
          <w:szCs w:val="24"/>
          <w:lang w:eastAsia="ar-SA"/>
        </w:rPr>
      </w:pPr>
      <w:r w:rsidRPr="00A7746C">
        <w:rPr>
          <w:rFonts w:ascii="Times New Roman" w:eastAsia="SimSun" w:hAnsi="Times New Roman" w:cs="Times New Roman" w:hint="default"/>
          <w:kern w:val="1"/>
          <w:sz w:val="24"/>
          <w:szCs w:val="24"/>
          <w:lang w:eastAsia="ar-SA"/>
        </w:rPr>
        <w:t>Bezpredmetné </w:t>
      </w:r>
    </w:p>
    <w:p w:rsidR="002212B0" w:rsidRPr="00A7746C" w:rsidP="002212B0">
      <w:pPr>
        <w:widowControl w:val="0"/>
        <w:suppressAutoHyphens/>
        <w:bidi w:val="0"/>
        <w:spacing w:after="280" w:line="276" w:lineRule="auto"/>
        <w:ind w:right="-72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2B0" w:rsidRPr="00767BF1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BF1">
        <w:rPr>
          <w:rFonts w:ascii="Times New Roman" w:hAnsi="Times New Roman" w:cs="Times New Roman"/>
          <w:b/>
          <w:bCs/>
          <w:sz w:val="24"/>
          <w:szCs w:val="24"/>
        </w:rPr>
        <w:t>DOLOŽKA  ZLUČITEĽNOSTI</w:t>
      </w:r>
    </w:p>
    <w:p w:rsidR="002212B0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F1">
        <w:rPr>
          <w:rFonts w:ascii="Times New Roman" w:hAnsi="Times New Roman" w:cs="Times New Roman"/>
          <w:b/>
          <w:bCs/>
          <w:sz w:val="24"/>
          <w:szCs w:val="24"/>
        </w:rPr>
        <w:t xml:space="preserve">návrhu zákona s </w:t>
      </w:r>
      <w:r w:rsidRPr="00767BF1">
        <w:rPr>
          <w:rFonts w:ascii="Times New Roman" w:hAnsi="Times New Roman" w:cs="Times New Roman"/>
          <w:b/>
          <w:sz w:val="24"/>
          <w:szCs w:val="24"/>
        </w:rPr>
        <w:t>právom Európskej únie</w:t>
      </w:r>
    </w:p>
    <w:p w:rsidR="002212B0" w:rsidRPr="00767BF1" w:rsidP="002212B0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2212B0" w:rsidRPr="00767BF1" w:rsidP="002212B0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12B0" w:rsidRPr="00767BF1" w:rsidP="002212B0">
      <w:pPr>
        <w:numPr>
          <w:numId w:val="1"/>
        </w:numPr>
        <w:tabs>
          <w:tab w:val="clear" w:pos="644"/>
          <w:tab w:val="num" w:pos="720"/>
        </w:tabs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b/>
          <w:sz w:val="24"/>
          <w:szCs w:val="24"/>
        </w:rPr>
        <w:t xml:space="preserve">Navrhovateľ zákona: </w:t>
      </w:r>
      <w:r w:rsidRPr="00767BF1">
        <w:rPr>
          <w:rFonts w:ascii="Times New Roman" w:hAnsi="Times New Roman" w:cs="Times New Roman"/>
          <w:sz w:val="24"/>
          <w:szCs w:val="24"/>
        </w:rPr>
        <w:t xml:space="preserve">skupina poslancov Národnej rady Slovenskej republiky </w:t>
      </w:r>
    </w:p>
    <w:p w:rsidR="002212B0" w:rsidRPr="00767BF1" w:rsidP="002212B0">
      <w:pPr>
        <w:tabs>
          <w:tab w:val="num" w:pos="1080"/>
        </w:tabs>
        <w:bidi w:val="0"/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0"/>
        </w:rPr>
      </w:pPr>
    </w:p>
    <w:p w:rsidR="002212B0" w:rsidRPr="00767BF1" w:rsidP="002212B0">
      <w:pPr>
        <w:numPr>
          <w:numId w:val="1"/>
        </w:numPr>
        <w:tabs>
          <w:tab w:val="clear" w:pos="644"/>
          <w:tab w:val="num" w:pos="720"/>
        </w:tabs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F1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767BF1">
        <w:rPr>
          <w:rFonts w:ascii="Times New Roman" w:hAnsi="Times New Roman" w:cs="Times New Roman"/>
          <w:sz w:val="24"/>
          <w:szCs w:val="24"/>
        </w:rPr>
        <w:t>Zákon, ktorým sa mení a dopĺňa zákon</w:t>
      </w:r>
      <w:r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767BF1">
        <w:rPr>
          <w:rFonts w:ascii="Times New Roman" w:hAnsi="Times New Roman" w:cs="Times New Roman"/>
          <w:sz w:val="24"/>
          <w:szCs w:val="24"/>
        </w:rPr>
        <w:t xml:space="preserve"> č. 350/1996 Z. z. o rokovacom poriadku Národnej rady Slovenskej republiky v znení neskorších predpisov</w:t>
      </w:r>
    </w:p>
    <w:p w:rsidR="002212B0" w:rsidRPr="00767BF1" w:rsidP="002212B0">
      <w:pPr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2B0" w:rsidRPr="00767BF1" w:rsidP="002212B0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b/>
          <w:sz w:val="24"/>
          <w:szCs w:val="24"/>
        </w:rPr>
        <w:t>3.   Predmet návrhu zákona</w:t>
      </w:r>
      <w:r w:rsidRPr="00767BF1">
        <w:rPr>
          <w:rFonts w:ascii="Times New Roman" w:hAnsi="Times New Roman" w:cs="Times New Roman"/>
          <w:sz w:val="24"/>
          <w:szCs w:val="24"/>
        </w:rPr>
        <w:t xml:space="preserve"> v práve Európskej únie je upravený: 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a)   v primárnom práve – 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      - čl. 5 ods. 3 Zmluvy o Európskej únii („</w:t>
      </w:r>
      <w:r w:rsidRPr="00767BF1">
        <w:rPr>
          <w:rFonts w:ascii="Times New Roman" w:hAnsi="Times New Roman" w:cs="Times New Roman"/>
          <w:i/>
          <w:sz w:val="24"/>
          <w:szCs w:val="24"/>
        </w:rPr>
        <w:t>Národné parlamenty zabezpečujú dodržiavanie zásady subsidiarity v súlade s postupom ustanoveným v Protokole (č. 2) o uplatňovaní zásad subsidiarity a proporcionality.“)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67BF1">
        <w:rPr>
          <w:rFonts w:ascii="Times New Roman" w:hAnsi="Times New Roman" w:cs="Times New Roman"/>
          <w:sz w:val="24"/>
          <w:szCs w:val="24"/>
        </w:rPr>
        <w:t xml:space="preserve"> - Protokole (č. 1) o úlohe národných parlamentov v Európskej únii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F1">
        <w:rPr>
          <w:rFonts w:ascii="Times New Roman" w:hAnsi="Times New Roman" w:cs="Times New Roman"/>
          <w:i/>
          <w:sz w:val="24"/>
          <w:szCs w:val="24"/>
        </w:rPr>
        <w:t>(</w:t>
      </w:r>
      <w:r w:rsidRPr="00767BF1">
        <w:rPr>
          <w:rFonts w:ascii="Times New Roman" w:hAnsi="Times New Roman" w:cs="Times New Roman"/>
          <w:i/>
          <w:color w:val="002060"/>
          <w:sz w:val="24"/>
          <w:szCs w:val="24"/>
        </w:rPr>
        <w:t>Č</w:t>
      </w:r>
      <w:r w:rsidRPr="00767BF1">
        <w:rPr>
          <w:rFonts w:ascii="Times New Roman" w:hAnsi="Times New Roman" w:cs="Times New Roman"/>
          <w:i/>
          <w:sz w:val="24"/>
          <w:szCs w:val="24"/>
        </w:rPr>
        <w:t>l. 3 znie: „Národné parlamenty môžu v súlade s postupom ustanoveným v Protokole o</w:t>
      </w:r>
      <w:r w:rsidRPr="00767BF1">
        <w:rPr>
          <w:rFonts w:ascii="Times New Roman" w:hAnsi="Times New Roman" w:cs="Times New Roman"/>
          <w:sz w:val="24"/>
          <w:szCs w:val="24"/>
        </w:rPr>
        <w:t xml:space="preserve"> </w:t>
      </w:r>
      <w:r w:rsidRPr="00767BF1">
        <w:rPr>
          <w:rFonts w:ascii="Times New Roman" w:hAnsi="Times New Roman" w:cs="Times New Roman"/>
          <w:i/>
          <w:sz w:val="24"/>
          <w:szCs w:val="24"/>
        </w:rPr>
        <w:t>uplatňovaní zásad subsidiarity a proporcionality poslať predsedom Európskeho parlamentu, Rady a Európskej komisie odôvodnené stanovisko k tomu, či je návrh legislatívneho aktu v súlade so zásadou subsidiarity.“)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67BF1">
        <w:rPr>
          <w:rFonts w:ascii="Times New Roman" w:hAnsi="Times New Roman" w:cs="Times New Roman"/>
          <w:sz w:val="24"/>
          <w:szCs w:val="24"/>
        </w:rPr>
        <w:t xml:space="preserve"> - Protokole (č. 2) o</w:t>
      </w:r>
      <w:r w:rsidRPr="00767B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7BF1">
        <w:rPr>
          <w:rFonts w:ascii="Times New Roman" w:hAnsi="Times New Roman" w:cs="Times New Roman"/>
          <w:sz w:val="24"/>
          <w:szCs w:val="24"/>
        </w:rPr>
        <w:t>uplatňovaní zásad subsidiarity a proporcionality</w:t>
      </w:r>
    </w:p>
    <w:p w:rsidR="002212B0" w:rsidRPr="00767BF1" w:rsidP="002212B0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F1">
        <w:rPr>
          <w:rFonts w:ascii="Times New Roman" w:hAnsi="Times New Roman" w:cs="Times New Roman"/>
          <w:i/>
          <w:sz w:val="24"/>
          <w:szCs w:val="24"/>
        </w:rPr>
        <w:t>(Čl. 6 upravuje, že do 8 týždňov od doručenia návrhu legislatívneho aktu môže ktorýkoľvek národný parlament alebo komora národného parlamentu poslať predsedom Európskeho parlamentu, Rady a Európskej komisie odôvodnené stanovisko s uvedením dôvodov, pre ktoré sú presvedčení, že daný návrh nie je v súlade so zásadou subsidiarity.)</w:t>
      </w:r>
    </w:p>
    <w:p w:rsidR="002212B0" w:rsidRPr="00767BF1" w:rsidP="002212B0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12B0" w:rsidRPr="00767BF1" w:rsidP="002212B0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b)   v sekundárnom práve </w:t>
      </w:r>
    </w:p>
    <w:p w:rsidR="002212B0" w:rsidRPr="00767BF1" w:rsidP="002212B0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12B0" w:rsidRPr="00767BF1" w:rsidP="002212B0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c)   v judikatúre Súdneho dvora Európskej únie </w:t>
      </w:r>
    </w:p>
    <w:p w:rsidR="002212B0" w:rsidRPr="00767BF1" w:rsidP="002212B0">
      <w:pPr>
        <w:tabs>
          <w:tab w:val="num" w:pos="900"/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2212B0" w:rsidRPr="00767BF1" w:rsidP="002212B0">
      <w:pPr>
        <w:tabs>
          <w:tab w:val="num" w:pos="426"/>
          <w:tab w:val="num" w:pos="90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0"/>
        </w:rPr>
        <w:t xml:space="preserve">      </w:t>
      </w:r>
      <w:r w:rsidRPr="00767BF1">
        <w:rPr>
          <w:rFonts w:ascii="Times New Roman" w:hAnsi="Times New Roman" w:cs="Times New Roman"/>
          <w:b/>
          <w:sz w:val="24"/>
          <w:szCs w:val="20"/>
        </w:rPr>
        <w:t xml:space="preserve">4.  </w:t>
      </w:r>
      <w:r w:rsidRPr="00767BF1">
        <w:rPr>
          <w:rFonts w:ascii="Times New Roman" w:hAnsi="Times New Roman" w:cs="Times New Roman"/>
          <w:b/>
          <w:sz w:val="24"/>
          <w:szCs w:val="24"/>
        </w:rPr>
        <w:t xml:space="preserve">Záväzky Slovenskej republiky vo vzťahu k Európskej únii : </w:t>
      </w:r>
      <w:r w:rsidRPr="00767BF1">
        <w:rPr>
          <w:rFonts w:ascii="Times New Roman" w:hAnsi="Times New Roman" w:cs="Times New Roman"/>
          <w:sz w:val="24"/>
          <w:szCs w:val="24"/>
        </w:rPr>
        <w:t>žiadne</w:t>
      </w:r>
    </w:p>
    <w:p w:rsidR="002212B0" w:rsidRPr="00767BF1" w:rsidP="002212B0">
      <w:pPr>
        <w:tabs>
          <w:tab w:val="num" w:pos="1080"/>
        </w:tabs>
        <w:bidi w:val="0"/>
        <w:spacing w:after="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0"/>
        </w:rPr>
      </w:pPr>
    </w:p>
    <w:p w:rsidR="002212B0" w:rsidRPr="00767BF1" w:rsidP="002212B0">
      <w:pPr>
        <w:tabs>
          <w:tab w:val="num" w:pos="1080"/>
        </w:tabs>
        <w:autoSpaceDE w:val="0"/>
        <w:autoSpaceDN w:val="0"/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b/>
          <w:bCs/>
          <w:sz w:val="24"/>
          <w:szCs w:val="24"/>
        </w:rPr>
        <w:t>5.  Návrh zákona je zlučiteľný s právom Európskej únie</w:t>
      </w:r>
      <w:r w:rsidRPr="00767B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7BF1">
        <w:rPr>
          <w:rFonts w:ascii="Times New Roman" w:hAnsi="Times New Roman" w:cs="Times New Roman"/>
          <w:sz w:val="24"/>
          <w:szCs w:val="24"/>
        </w:rPr>
        <w:t xml:space="preserve">nakoľko konkrétny postup </w:t>
      </w:r>
    </w:p>
    <w:p w:rsidR="002212B0" w:rsidRPr="00767BF1" w:rsidP="002212B0">
      <w:pPr>
        <w:tabs>
          <w:tab w:val="num" w:pos="1080"/>
        </w:tabs>
        <w:autoSpaceDE w:val="0"/>
        <w:autoSpaceDN w:val="0"/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67BF1">
        <w:rPr>
          <w:rFonts w:ascii="Times New Roman" w:hAnsi="Times New Roman" w:cs="Times New Roman"/>
          <w:sz w:val="24"/>
          <w:szCs w:val="24"/>
        </w:rPr>
        <w:t xml:space="preserve">dohliadania na dodržiavanie zásady subsidiarity je ponechaný na vnútroštátnu úpravu </w:t>
      </w:r>
    </w:p>
    <w:p w:rsidR="002212B0" w:rsidRPr="00767BF1" w:rsidP="002212B0">
      <w:pPr>
        <w:tabs>
          <w:tab w:val="num" w:pos="1080"/>
        </w:tabs>
        <w:autoSpaceDE w:val="0"/>
        <w:autoSpaceDN w:val="0"/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     členských štátov.</w:t>
      </w:r>
    </w:p>
    <w:p w:rsidR="002212B0" w:rsidRPr="00767BF1" w:rsidP="002212B0">
      <w:pPr>
        <w:tabs>
          <w:tab w:val="num" w:pos="1080"/>
        </w:tabs>
        <w:bidi w:val="0"/>
        <w:spacing w:after="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767BF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212B0" w:rsidRPr="006670F2" w:rsidP="002212B0">
      <w:pPr>
        <w:tabs>
          <w:tab w:val="num" w:pos="1080"/>
        </w:tabs>
        <w:bidi w:val="0"/>
        <w:spacing w:after="0" w:line="240" w:lineRule="auto"/>
        <w:ind w:left="720" w:hanging="42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6670F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</w:t>
      </w:r>
    </w:p>
    <w:p w:rsidR="002212B0" w:rsidRPr="006670F2" w:rsidP="002212B0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212B0" w:rsidP="002212B0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212B0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2B0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2B0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2B0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2B0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2B0" w:rsidRPr="00A7746C" w:rsidP="002212B0">
      <w:pPr>
        <w:bidi w:val="0"/>
        <w:spacing w:after="200" w:line="276" w:lineRule="auto"/>
        <w:contextualSpacing/>
        <w:rPr>
          <w:rFonts w:ascii="Times New Roman" w:eastAsia="Calibri" w:hAnsi="Times New Roman" w:cs="Times New Roman" w:hint="default"/>
          <w:b/>
          <w:sz w:val="28"/>
          <w:szCs w:val="28"/>
        </w:rPr>
      </w:pPr>
      <w:r w:rsidRPr="00A7746C">
        <w:rPr>
          <w:rFonts w:ascii="Times New Roman" w:eastAsia="Calibri" w:hAnsi="Times New Roman" w:cs="Times New Roman" w:hint="default"/>
          <w:b/>
          <w:sz w:val="28"/>
          <w:szCs w:val="28"/>
        </w:rPr>
        <w:t>B. Osobitná</w:t>
      </w:r>
      <w:r w:rsidRPr="00A7746C">
        <w:rPr>
          <w:rFonts w:ascii="Times New Roman" w:eastAsia="Calibri" w:hAnsi="Times New Roman" w:cs="Times New Roman" w:hint="default"/>
          <w:b/>
          <w:sz w:val="28"/>
          <w:szCs w:val="28"/>
        </w:rPr>
        <w:t xml:space="preserve"> č</w:t>
      </w:r>
      <w:r w:rsidRPr="00A7746C">
        <w:rPr>
          <w:rFonts w:ascii="Times New Roman" w:eastAsia="Calibri" w:hAnsi="Times New Roman" w:cs="Times New Roman" w:hint="default"/>
          <w:b/>
          <w:sz w:val="28"/>
          <w:szCs w:val="28"/>
        </w:rPr>
        <w:t>asť</w:t>
      </w:r>
    </w:p>
    <w:p w:rsidR="002212B0" w:rsidRPr="006670F2" w:rsidP="002212B0">
      <w:pPr>
        <w:bidi w:val="0"/>
        <w:spacing w:after="200" w:line="276" w:lineRule="auto"/>
        <w:ind w:left="1080" w:hanging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RPr="006670F2" w:rsidP="002212B0">
      <w:pPr>
        <w:bidi w:val="0"/>
        <w:spacing w:after="200" w:line="276" w:lineRule="auto"/>
        <w:ind w:left="1080" w:hanging="1080"/>
        <w:contextualSpacing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č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l. I</w:t>
      </w:r>
    </w:p>
    <w:p w:rsidR="002212B0" w:rsidRPr="006670F2" w:rsidP="002212B0">
      <w:pPr>
        <w:bidi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/>
          <w:b/>
          <w:sz w:val="24"/>
          <w:szCs w:val="24"/>
        </w:rPr>
        <w:t>K 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bodom 1 až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5, 7 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až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9, 11, 13 až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17, 22 až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24, 31, 33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6, 43, 44, 48, 50 až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55, 60 a 68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Vzhľ</w:t>
      </w:r>
      <w:r>
        <w:rPr>
          <w:rFonts w:ascii="Times New Roman" w:eastAsia="Calibri" w:hAnsi="Times New Roman" w:cs="Times New Roman" w:hint="default"/>
          <w:sz w:val="24"/>
          <w:szCs w:val="24"/>
        </w:rPr>
        <w:t>adom na to, ž</w:t>
      </w:r>
      <w:r>
        <w:rPr>
          <w:rFonts w:ascii="Times New Roman" w:eastAsia="Calibri" w:hAnsi="Times New Roman" w:cs="Times New Roman" w:hint="default"/>
          <w:sz w:val="24"/>
          <w:szCs w:val="24"/>
        </w:rPr>
        <w:t>e obsolen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tnosť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(neefektí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vnosť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) 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vnej normy nie je 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vnym dô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vodom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niku jej platnosti,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innosti a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znosti, navrhuje sa vypustenie dotknutý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obsolentný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ustanovení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a v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padoch kde to je mož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ic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 zosú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ladenie s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stavou Slovenskej republiky a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mi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konmi.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6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Vzhľ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adom na navrhované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zruš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enie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Slovenskej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. 45/1989 Zb. o poslancoch  Slovenskej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v znení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ch predpisov sa 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rokovacieho poriadku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preberá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ustanovenie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3 ods. 1 zruš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ované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kona, podľ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ktoré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poslanec nadobú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da svoje 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 a povinnosti zvolení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m. V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tejto sú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vislosti sa aktualizuje aj pozná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mka pod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iarou k odkazu 10.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10 ( 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8 ods. 3)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Navrhované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ustanovenie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upravuje vydanie poslanecké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preukazu poslancovi po overení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platnosti voľ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by.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prava preberá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ustanovenie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5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Slovenskej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. 45/1989 Zb. o poslancoch  Slovenskej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v znení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predpisov, ktorý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sa v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151a navrhuje zru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6F7">
        <w:rPr>
          <w:rFonts w:ascii="Times New Roman" w:eastAsia="Calibri" w:hAnsi="Times New Roman" w:cs="Times New Roman" w:hint="default"/>
          <w:b/>
          <w:sz w:val="24"/>
          <w:szCs w:val="24"/>
        </w:rPr>
        <w:t>K bodu 12 (§</w:t>
      </w:r>
      <w:r w:rsidRPr="00B636F7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9a)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Nový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ustanovení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9a sa do rokovacieho poriadku dopĺň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ajú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pravidlá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vania sa poslanca vo forme tzv. etické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kó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dexu, ktorý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je  súč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ou rokovacieho poriadku ako jeho osobitná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loha a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ktorý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je poslanec pri vý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kone svojej funkcie p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ovinný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dodrž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iavať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. Tý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mto ustanovení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 sa reaguje na pož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iadavky spoloč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nosti sprí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sniť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roky na sprá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vanie sa poslancov vytvorení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normatí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vneho 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mca ich sprá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vania, prič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om sa vychá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dza z existujú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cich 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vnych rieš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viacerý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vyspelý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parlamentný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demokrac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. Na toto ustanovenie nadvä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zuje nová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koncepcia discipliná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rneho konania podľ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dvadsiatej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asti rokovacieho poriadku.</w:t>
      </w: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18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24 ods. 6)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Navrhuje sa, aby hodina otá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zok nebola pravidelnou súč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ou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dze, zvolanej za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elom prerokovania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hu na vyslovenie nedô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very vlá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de alebo jej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lenovi ak o jej zvolanie pož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iada najmenej pä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tina poslancov (§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109 ods. 2). Ak je prvý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rokovací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dň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om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 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tvrtok, navrhuje sa v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tento rokovací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deň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nezaradiť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hodinu otá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zok do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19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24 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ods. 7)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Navrhuje sa, aby interpelá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cie neboli pravidelnou súč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ou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dze, zvolanej za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elom prerokovania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na vyslovenie nedô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very vlá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de alebo jej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lenovi ak o jej zvolanie pož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iada najmenej pä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tina poslancov (§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109 ods. 2) a aby rokovanie o i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nterpelá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skonč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ilo v ten istý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rokovací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deň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ako sa o nich zač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alo rokovať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. Ak niektorý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 z poslancov prihlá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sený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 rozprave nestihne do skonč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enia rokovacieho dň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svoju interpelá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ciu predniesť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stne, zostá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 mu zachované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vo predlož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ju podľ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129 ods.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3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pí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somne.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20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25)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Formulač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prava za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elom zjednotenia zavedenej terminoló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gie v platnom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kone.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K bodu 21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34 ods. 2)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/>
          <w:sz w:val="24"/>
          <w:szCs w:val="24"/>
        </w:rPr>
        <w:t>Navrhuje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upraviť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spô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sob podá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vania procedurá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lneho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poslancom. Podanie procedurá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lneho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sa začí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na podan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k spô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sobu prerokú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vania veci,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asové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mu a vecné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mu postupu rokovania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rady, prič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om poslanec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sledne uvedie dô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vody podania procedurá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lneho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vrhu.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25</w:t>
      </w:r>
      <w:r w:rsidRPr="00E134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58a ods. 2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E134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12B0" w:rsidRPr="000834DD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Ú</w:t>
      </w:r>
      <w:r>
        <w:rPr>
          <w:rFonts w:ascii="Times New Roman" w:eastAsia="Calibri" w:hAnsi="Times New Roman" w:cs="Times New Roman" w:hint="default"/>
          <w:sz w:val="24"/>
          <w:szCs w:val="24"/>
        </w:rPr>
        <w:t>prava ustanovenia vzhľ</w:t>
      </w:r>
      <w:r>
        <w:rPr>
          <w:rFonts w:ascii="Times New Roman" w:eastAsia="Calibri" w:hAnsi="Times New Roman" w:cs="Times New Roman" w:hint="default"/>
          <w:sz w:val="24"/>
          <w:szCs w:val="24"/>
        </w:rPr>
        <w:t>adom na to, ž</w:t>
      </w:r>
      <w:r>
        <w:rPr>
          <w:rFonts w:ascii="Times New Roman" w:eastAsia="Calibri" w:hAnsi="Times New Roman" w:cs="Times New Roman" w:hint="default"/>
          <w:sz w:val="24"/>
          <w:szCs w:val="24"/>
        </w:rPr>
        <w:t>e o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>spravedlnenie neúč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 xml:space="preserve">asti 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>poslanca na schô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>dzi vý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>boru je dostatoč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>ne upravené</w:t>
      </w:r>
      <w:r w:rsidRPr="000834DD">
        <w:rPr>
          <w:rFonts w:ascii="Times New Roman" w:eastAsia="Calibri" w:hAnsi="Times New Roman" w:cs="Times New Roman" w:hint="default"/>
          <w:sz w:val="24"/>
          <w:szCs w:val="24"/>
        </w:rPr>
        <w:t xml:space="preserve"> v 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4DD">
        <w:rPr>
          <w:rFonts w:ascii="Times New Roman" w:eastAsia="Calibri" w:hAnsi="Times New Roman" w:cs="Times New Roman"/>
          <w:sz w:val="24"/>
          <w:szCs w:val="24"/>
        </w:rPr>
        <w:t>63 rokovacieho poriadku.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26</w:t>
      </w:r>
      <w:r w:rsidRPr="00E134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(§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58a ods. 3 pí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sm. a))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E67">
        <w:rPr>
          <w:rFonts w:ascii="Times New Roman" w:eastAsia="Calibri" w:hAnsi="Times New Roman" w:cs="Times New Roman"/>
          <w:sz w:val="24"/>
          <w:szCs w:val="24"/>
        </w:rPr>
        <w:t>Ustan</w:t>
      </w:r>
      <w:r>
        <w:rPr>
          <w:rFonts w:ascii="Times New Roman" w:eastAsia="Calibri" w:hAnsi="Times New Roman" w:cs="Times New Roman" w:hint="default"/>
          <w:sz w:val="24"/>
          <w:szCs w:val="24"/>
        </w:rPr>
        <w:t>ovenie sa zosú</w:t>
      </w:r>
      <w:r>
        <w:rPr>
          <w:rFonts w:ascii="Times New Roman" w:eastAsia="Calibri" w:hAnsi="Times New Roman" w:cs="Times New Roman" w:hint="default"/>
          <w:sz w:val="24"/>
          <w:szCs w:val="24"/>
        </w:rPr>
        <w:t>laď</w:t>
      </w:r>
      <w:r>
        <w:rPr>
          <w:rFonts w:ascii="Times New Roman" w:eastAsia="Calibri" w:hAnsi="Times New Roman" w:cs="Times New Roman" w:hint="default"/>
          <w:sz w:val="24"/>
          <w:szCs w:val="24"/>
        </w:rPr>
        <w:t>uje so znení</w:t>
      </w:r>
      <w:r>
        <w:rPr>
          <w:rFonts w:ascii="Times New Roman" w:eastAsia="Calibri" w:hAnsi="Times New Roman" w:cs="Times New Roman" w:hint="default"/>
          <w:sz w:val="24"/>
          <w:szCs w:val="24"/>
        </w:rPr>
        <w:t>m ú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. 397/2004 Z. z. o 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spoluprá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ci Ná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rodnej rady Slovenskej republiky a 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vlá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dy Slovenskej repub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liky v 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lež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itostiach E</w:t>
      </w:r>
      <w:r>
        <w:rPr>
          <w:rFonts w:ascii="Times New Roman" w:eastAsia="Calibri" w:hAnsi="Times New Roman" w:cs="Times New Roman" w:hint="default"/>
          <w:sz w:val="24"/>
          <w:szCs w:val="24"/>
        </w:rPr>
        <w:t>uró</w:t>
      </w:r>
      <w:r>
        <w:rPr>
          <w:rFonts w:ascii="Times New Roman" w:eastAsia="Calibri" w:hAnsi="Times New Roman" w:cs="Times New Roman" w:hint="default"/>
          <w:sz w:val="24"/>
          <w:szCs w:val="24"/>
        </w:rPr>
        <w:t>pskej ú</w:t>
      </w:r>
      <w:r>
        <w:rPr>
          <w:rFonts w:ascii="Times New Roman" w:eastAsia="Calibri" w:hAnsi="Times New Roman" w:cs="Times New Roman" w:hint="default"/>
          <w:sz w:val="24"/>
          <w:szCs w:val="24"/>
        </w:rPr>
        <w:t>nie</w:t>
      </w:r>
      <w:r w:rsidRPr="00B83E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27</w:t>
      </w:r>
      <w:r w:rsidRPr="00E134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58a ods. 3 pí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sm. c)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E67">
        <w:rPr>
          <w:rFonts w:ascii="Times New Roman" w:eastAsia="Calibri" w:hAnsi="Times New Roman" w:cs="Times New Roman" w:hint="default"/>
          <w:sz w:val="24"/>
          <w:szCs w:val="24"/>
        </w:rPr>
        <w:t>Upravuje sa prá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vomoc vý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boru </w:t>
      </w:r>
      <w:r>
        <w:rPr>
          <w:rFonts w:ascii="Times New Roman" w:eastAsia="Calibri" w:hAnsi="Times New Roman" w:cs="Times New Roman" w:hint="default"/>
          <w:sz w:val="24"/>
          <w:szCs w:val="24"/>
        </w:rPr>
        <w:t>pre euró</w:t>
      </w:r>
      <w:r>
        <w:rPr>
          <w:rFonts w:ascii="Times New Roman" w:eastAsia="Calibri" w:hAnsi="Times New Roman" w:cs="Times New Roman" w:hint="default"/>
          <w:sz w:val="24"/>
          <w:szCs w:val="24"/>
        </w:rPr>
        <w:t>pske zá</w:t>
      </w:r>
      <w:r>
        <w:rPr>
          <w:rFonts w:ascii="Times New Roman" w:eastAsia="Calibri" w:hAnsi="Times New Roman" w:cs="Times New Roman" w:hint="default"/>
          <w:sz w:val="24"/>
          <w:szCs w:val="24"/>
        </w:rPr>
        <w:t>lež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itosti 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pri schvaľ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ovaní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odô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vodnené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ho stanoviska v zmysle Protokolu 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. 2 o uplatň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ovaní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sad subsidiarity a proporcionality p</w:t>
      </w:r>
      <w:r>
        <w:rPr>
          <w:rFonts w:ascii="Times New Roman" w:eastAsia="Calibri" w:hAnsi="Times New Roman" w:cs="Times New Roman" w:hint="default"/>
          <w:sz w:val="24"/>
          <w:szCs w:val="24"/>
        </w:rPr>
        <w:t>ripojené</w:t>
      </w:r>
      <w:r>
        <w:rPr>
          <w:rFonts w:ascii="Times New Roman" w:eastAsia="Calibri" w:hAnsi="Times New Roman" w:cs="Times New Roman" w:hint="default"/>
          <w:sz w:val="24"/>
          <w:szCs w:val="24"/>
        </w:rPr>
        <w:t>ho k L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isabonskej zmluve; ide o 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zasielanie odô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vodnený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ch stanoví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sk za úč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elom ulož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enia tzv. ž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ltej resp. oranž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ovej karty ná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rodný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mi parlamentmi 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lenský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ch 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tov </w:t>
      </w:r>
      <w:r w:rsidRPr="00C45BB0">
        <w:rPr>
          <w:rFonts w:ascii="Times New Roman" w:eastAsia="Calibri" w:hAnsi="Times New Roman" w:cs="Times New Roman" w:hint="default"/>
          <w:sz w:val="24"/>
          <w:szCs w:val="24"/>
        </w:rPr>
        <w:t>Euró</w:t>
      </w:r>
      <w:r w:rsidRPr="00C45BB0">
        <w:rPr>
          <w:rFonts w:ascii="Times New Roman" w:eastAsia="Calibri" w:hAnsi="Times New Roman" w:cs="Times New Roman" w:hint="default"/>
          <w:sz w:val="24"/>
          <w:szCs w:val="24"/>
        </w:rPr>
        <w:t>pskej ú</w:t>
      </w:r>
      <w:r w:rsidRPr="00C45BB0">
        <w:rPr>
          <w:rFonts w:ascii="Times New Roman" w:eastAsia="Calibri" w:hAnsi="Times New Roman" w:cs="Times New Roman" w:hint="default"/>
          <w:sz w:val="24"/>
          <w:szCs w:val="24"/>
        </w:rPr>
        <w:t>nie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voč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i l</w:t>
      </w:r>
      <w:r>
        <w:rPr>
          <w:rFonts w:ascii="Times New Roman" w:eastAsia="Calibri" w:hAnsi="Times New Roman" w:cs="Times New Roman" w:hint="default"/>
          <w:sz w:val="24"/>
          <w:szCs w:val="24"/>
        </w:rPr>
        <w:t>egislatí</w:t>
      </w:r>
      <w:r>
        <w:rPr>
          <w:rFonts w:ascii="Times New Roman" w:eastAsia="Calibri" w:hAnsi="Times New Roman" w:cs="Times New Roman" w:hint="default"/>
          <w:sz w:val="24"/>
          <w:szCs w:val="24"/>
        </w:rPr>
        <w:t>vnemu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vrhu Komisie</w:t>
      </w:r>
      <w:r w:rsidRPr="00B83E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28 (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ods. 3 pí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sm. f)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Formulač</w:t>
      </w:r>
      <w:r>
        <w:rPr>
          <w:rFonts w:ascii="Times New Roman" w:eastAsia="Calibri" w:hAnsi="Times New Roman" w:cs="Times New Roman" w:hint="default"/>
          <w:sz w:val="24"/>
          <w:szCs w:val="24"/>
        </w:rPr>
        <w:t>né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spresneni</w:t>
      </w:r>
      <w:r>
        <w:rPr>
          <w:rFonts w:ascii="Times New Roman" w:eastAsia="Calibri" w:hAnsi="Times New Roman" w:cs="Times New Roman" w:hint="default"/>
          <w:sz w:val="24"/>
          <w:szCs w:val="24"/>
        </w:rPr>
        <w:t>e vzhľ</w:t>
      </w:r>
      <w:r>
        <w:rPr>
          <w:rFonts w:ascii="Times New Roman" w:eastAsia="Calibri" w:hAnsi="Times New Roman" w:cs="Times New Roman" w:hint="default"/>
          <w:sz w:val="24"/>
          <w:szCs w:val="24"/>
        </w:rPr>
        <w:t>adom na to, ž</w:t>
      </w:r>
      <w:r>
        <w:rPr>
          <w:rFonts w:ascii="Times New Roman" w:eastAsia="Calibri" w:hAnsi="Times New Roman" w:cs="Times New Roman" w:hint="default"/>
          <w:sz w:val="24"/>
          <w:szCs w:val="24"/>
        </w:rPr>
        <w:t>e n</w:t>
      </w:r>
      <w:r w:rsidRPr="00B83E67">
        <w:rPr>
          <w:rFonts w:ascii="Times New Roman" w:eastAsia="Calibri" w:hAnsi="Times New Roman" w:cs="Times New Roman"/>
          <w:sz w:val="24"/>
          <w:szCs w:val="24"/>
        </w:rPr>
        <w:t>ej</w:t>
      </w:r>
      <w:r>
        <w:rPr>
          <w:rFonts w:ascii="Times New Roman" w:eastAsia="Calibri" w:hAnsi="Times New Roman" w:cs="Times New Roman" w:hint="default"/>
          <w:sz w:val="24"/>
          <w:szCs w:val="24"/>
        </w:rPr>
        <w:t>de o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vrhy stanoví</w:t>
      </w:r>
      <w:r>
        <w:rPr>
          <w:rFonts w:ascii="Times New Roman" w:eastAsia="Calibri" w:hAnsi="Times New Roman" w:cs="Times New Roman" w:hint="default"/>
          <w:sz w:val="24"/>
          <w:szCs w:val="24"/>
        </w:rPr>
        <w:t>sk v zmysle ú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. 397/2004 Z. z.</w:t>
      </w:r>
      <w:r>
        <w:rPr>
          <w:rFonts w:ascii="Times New Roman" w:eastAsia="Calibri" w:hAnsi="Times New Roman" w:cs="Times New Roman"/>
          <w:sz w:val="24"/>
          <w:szCs w:val="24"/>
        </w:rPr>
        <w:t>, ale o </w:t>
      </w:r>
      <w:r>
        <w:rPr>
          <w:rFonts w:ascii="Times New Roman" w:eastAsia="Calibri" w:hAnsi="Times New Roman" w:cs="Times New Roman" w:hint="default"/>
          <w:sz w:val="24"/>
          <w:szCs w:val="24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zory resp. 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pozí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cie prí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ch vý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borov k ná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vrhom.</w:t>
      </w:r>
    </w:p>
    <w:p w:rsidR="002212B0" w:rsidRPr="001147DB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29 (</w:t>
      </w:r>
      <w:r w:rsidRPr="001147DB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1147DB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58a ods. 4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B83E67">
        <w:rPr>
          <w:rFonts w:ascii="Times New Roman" w:eastAsia="Calibri" w:hAnsi="Times New Roman" w:cs="Times New Roman"/>
          <w:sz w:val="24"/>
          <w:szCs w:val="24"/>
        </w:rPr>
        <w:t xml:space="preserve">Ustanovenie sa upravuje tak, aby si </w:t>
      </w:r>
      <w:r>
        <w:rPr>
          <w:rFonts w:ascii="Times New Roman" w:eastAsia="Calibri" w:hAnsi="Times New Roman" w:cs="Times New Roman" w:hint="default"/>
          <w:sz w:val="24"/>
          <w:szCs w:val="24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</w:rPr>
        <w:t>rodná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rada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mohla vyhradiť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aj rozhodnutie o schvá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lení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odô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vodnené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ho stanoviska vo veci nesú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ladu ná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vrhu legislatí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vneho aktu </w:t>
      </w:r>
      <w:r w:rsidRPr="00657ECB">
        <w:rPr>
          <w:rFonts w:ascii="Times New Roman" w:eastAsia="Calibri" w:hAnsi="Times New Roman" w:cs="Times New Roman" w:hint="default"/>
          <w:sz w:val="24"/>
          <w:szCs w:val="24"/>
        </w:rPr>
        <w:t>Euró</w:t>
      </w:r>
      <w:r w:rsidRPr="00657ECB">
        <w:rPr>
          <w:rFonts w:ascii="Times New Roman" w:eastAsia="Calibri" w:hAnsi="Times New Roman" w:cs="Times New Roman" w:hint="default"/>
          <w:sz w:val="24"/>
          <w:szCs w:val="24"/>
        </w:rPr>
        <w:t>pskej ú</w:t>
      </w:r>
      <w:r w:rsidRPr="00657ECB">
        <w:rPr>
          <w:rFonts w:ascii="Times New Roman" w:eastAsia="Calibri" w:hAnsi="Times New Roman" w:cs="Times New Roman" w:hint="default"/>
          <w:sz w:val="24"/>
          <w:szCs w:val="24"/>
        </w:rPr>
        <w:t>nie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so zá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sadou subsidiarity.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30 (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E134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58a ods. 5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Problematika zastupovania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predsedu vý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boru poč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as jeho neprí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tomnosti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dostatoč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ne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upravená</w:t>
      </w:r>
      <w:r w:rsidRPr="00B83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§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 xml:space="preserve"> 49 ods. 4 rokovacieho poriadku.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bodu 32 (§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58b ods. 1) </w:t>
      </w:r>
    </w:p>
    <w:p w:rsidR="002212B0" w:rsidRPr="00B83E67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B83E67">
        <w:rPr>
          <w:rFonts w:ascii="Times New Roman" w:eastAsia="Calibri" w:hAnsi="Times New Roman" w:cs="Times New Roman" w:hint="default"/>
          <w:sz w:val="24"/>
          <w:szCs w:val="24"/>
        </w:rPr>
        <w:t>Zosú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ladenie ustanovenia s 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l. 84 Ú</w:t>
      </w:r>
      <w:r w:rsidRPr="00B83E67">
        <w:rPr>
          <w:rFonts w:ascii="Times New Roman" w:eastAsia="Calibri" w:hAnsi="Times New Roman" w:cs="Times New Roman" w:hint="default"/>
          <w:sz w:val="24"/>
          <w:szCs w:val="24"/>
        </w:rPr>
        <w:t>stavy Slovenskej republiky.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 bodu 34 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63 ods. 5)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/>
          <w:sz w:val="24"/>
          <w:szCs w:val="24"/>
        </w:rPr>
        <w:t>V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zmysle navrhované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ustanovenia bude predseda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posudzovať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vody neúč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asti poslanca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na rokovaní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pre potreby ospravedlnenia, po vyjadrení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predsedu poslanecké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klubu, ak je poslanec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lenom poslanecké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klubu.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35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63a)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novom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63a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navrhuje upraviť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 poslanecké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prieskumu posl</w:t>
      </w:r>
      <w:r>
        <w:rPr>
          <w:rFonts w:ascii="Times New Roman" w:eastAsia="Calibri" w:hAnsi="Times New Roman" w:cs="Times New Roman" w:hint="default"/>
          <w:sz w:val="24"/>
          <w:szCs w:val="24"/>
        </w:rPr>
        <w:t>ancom alebo skupinou poslancov za úč</w:t>
      </w:r>
      <w:r>
        <w:rPr>
          <w:rFonts w:ascii="Times New Roman" w:eastAsia="Calibri" w:hAnsi="Times New Roman" w:cs="Times New Roman" w:hint="default"/>
          <w:sz w:val="24"/>
          <w:szCs w:val="24"/>
        </w:rPr>
        <w:t>elom ziste</w:t>
      </w:r>
      <w:r>
        <w:rPr>
          <w:rFonts w:ascii="Times New Roman" w:eastAsia="Calibri" w:hAnsi="Times New Roman" w:cs="Times New Roman" w:hint="default"/>
          <w:sz w:val="24"/>
          <w:szCs w:val="24"/>
        </w:rPr>
        <w:t>nia dodrž</w:t>
      </w:r>
      <w:r>
        <w:rPr>
          <w:rFonts w:ascii="Times New Roman" w:eastAsia="Calibri" w:hAnsi="Times New Roman" w:cs="Times New Roman" w:hint="default"/>
          <w:sz w:val="24"/>
          <w:szCs w:val="24"/>
        </w:rPr>
        <w:t>iavania a vykoná</w:t>
      </w:r>
      <w:r>
        <w:rPr>
          <w:rFonts w:ascii="Times New Roman" w:eastAsia="Calibri" w:hAnsi="Times New Roman" w:cs="Times New Roman" w:hint="default"/>
          <w:sz w:val="24"/>
          <w:szCs w:val="24"/>
        </w:rPr>
        <w:t>vania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k</w:t>
      </w:r>
      <w:r>
        <w:rPr>
          <w:rFonts w:ascii="Times New Roman" w:eastAsia="Calibri" w:hAnsi="Times New Roman" w:cs="Times New Roman" w:hint="default"/>
          <w:sz w:val="24"/>
          <w:szCs w:val="24"/>
        </w:rPr>
        <w:t>onov a hospodá</w:t>
      </w:r>
      <w:r>
        <w:rPr>
          <w:rFonts w:ascii="Times New Roman" w:eastAsia="Calibri" w:hAnsi="Times New Roman" w:cs="Times New Roman" w:hint="default"/>
          <w:sz w:val="24"/>
          <w:szCs w:val="24"/>
        </w:rPr>
        <w:t>renia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 xml:space="preserve"> s verejný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mi prostriedkami, ak ich vykonaní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m poslanecké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ho prieskumu poverí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 xml:space="preserve"> rada alebo vý</w:t>
      </w:r>
      <w:r w:rsidRPr="00D46D02">
        <w:rPr>
          <w:rFonts w:ascii="Times New Roman" w:eastAsia="Calibri" w:hAnsi="Times New Roman" w:cs="Times New Roman" w:hint="default"/>
          <w:sz w:val="24"/>
          <w:szCs w:val="24"/>
        </w:rPr>
        <w:t>bor</w:t>
      </w:r>
      <w:r>
        <w:rPr>
          <w:rFonts w:ascii="Times New Roman" w:eastAsia="Calibri" w:hAnsi="Times New Roman" w:cs="Times New Roman" w:hint="default"/>
          <w:sz w:val="24"/>
          <w:szCs w:val="24"/>
        </w:rPr>
        <w:t>. Ustanovuje sa povinnosť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dotknutý</w:t>
      </w:r>
      <w:r>
        <w:rPr>
          <w:rFonts w:ascii="Times New Roman" w:eastAsia="Calibri" w:hAnsi="Times New Roman" w:cs="Times New Roman" w:hint="default"/>
          <w:sz w:val="24"/>
          <w:szCs w:val="24"/>
        </w:rPr>
        <w:t>ch subjektov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 xml:space="preserve"> poskytnúť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 xml:space="preserve"> poslancovi alebo skupine poslancov informá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 xml:space="preserve">cie, 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>vysvetlenia a podklady sú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>visiace s vý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>konom poslanecké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>ho prieskumu a na ž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>iadosť</w:t>
      </w:r>
      <w:r w:rsidRPr="0075662A">
        <w:rPr>
          <w:rFonts w:ascii="Times New Roman" w:eastAsia="Calibri" w:hAnsi="Times New Roman" w:cs="Times New Roman" w:hint="default"/>
          <w:sz w:val="24"/>
          <w:szCs w:val="24"/>
        </w:rPr>
        <w:t xml:space="preserve"> ich prijať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37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70 ods. 2)</w:t>
      </w:r>
    </w:p>
    <w:p w:rsidR="002212B0" w:rsidRPr="00900DE9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</w:rPr>
        <w:t>Vo vzť</w:t>
      </w:r>
      <w:r>
        <w:rPr>
          <w:rFonts w:ascii="Times New Roman" w:eastAsia="Calibri" w:hAnsi="Times New Roman" w:cs="Times New Roman" w:hint="default"/>
          <w:sz w:val="24"/>
          <w:szCs w:val="24"/>
        </w:rPr>
        <w:t>ahu k n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vrh</w:t>
      </w:r>
      <w:r>
        <w:rPr>
          <w:rFonts w:ascii="Times New Roman" w:eastAsia="Calibri" w:hAnsi="Times New Roman" w:cs="Times New Roman" w:hint="default"/>
          <w:sz w:val="24"/>
          <w:szCs w:val="24"/>
        </w:rPr>
        <w:t>u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kona, ktorý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bol podaný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vý</w:t>
      </w:r>
      <w:r>
        <w:rPr>
          <w:rFonts w:ascii="Times New Roman" w:eastAsia="Calibri" w:hAnsi="Times New Roman" w:cs="Times New Roman" w:hint="default"/>
          <w:sz w:val="24"/>
          <w:szCs w:val="24"/>
        </w:rPr>
        <w:t>borom alebo poslancom</w:t>
      </w:r>
      <w:r w:rsidRPr="00900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900DE9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navrhuje, aby predsed</w:t>
      </w:r>
      <w:r w:rsidRPr="00900DE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eastAsia="Calibri" w:hAnsi="Times New Roman" w:cs="Times New Roman" w:hint="default"/>
          <w:sz w:val="24"/>
          <w:szCs w:val="24"/>
        </w:rPr>
        <w:t>rodnej rady taký</w:t>
      </w:r>
      <w:r>
        <w:rPr>
          <w:rFonts w:ascii="Times New Roman" w:eastAsia="Calibri" w:hAnsi="Times New Roman" w:cs="Times New Roman" w:hint="default"/>
          <w:sz w:val="24"/>
          <w:szCs w:val="24"/>
        </w:rPr>
        <w:t>to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 doruč</w:t>
      </w:r>
      <w:r>
        <w:rPr>
          <w:rFonts w:ascii="Times New Roman" w:eastAsia="Calibri" w:hAnsi="Times New Roman" w:cs="Times New Roman" w:hint="default"/>
          <w:sz w:val="24"/>
          <w:szCs w:val="24"/>
        </w:rPr>
        <w:t>il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 xml:space="preserve"> vlá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de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 xml:space="preserve"> a pož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iada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 xml:space="preserve"> ju o zaujatie stanoviska v lehote do 30 dní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len v </w:t>
      </w:r>
      <w:r>
        <w:rPr>
          <w:rFonts w:ascii="Times New Roman" w:eastAsia="Calibri" w:hAnsi="Times New Roman" w:cs="Times New Roman" w:hint="default"/>
          <w:sz w:val="24"/>
          <w:szCs w:val="24"/>
        </w:rPr>
        <w:t>prí</w:t>
      </w:r>
      <w:r>
        <w:rPr>
          <w:rFonts w:ascii="Times New Roman" w:eastAsia="Calibri" w:hAnsi="Times New Roman" w:cs="Times New Roman" w:hint="default"/>
          <w:sz w:val="24"/>
          <w:szCs w:val="24"/>
        </w:rPr>
        <w:t>pade, ak ide o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>
        <w:rPr>
          <w:rFonts w:ascii="Times New Roman" w:eastAsia="Calibri" w:hAnsi="Times New Roman" w:cs="Times New Roman" w:hint="default"/>
          <w:sz w:val="24"/>
          <w:szCs w:val="24"/>
        </w:rPr>
        <w:t>kona, o </w:t>
      </w:r>
      <w:r>
        <w:rPr>
          <w:rFonts w:ascii="Times New Roman" w:eastAsia="Calibri" w:hAnsi="Times New Roman" w:cs="Times New Roman" w:hint="default"/>
          <w:sz w:val="24"/>
          <w:szCs w:val="24"/>
        </w:rPr>
        <w:t>ktorom sa ná</w:t>
      </w:r>
      <w:r>
        <w:rPr>
          <w:rFonts w:ascii="Times New Roman" w:eastAsia="Calibri" w:hAnsi="Times New Roman" w:cs="Times New Roman" w:hint="default"/>
          <w:sz w:val="24"/>
          <w:szCs w:val="24"/>
        </w:rPr>
        <w:t>rodná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rada uzniesla, ž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e ho </w:t>
      </w:r>
      <w:r w:rsidRPr="00900DE9">
        <w:rPr>
          <w:rFonts w:ascii="Times New Roman" w:eastAsia="Calibri" w:hAnsi="Times New Roman" w:cs="Times New Roman"/>
          <w:sz w:val="24"/>
          <w:szCs w:val="24"/>
        </w:rPr>
        <w:t xml:space="preserve"> prerokuje v 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druhom čí</w:t>
      </w:r>
      <w:r w:rsidRPr="00900DE9">
        <w:rPr>
          <w:rFonts w:ascii="Times New Roman" w:eastAsia="Calibri" w:hAnsi="Times New Roman" w:cs="Times New Roman" w:hint="default"/>
          <w:sz w:val="24"/>
          <w:szCs w:val="24"/>
        </w:rPr>
        <w:t>taní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38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71)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/>
          <w:sz w:val="24"/>
          <w:szCs w:val="24"/>
        </w:rPr>
        <w:t>Navrhuje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sa, aby predseda ná</w:t>
      </w:r>
      <w:r>
        <w:rPr>
          <w:rFonts w:ascii="Times New Roman" w:eastAsia="Calibri" w:hAnsi="Times New Roman" w:cs="Times New Roman" w:hint="default"/>
          <w:sz w:val="24"/>
          <w:szCs w:val="24"/>
        </w:rPr>
        <w:t>rodnej rady</w:t>
      </w:r>
      <w:r w:rsidRPr="006670F2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ak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spĺň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konom ustanovené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itosti, bezodkladne zabezpeč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il zverejnenie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na webovom sí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dle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rodnej rady.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39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72 ods. 1)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prava sú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visiaca s povinnosť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ou predsedu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zabezpeč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zverejnenie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vrhu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kona, ktor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spĺň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konom ustanovené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itosti, na webovom sí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dle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(§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71), a to najmenej 15 dní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pred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dzou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rady, na ktorej sa uskutoč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jeho prvé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čí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tanie. 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bodu 40 (§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81 ods. 1)</w:t>
      </w:r>
    </w:p>
    <w:p w:rsidR="002212B0" w:rsidRPr="00994D33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94D33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994D33">
        <w:rPr>
          <w:rFonts w:ascii="Times New Roman" w:eastAsia="Calibri" w:hAnsi="Times New Roman" w:cs="Times New Roman" w:hint="default"/>
          <w:sz w:val="24"/>
          <w:szCs w:val="24"/>
        </w:rPr>
        <w:t>slovne sa ustanovuje, ž</w:t>
      </w:r>
      <w:r w:rsidRPr="00994D33">
        <w:rPr>
          <w:rFonts w:ascii="Times New Roman" w:eastAsia="Calibri" w:hAnsi="Times New Roman" w:cs="Times New Roman" w:hint="default"/>
          <w:sz w:val="24"/>
          <w:szCs w:val="24"/>
        </w:rPr>
        <w:t xml:space="preserve">e </w:t>
      </w:r>
      <w:r w:rsidR="007630AA">
        <w:rPr>
          <w:rFonts w:ascii="Times New Roman" w:eastAsia="Calibri" w:hAnsi="Times New Roman" w:cs="Times New Roman" w:hint="default"/>
          <w:sz w:val="24"/>
          <w:szCs w:val="24"/>
        </w:rPr>
        <w:t>spoloč</w:t>
      </w:r>
      <w:r w:rsidR="007630AA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="007630AA">
        <w:rPr>
          <w:rFonts w:ascii="Times New Roman" w:eastAsia="Calibri" w:hAnsi="Times New Roman" w:cs="Times New Roman" w:hint="default"/>
          <w:sz w:val="24"/>
          <w:szCs w:val="24"/>
        </w:rPr>
        <w:t xml:space="preserve"> sprá</w:t>
      </w:r>
      <w:r w:rsidR="007630AA">
        <w:rPr>
          <w:rFonts w:ascii="Times New Roman" w:eastAsia="Calibri" w:hAnsi="Times New Roman" w:cs="Times New Roman" w:hint="default"/>
          <w:sz w:val="24"/>
          <w:szCs w:val="24"/>
        </w:rPr>
        <w:t>va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vý</w:t>
      </w:r>
      <w:r>
        <w:rPr>
          <w:rFonts w:ascii="Times New Roman" w:eastAsia="Calibri" w:hAnsi="Times New Roman" w:cs="Times New Roman" w:hint="default"/>
          <w:sz w:val="24"/>
          <w:szCs w:val="24"/>
        </w:rPr>
        <w:t>borov sa zverej</w:t>
      </w:r>
      <w:r>
        <w:rPr>
          <w:rFonts w:ascii="Times New Roman" w:eastAsia="Calibri" w:hAnsi="Times New Roman" w:cs="Times New Roman" w:hint="default"/>
          <w:sz w:val="24"/>
          <w:szCs w:val="24"/>
        </w:rPr>
        <w:t>ň</w:t>
      </w:r>
      <w:r>
        <w:rPr>
          <w:rFonts w:ascii="Times New Roman" w:eastAsia="Calibri" w:hAnsi="Times New Roman" w:cs="Times New Roman" w:hint="default"/>
          <w:sz w:val="24"/>
          <w:szCs w:val="24"/>
        </w:rPr>
        <w:t>uje</w:t>
      </w:r>
      <w:r w:rsidRPr="00994D33">
        <w:rPr>
          <w:rFonts w:ascii="Times New Roman" w:eastAsia="Calibri" w:hAnsi="Times New Roman" w:cs="Times New Roman" w:hint="default"/>
          <w:sz w:val="24"/>
          <w:szCs w:val="24"/>
        </w:rPr>
        <w:t xml:space="preserve"> na webovom sí</w:t>
      </w:r>
      <w:r w:rsidRPr="00994D33">
        <w:rPr>
          <w:rFonts w:ascii="Times New Roman" w:eastAsia="Calibri" w:hAnsi="Times New Roman" w:cs="Times New Roman" w:hint="default"/>
          <w:sz w:val="24"/>
          <w:szCs w:val="24"/>
        </w:rPr>
        <w:t>dle ná</w:t>
      </w:r>
      <w:r w:rsidRPr="00994D33">
        <w:rPr>
          <w:rFonts w:ascii="Times New Roman" w:eastAsia="Calibri" w:hAnsi="Times New Roman" w:cs="Times New Roman" w:hint="default"/>
          <w:sz w:val="24"/>
          <w:szCs w:val="24"/>
        </w:rPr>
        <w:t>rodnej rady.</w:t>
      </w:r>
    </w:p>
    <w:p w:rsidR="002212B0" w:rsidRPr="004E7179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bodom</w:t>
      </w:r>
      <w:r w:rsidRPr="004E71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41 a 42 </w:t>
      </w:r>
      <w:r w:rsidRPr="00654835">
        <w:rPr>
          <w:rFonts w:ascii="Times New Roman" w:eastAsia="Calibri" w:hAnsi="Times New Roman" w:cs="Times New Roman" w:hint="default"/>
          <w:b/>
          <w:sz w:val="24"/>
          <w:szCs w:val="24"/>
        </w:rPr>
        <w:t>(§</w:t>
      </w:r>
      <w:r w:rsidRPr="00654835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82 ods.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4E7179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 w:rsidRPr="004E7179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83 ods. 4)</w:t>
      </w:r>
    </w:p>
    <w:p w:rsidR="002212B0" w:rsidRPr="0065483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Navrhuje sa, aby h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lasovanie o ná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vrhoch zo spoloč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nej sprá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vy vý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borov a o pozmeň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cich a doplň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cich ná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vrhoch podaný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ch na schô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dzi ná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odnej rady sa konalo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 xml:space="preserve"> najskô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r po uplynutí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 xml:space="preserve"> 48 hodí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n od ich podania v rozprave. O skrá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tení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 xml:space="preserve"> lehoty rozhodne ná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 xml:space="preserve"> rada bez rozpravy, ak o to pož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iada gestorský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 xml:space="preserve"> vý</w:t>
      </w:r>
      <w:r w:rsidRPr="00226698">
        <w:rPr>
          <w:rFonts w:ascii="Times New Roman" w:eastAsia="Calibri" w:hAnsi="Times New Roman" w:cs="Times New Roman" w:hint="default"/>
          <w:sz w:val="24"/>
          <w:szCs w:val="24"/>
        </w:rPr>
        <w:t>b</w:t>
      </w:r>
      <w:r>
        <w:rPr>
          <w:rFonts w:ascii="Times New Roman" w:eastAsia="Calibri" w:hAnsi="Times New Roman" w:cs="Times New Roman" w:hint="default"/>
          <w:sz w:val="24"/>
          <w:szCs w:val="24"/>
        </w:rPr>
        <w:t>or alebo spoloč</w:t>
      </w:r>
      <w:r>
        <w:rPr>
          <w:rFonts w:ascii="Times New Roman" w:eastAsia="Calibri" w:hAnsi="Times New Roman" w:cs="Times New Roman" w:hint="default"/>
          <w:sz w:val="24"/>
          <w:szCs w:val="24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spravodajca. 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Predmetná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 xml:space="preserve"> zmena vytvá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ra č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asový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 xml:space="preserve"> priestor na </w:t>
      </w:r>
      <w:r>
        <w:rPr>
          <w:rFonts w:ascii="Times New Roman" w:eastAsia="Calibri" w:hAnsi="Times New Roman" w:cs="Times New Roman" w:hint="default"/>
          <w:sz w:val="24"/>
          <w:szCs w:val="24"/>
        </w:rPr>
        <w:t>obozná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menie sa a 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posú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denie podaný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ch pozmeň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cich a doplň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cich ná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vrhov z 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hľ</w:t>
      </w:r>
      <w:r w:rsidRPr="00B9666A">
        <w:rPr>
          <w:rFonts w:ascii="Times New Roman" w:eastAsia="Calibri" w:hAnsi="Times New Roman" w:cs="Times New Roman" w:hint="default"/>
          <w:sz w:val="24"/>
          <w:szCs w:val="24"/>
        </w:rPr>
        <w:t>adiska ich obsahu.</w:t>
      </w:r>
      <w:r w:rsidRPr="0065483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slovne sa ustanovuje, ž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e podané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 xml:space="preserve"> pozmeň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ce a 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doplň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ce ná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vrhy sa zverejň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 xml:space="preserve"> na webovom sí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dle ná</w:t>
      </w:r>
      <w:r w:rsidRPr="00654835">
        <w:rPr>
          <w:rFonts w:ascii="Times New Roman" w:eastAsia="Calibri" w:hAnsi="Times New Roman" w:cs="Times New Roman" w:hint="default"/>
          <w:sz w:val="24"/>
          <w:szCs w:val="24"/>
        </w:rPr>
        <w:t>rodnej rady.</w:t>
      </w: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bodom 45 a 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46 (§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94 ods. 3 a 4)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rokovacieho poriadku sa explicitne 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ustanovuje, ž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e p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ri prerokú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vaní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vrhu zá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kona nemož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no podať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vrh, ktorý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m sa mení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 xml:space="preserve"> alebo dopĺň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a iný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kon, ktorý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 xml:space="preserve"> obsahovo nesú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visí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 xml:space="preserve"> s prerokú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vaný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m ná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vrhom zá</w:t>
      </w:r>
      <w:r w:rsidRPr="009D041E">
        <w:rPr>
          <w:rFonts w:ascii="Times New Roman" w:eastAsia="Calibri" w:hAnsi="Times New Roman" w:cs="Times New Roman" w:hint="default"/>
          <w:sz w:val="24"/>
          <w:szCs w:val="24"/>
        </w:rPr>
        <w:t>kona</w:t>
      </w:r>
      <w:r w:rsidRPr="001D1B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Ide o </w:t>
      </w:r>
      <w:r>
        <w:rPr>
          <w:rFonts w:ascii="Times New Roman" w:eastAsia="Calibri" w:hAnsi="Times New Roman" w:cs="Times New Roman" w:hint="default"/>
          <w:sz w:val="24"/>
          <w:szCs w:val="24"/>
        </w:rPr>
        <w:t>obmedzenie predkladania tzv. „</w:t>
      </w:r>
      <w:r>
        <w:rPr>
          <w:rFonts w:ascii="Times New Roman" w:eastAsia="Calibri" w:hAnsi="Times New Roman" w:cs="Times New Roman" w:hint="default"/>
          <w:sz w:val="24"/>
          <w:szCs w:val="24"/>
        </w:rPr>
        <w:t>prí</w:t>
      </w:r>
      <w:r>
        <w:rPr>
          <w:rFonts w:ascii="Times New Roman" w:eastAsia="Calibri" w:hAnsi="Times New Roman" w:cs="Times New Roman" w:hint="default"/>
          <w:sz w:val="24"/>
          <w:szCs w:val="24"/>
        </w:rPr>
        <w:t>lepkov“</w:t>
      </w:r>
      <w:r>
        <w:rPr>
          <w:rFonts w:ascii="Times New Roman" w:eastAsia="Calibri" w:hAnsi="Times New Roman" w:cs="Times New Roman" w:hint="default"/>
          <w:sz w:val="24"/>
          <w:szCs w:val="24"/>
        </w:rPr>
        <w:t>, č</w:t>
      </w:r>
      <w:r>
        <w:rPr>
          <w:rFonts w:ascii="Times New Roman" w:eastAsia="Calibri" w:hAnsi="Times New Roman" w:cs="Times New Roman" w:hint="default"/>
          <w:sz w:val="24"/>
          <w:szCs w:val="24"/>
        </w:rPr>
        <w:t>iž</w:t>
      </w:r>
      <w:r>
        <w:rPr>
          <w:rFonts w:ascii="Times New Roman" w:eastAsia="Calibri" w:hAnsi="Times New Roman" w:cs="Times New Roman" w:hint="default"/>
          <w:sz w:val="24"/>
          <w:szCs w:val="24"/>
        </w:rPr>
        <w:t>e vecne nesú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visiacich noviel. 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Ak by taká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to situá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 xml:space="preserve">cia nastala, 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predsedajú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ci nedá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 xml:space="preserve"> o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 w:hint="default"/>
          <w:sz w:val="24"/>
          <w:szCs w:val="24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vrhu 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hlasovať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. O ná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mietke poslanca, ktorý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vrh podal, proti tomuto rozhodnutiu rozhodne ná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1D1B44">
        <w:rPr>
          <w:rFonts w:ascii="Times New Roman" w:eastAsia="Calibri" w:hAnsi="Times New Roman" w:cs="Times New Roman" w:hint="default"/>
          <w:sz w:val="24"/>
          <w:szCs w:val="24"/>
        </w:rPr>
        <w:t xml:space="preserve"> rada bez rozpravy</w:t>
      </w:r>
      <w:r>
        <w:rPr>
          <w:rFonts w:ascii="Times New Roman" w:eastAsia="Calibri" w:hAnsi="Times New Roman" w:cs="Times New Roman" w:hint="default"/>
          <w:sz w:val="24"/>
          <w:szCs w:val="24"/>
        </w:rPr>
        <w:t>. Vzhľ</w:t>
      </w:r>
      <w:r>
        <w:rPr>
          <w:rFonts w:ascii="Times New Roman" w:eastAsia="Calibri" w:hAnsi="Times New Roman" w:cs="Times New Roman" w:hint="default"/>
          <w:sz w:val="24"/>
          <w:szCs w:val="24"/>
        </w:rPr>
        <w:t>adom na to, ž</w:t>
      </w:r>
      <w:r>
        <w:rPr>
          <w:rFonts w:ascii="Times New Roman" w:eastAsia="Calibri" w:hAnsi="Times New Roman" w:cs="Times New Roman" w:hint="default"/>
          <w:sz w:val="24"/>
          <w:szCs w:val="24"/>
        </w:rPr>
        <w:t>e hlasovať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o pozmeň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cich a doplň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cich ná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vrhoch podaný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ch na schô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dzi ná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 xml:space="preserve">rodnej rady sa </w:t>
      </w:r>
      <w:r>
        <w:rPr>
          <w:rFonts w:ascii="Times New Roman" w:eastAsia="Calibri" w:hAnsi="Times New Roman" w:cs="Times New Roman" w:hint="default"/>
          <w:sz w:val="24"/>
          <w:szCs w:val="24"/>
        </w:rPr>
        <w:t>môž</w:t>
      </w:r>
      <w:r>
        <w:rPr>
          <w:rFonts w:ascii="Times New Roman" w:eastAsia="Calibri" w:hAnsi="Times New Roman" w:cs="Times New Roman" w:hint="default"/>
          <w:sz w:val="24"/>
          <w:szCs w:val="24"/>
        </w:rPr>
        <w:t>e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 xml:space="preserve"> najskô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 xml:space="preserve">r 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po uplynutí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 xml:space="preserve"> 48 hodí</w:t>
      </w:r>
      <w:r w:rsidRPr="00AB3425">
        <w:rPr>
          <w:rFonts w:ascii="Times New Roman" w:eastAsia="Calibri" w:hAnsi="Times New Roman" w:cs="Times New Roman" w:hint="default"/>
          <w:sz w:val="24"/>
          <w:szCs w:val="24"/>
        </w:rPr>
        <w:t>n od ich podania v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AB3425">
        <w:rPr>
          <w:rFonts w:ascii="Times New Roman" w:eastAsia="Calibri" w:hAnsi="Times New Roman" w:cs="Times New Roman"/>
          <w:sz w:val="24"/>
          <w:szCs w:val="24"/>
        </w:rPr>
        <w:t>rozprave</w:t>
      </w:r>
      <w:r>
        <w:rPr>
          <w:rFonts w:ascii="Times New Roman" w:eastAsia="Calibri" w:hAnsi="Times New Roman" w:cs="Times New Roman" w:hint="default"/>
          <w:sz w:val="24"/>
          <w:szCs w:val="24"/>
        </w:rPr>
        <w:t>, vytvá</w:t>
      </w:r>
      <w:r>
        <w:rPr>
          <w:rFonts w:ascii="Times New Roman" w:eastAsia="Calibri" w:hAnsi="Times New Roman" w:cs="Times New Roman" w:hint="default"/>
          <w:sz w:val="24"/>
          <w:szCs w:val="24"/>
        </w:rPr>
        <w:t>ra sa v </w:t>
      </w:r>
      <w:r>
        <w:rPr>
          <w:rFonts w:ascii="Times New Roman" w:eastAsia="Calibri" w:hAnsi="Times New Roman" w:cs="Times New Roman" w:hint="default"/>
          <w:sz w:val="24"/>
          <w:szCs w:val="24"/>
        </w:rPr>
        <w:t>tomto š</w:t>
      </w:r>
      <w:r>
        <w:rPr>
          <w:rFonts w:ascii="Times New Roman" w:eastAsia="Calibri" w:hAnsi="Times New Roman" w:cs="Times New Roman" w:hint="default"/>
          <w:sz w:val="24"/>
          <w:szCs w:val="24"/>
        </w:rPr>
        <w:t>tá</w:t>
      </w:r>
      <w:r>
        <w:rPr>
          <w:rFonts w:ascii="Times New Roman" w:eastAsia="Calibri" w:hAnsi="Times New Roman" w:cs="Times New Roman" w:hint="default"/>
          <w:sz w:val="24"/>
          <w:szCs w:val="24"/>
        </w:rPr>
        <w:t>diu legislatí</w:t>
      </w:r>
      <w:r>
        <w:rPr>
          <w:rFonts w:ascii="Times New Roman" w:eastAsia="Calibri" w:hAnsi="Times New Roman" w:cs="Times New Roman" w:hint="default"/>
          <w:sz w:val="24"/>
          <w:szCs w:val="24"/>
        </w:rPr>
        <w:t>vneho procesu č</w:t>
      </w:r>
      <w:r>
        <w:rPr>
          <w:rFonts w:ascii="Times New Roman" w:eastAsia="Calibri" w:hAnsi="Times New Roman" w:cs="Times New Roman" w:hint="default"/>
          <w:sz w:val="24"/>
          <w:szCs w:val="24"/>
        </w:rPr>
        <w:t>asový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priestor na vecné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posú</w:t>
      </w:r>
      <w:r>
        <w:rPr>
          <w:rFonts w:ascii="Times New Roman" w:eastAsia="Calibri" w:hAnsi="Times New Roman" w:cs="Times New Roman" w:hint="default"/>
          <w:sz w:val="24"/>
          <w:szCs w:val="24"/>
        </w:rPr>
        <w:t>denie podaný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ch </w:t>
      </w:r>
      <w:r w:rsidRPr="00AB3425">
        <w:rPr>
          <w:rFonts w:ascii="Times New Roman" w:eastAsia="Calibri" w:hAnsi="Times New Roman" w:cs="Times New Roman"/>
          <w:sz w:val="24"/>
          <w:szCs w:val="24"/>
        </w:rPr>
        <w:t>pozme</w:t>
      </w:r>
      <w:r>
        <w:rPr>
          <w:rFonts w:ascii="Times New Roman" w:eastAsia="Calibri" w:hAnsi="Times New Roman" w:cs="Times New Roman" w:hint="default"/>
          <w:sz w:val="24"/>
          <w:szCs w:val="24"/>
        </w:rPr>
        <w:t>ň</w:t>
      </w:r>
      <w:r>
        <w:rPr>
          <w:rFonts w:ascii="Times New Roman" w:eastAsia="Calibri" w:hAnsi="Times New Roman" w:cs="Times New Roman" w:hint="default"/>
          <w:sz w:val="24"/>
          <w:szCs w:val="24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</w:rPr>
        <w:t>cich a doplň</w:t>
      </w:r>
      <w:r>
        <w:rPr>
          <w:rFonts w:ascii="Times New Roman" w:eastAsia="Calibri" w:hAnsi="Times New Roman" w:cs="Times New Roman" w:hint="default"/>
          <w:sz w:val="24"/>
          <w:szCs w:val="24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</w:rPr>
        <w:t>cich ná</w:t>
      </w:r>
      <w:r>
        <w:rPr>
          <w:rFonts w:ascii="Times New Roman" w:eastAsia="Calibri" w:hAnsi="Times New Roman" w:cs="Times New Roman" w:hint="default"/>
          <w:sz w:val="24"/>
          <w:szCs w:val="24"/>
        </w:rPr>
        <w:t>vrhov.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47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96 ods. 4)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Navrhuje sa, aby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vrhy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konov, ktoré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boli zaradené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do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 a navrhovateľ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ich vzal späť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bolo mož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zaradiť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do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 až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po uplynutí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iestich mesiacov odo dň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ich späť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vzatia.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rada vš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ak môž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 na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 predsedu rozhodnúť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 taký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to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 mož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no zaradiť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do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dze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j pred uplynutí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m tejto lehoty.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49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112 ods. 2)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Formulač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precizá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cia ustanovenia v sú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lade s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l. 84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stavy Slovenskej republiky;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vrh na odvolanie predsedu a podpredsedu najvyšš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ieho kontrolné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radu je schvá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, ak zaň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hlasovala nadpolovič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čš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ina 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tomný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poslancov.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bodom 56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 57 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129 ods. 3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67655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§</w:t>
      </w:r>
      <w:r w:rsidRPr="00067655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130 ods. 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0F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2B0" w:rsidRPr="0006765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Vo vzť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ahu k pí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somne podaný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interpelá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sa vypúšť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povinnosť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predsedu zaslať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ic</w:t>
      </w:r>
      <w:r>
        <w:rPr>
          <w:rFonts w:ascii="Times New Roman" w:eastAsia="Calibri" w:hAnsi="Times New Roman" w:cs="Times New Roman" w:hint="default"/>
          <w:sz w:val="24"/>
          <w:szCs w:val="24"/>
        </w:rPr>
        <w:t>h na vedomie poslanecký</w:t>
      </w:r>
      <w:r>
        <w:rPr>
          <w:rFonts w:ascii="Times New Roman" w:eastAsia="Calibri" w:hAnsi="Times New Roman" w:cs="Times New Roman" w:hint="default"/>
          <w:sz w:val="24"/>
          <w:szCs w:val="24"/>
        </w:rPr>
        <w:t>m klubom a </w:t>
      </w:r>
      <w:r>
        <w:rPr>
          <w:rFonts w:ascii="Times New Roman" w:eastAsia="Calibri" w:hAnsi="Times New Roman" w:cs="Times New Roman" w:hint="default"/>
          <w:sz w:val="24"/>
          <w:szCs w:val="24"/>
        </w:rPr>
        <w:t>zá</w:t>
      </w:r>
      <w:r>
        <w:rPr>
          <w:rFonts w:ascii="Times New Roman" w:eastAsia="Calibri" w:hAnsi="Times New Roman" w:cs="Times New Roman" w:hint="default"/>
          <w:sz w:val="24"/>
          <w:szCs w:val="24"/>
        </w:rPr>
        <w:t>roveň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sa navrhuje 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zverejň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ovanie pí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somnej interpelá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 xml:space="preserve">cie a odpovede 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na interpelá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ciu na webovom sí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dle ná</w:t>
      </w:r>
      <w:r w:rsidRPr="00067655">
        <w:rPr>
          <w:rFonts w:ascii="Times New Roman" w:eastAsia="Calibri" w:hAnsi="Times New Roman" w:cs="Times New Roman" w:hint="default"/>
          <w:sz w:val="24"/>
          <w:szCs w:val="24"/>
        </w:rPr>
        <w:t>rodnej rady.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58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130 ods. 7)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 bode programu schô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dze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urč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 na interpelá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cie sa ustanovuje  povinná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úč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aspoň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tretiny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lenov vlá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dy, ktorý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predsedovi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rodnej rady ozná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mi najneskô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 do zač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atia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tohto bodu programu predseda vlá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dy.</w:t>
      </w:r>
    </w:p>
    <w:p w:rsidR="007A4425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59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131 ods. 5)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Ustanovuje sa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asová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dĺž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ka odpovede na polož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otá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zku, ktorá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môž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 trvať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najviac päť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minú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t. Dĺž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ka dvoch minú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 na prednes 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stne podanej doplň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cej otá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zky zostá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va zachovaná.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61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135 pí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>sm.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d))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Doplnenie novej skutkovej podstaty discipliná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rneho deliktu poslanca</w:t>
      </w:r>
      <w:r w:rsidRPr="006670F2">
        <w:rPr>
          <w:rFonts w:ascii="Calibri" w:eastAsia="Calibri" w:hAnsi="Calibri" w:cs="Times New Roman"/>
        </w:rPr>
        <w:t xml:space="preserve">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v nadvä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znosti na ustanovenie etické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kó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dexu poslanca (§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9a</w:t>
      </w:r>
      <w:r>
        <w:rPr>
          <w:rFonts w:ascii="Times New Roman" w:eastAsia="Calibri" w:hAnsi="Times New Roman" w:cs="Times New Roman" w:hint="default"/>
          <w:sz w:val="24"/>
          <w:szCs w:val="24"/>
        </w:rPr>
        <w:t>, prí</w:t>
      </w:r>
      <w:r>
        <w:rPr>
          <w:rFonts w:ascii="Times New Roman" w:eastAsia="Calibri" w:hAnsi="Times New Roman" w:cs="Times New Roman" w:hint="default"/>
          <w:sz w:val="24"/>
          <w:szCs w:val="24"/>
        </w:rPr>
        <w:t>loha č</w:t>
      </w:r>
      <w:r>
        <w:rPr>
          <w:rFonts w:ascii="Times New Roman" w:eastAsia="Calibri" w:hAnsi="Times New Roman" w:cs="Times New Roman" w:hint="default"/>
          <w:sz w:val="24"/>
          <w:szCs w:val="24"/>
        </w:rPr>
        <w:t>. 2 rokovacieho poriadku</w:t>
      </w:r>
      <w:r w:rsidRPr="006670F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62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138 ods. 2)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V navrhovanom ustanovení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sa stanovuje kvó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rum pre prijatie roz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hodnutia o sankcii v discipliná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rnom konaní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 a urč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uje sa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sada, 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 v 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pade nezí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skania potrebné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poč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tu hlasov 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tomný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 poslancov sa konanie zastavuje zo zá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kona. Tý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mto ustanovení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sa rieš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 otá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zka ukonč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enia taký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chto konaní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 prí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pade, 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 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vrh uznesenia 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n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ezí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ska potrebnú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väčš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inu. Rieš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 sa tý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doterajš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ia prax v konaní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mandá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tové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a imunitné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ho vý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boru, keď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sa väčš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ina discipliná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rnych konaní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neskonč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ila prijatí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m uznesenia, č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 sa nepovaž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ovalo za rozhodnutie vo veci.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bodu 63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(§</w:t>
      </w:r>
      <w:r w:rsidRPr="006670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139 ods. 1 a 2)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0F2">
        <w:rPr>
          <w:rFonts w:ascii="Times New Roman" w:eastAsia="Calibri" w:hAnsi="Times New Roman" w:cs="Times New Roman" w:hint="default"/>
          <w:sz w:val="24"/>
          <w:szCs w:val="24"/>
        </w:rPr>
        <w:t>Navrhuje sa zvýš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eni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e hornej hranice pokuty za </w:t>
      </w:r>
      <w:r>
        <w:rPr>
          <w:rFonts w:ascii="Times New Roman" w:eastAsia="Calibri" w:hAnsi="Times New Roman" w:cs="Times New Roman" w:hint="default"/>
          <w:sz w:val="24"/>
          <w:szCs w:val="24"/>
        </w:rPr>
        <w:t>discipliná</w:t>
      </w:r>
      <w:r>
        <w:rPr>
          <w:rFonts w:ascii="Times New Roman" w:eastAsia="Calibri" w:hAnsi="Times New Roman" w:cs="Times New Roman" w:hint="default"/>
          <w:sz w:val="24"/>
          <w:szCs w:val="24"/>
        </w:rPr>
        <w:t>rne previnenie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podľ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135 pí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>sm. a) až</w:t>
      </w:r>
      <w:r w:rsidRPr="006670F2">
        <w:rPr>
          <w:rFonts w:ascii="Times New Roman" w:eastAsia="Calibri" w:hAnsi="Times New Roman" w:cs="Times New Roman" w:hint="default"/>
          <w:sz w:val="24"/>
          <w:szCs w:val="24"/>
        </w:rPr>
        <w:t xml:space="preserve"> c) na 1000 eur.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64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139 ods. 4)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Pr="00560515">
        <w:rPr>
          <w:rFonts w:ascii="Times New Roman" w:hAnsi="Times New Roman" w:cs="Times New Roman"/>
          <w:sz w:val="24"/>
          <w:szCs w:val="24"/>
          <w:lang w:eastAsia="sk-SK"/>
        </w:rPr>
        <w:t>andátový a imunitný výbor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prípade, ak zistí</w:t>
      </w:r>
      <w:r w:rsidRPr="00560515">
        <w:rPr>
          <w:rFonts w:ascii="Times New Roman" w:hAnsi="Times New Roman" w:cs="Times New Roman"/>
          <w:sz w:val="24"/>
          <w:szCs w:val="24"/>
          <w:lang w:eastAsia="sk-SK"/>
        </w:rPr>
        <w:t>, že poslanec porušil Etický kódex poslanca, odporučí národnej rade, aby mu udelila pokutu až do výšky 500 eur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Pr="006670F2">
        <w:rPr>
          <w:rFonts w:ascii="Times New Roman" w:hAnsi="Times New Roman" w:cs="Times New Roman"/>
          <w:sz w:val="24"/>
          <w:szCs w:val="24"/>
          <w:lang w:eastAsia="sk-SK"/>
        </w:rPr>
        <w:t xml:space="preserve">Nižšia </w:t>
      </w:r>
      <w:r w:rsidRPr="00A45343">
        <w:rPr>
          <w:rFonts w:ascii="Times New Roman" w:hAnsi="Times New Roman" w:cs="Times New Roman"/>
          <w:sz w:val="24"/>
          <w:szCs w:val="24"/>
          <w:lang w:eastAsia="sk-SK"/>
        </w:rPr>
        <w:t xml:space="preserve">horná hranica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pokuty </w:t>
      </w:r>
      <w:r w:rsidRPr="006670F2">
        <w:rPr>
          <w:rFonts w:ascii="Times New Roman" w:hAnsi="Times New Roman" w:cs="Times New Roman"/>
          <w:sz w:val="24"/>
          <w:szCs w:val="24"/>
          <w:lang w:eastAsia="sk-SK"/>
        </w:rPr>
        <w:t xml:space="preserve">sa zavádza s ohľadom na možné  variability porušenia Etického kódexu.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65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139 ods. 5)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Legislatívno-technická úprava v súvislosti s doplnením odseku 4 do § 139.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66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143 ods. 1)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Navrhuje sa, aby </w:t>
      </w:r>
      <w:r w:rsidRPr="00215352">
        <w:rPr>
          <w:rFonts w:ascii="Times New Roman" w:hAnsi="Times New Roman" w:cs="Times New Roman"/>
          <w:sz w:val="24"/>
          <w:szCs w:val="24"/>
          <w:lang w:eastAsia="sk-SK"/>
        </w:rPr>
        <w:t xml:space="preserve">úlohy spojené s činnosťou Parlamentnej rady Slovenskej republiky </w:t>
      </w:r>
      <w:r>
        <w:rPr>
          <w:rFonts w:ascii="Times New Roman" w:hAnsi="Times New Roman" w:cs="Times New Roman"/>
          <w:sz w:val="24"/>
          <w:szCs w:val="24"/>
          <w:lang w:eastAsia="sk-SK"/>
        </w:rPr>
        <w:t>plnila Kancelária</w:t>
      </w:r>
      <w:r w:rsidRPr="006670F2">
        <w:rPr>
          <w:rFonts w:ascii="Times New Roman" w:hAnsi="Times New Roman" w:cs="Times New Roman"/>
          <w:sz w:val="24"/>
          <w:szCs w:val="24"/>
          <w:lang w:eastAsia="sk-SK"/>
        </w:rPr>
        <w:t xml:space="preserve"> Národnej rady </w:t>
      </w:r>
      <w:r>
        <w:rPr>
          <w:rFonts w:ascii="Times New Roman" w:hAnsi="Times New Roman" w:cs="Times New Roman"/>
          <w:sz w:val="24"/>
          <w:szCs w:val="24"/>
          <w:lang w:eastAsia="sk-SK"/>
        </w:rPr>
        <w:t>Slovenskej republiky.</w:t>
      </w:r>
    </w:p>
    <w:p w:rsidR="007A4425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67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143 ods. 8)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Legislatívno-technická úprava v súvislosti s doplnením novej prílohy č. 2.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69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148 ods. 1)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Legislatívno-technická úprava ustanovenia v súvislosti s doplnením pokuty za porušenie Etického kódexu poslancom (§ 139 ods. 4).</w:t>
      </w:r>
    </w:p>
    <w:p w:rsidR="002212B0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 bodu 70 (§150a)</w:t>
      </w:r>
    </w:p>
    <w:p w:rsidR="002212B0" w:rsidRPr="00915D5B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15D5B">
        <w:rPr>
          <w:rFonts w:ascii="Times New Roman" w:hAnsi="Times New Roman" w:cs="Times New Roman"/>
          <w:sz w:val="24"/>
          <w:szCs w:val="24"/>
          <w:lang w:eastAsia="sk-SK"/>
        </w:rPr>
        <w:t>Navrhuje sa, za účelom právnej istoty, doplniť prechodné ustanovenie vo vzťahu k návrhom zákonov predložených národnej rade pred nadobudnutím účinnosti tohto zákona. Predmetné návrhy zákonov sa prerokujú podľa doterajších predpisov.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71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(§ 151a)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V navrhovanom § 151a sa ruší predchádzajúca právna úprava postavenia poslancov, vzhľadom na obsol</w:t>
      </w:r>
      <w:r>
        <w:rPr>
          <w:rFonts w:ascii="Times New Roman" w:hAnsi="Times New Roman" w:cs="Times New Roman"/>
          <w:sz w:val="24"/>
          <w:szCs w:val="24"/>
          <w:lang w:eastAsia="sk-SK"/>
        </w:rPr>
        <w:t>en</w:t>
      </w:r>
      <w:r w:rsidRPr="006670F2">
        <w:rPr>
          <w:rFonts w:ascii="Times New Roman" w:hAnsi="Times New Roman" w:cs="Times New Roman"/>
          <w:sz w:val="24"/>
          <w:szCs w:val="24"/>
          <w:lang w:eastAsia="sk-SK"/>
        </w:rPr>
        <w:t>tnosť väčšiny ustanovení zrušovaného zákona Slovenskej národnej rady č. 45/1989 Zb. s tým, že obsah ustanovení týkajúcich sa nadobudnutia práv a povinností poslancom, vydania poslaneckého preukazu poslancovi po overení platnosti voľby a ustanovenia týkajúce sa poslaneckého prieskumu sa modifikovane navrhujú upraviť v § 5, § 8 ods. 3 a § 63a tohto návrhu zákona.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 bodu 72</w:t>
      </w: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(Príloha č. 2)</w:t>
      </w:r>
    </w:p>
    <w:p w:rsidR="002212B0" w:rsidRPr="00312141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Doplnenie prílohy č. 2 k zákonu, ktorej obsahom je Etický kódex poslanca.</w:t>
      </w:r>
      <w:r w:rsidRPr="006605C8">
        <w:t xml:space="preserve"> </w:t>
      </w:r>
      <w:r w:rsidRPr="00312141">
        <w:rPr>
          <w:rFonts w:ascii="Times New Roman" w:hAnsi="Times New Roman" w:cs="Times New Roman"/>
          <w:sz w:val="24"/>
          <w:szCs w:val="24"/>
          <w:lang w:eastAsia="sk-SK"/>
        </w:rPr>
        <w:t>Etický kódex poslanca upravuje princípy a pravidlá správania sa poslanca v súlade so základnými všeobecne uznávanými a uplatňovanými morálnymi pravidlami a hodnotami.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12141">
        <w:rPr>
          <w:rFonts w:ascii="Times New Roman" w:hAnsi="Times New Roman" w:cs="Times New Roman"/>
          <w:sz w:val="24"/>
          <w:szCs w:val="24"/>
          <w:lang w:eastAsia="sk-SK"/>
        </w:rPr>
        <w:t xml:space="preserve">Účelom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zavedenia </w:t>
      </w:r>
      <w:r w:rsidRPr="00312141">
        <w:rPr>
          <w:rFonts w:ascii="Times New Roman" w:hAnsi="Times New Roman" w:cs="Times New Roman"/>
          <w:sz w:val="24"/>
          <w:szCs w:val="24"/>
          <w:lang w:eastAsia="sk-SK"/>
        </w:rPr>
        <w:t xml:space="preserve">etického kódexu poslanca je podporiť dôveru verejnosti v čestnosť a dôveryhodnosť práce poslanca a stanoviť základné etické limity pre konanie členov zákonodarného zboru.. </w:t>
      </w:r>
    </w:p>
    <w:p w:rsidR="002212B0" w:rsidRPr="006670F2" w:rsidP="002212B0">
      <w:pPr>
        <w:bidi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670F2">
        <w:rPr>
          <w:rFonts w:ascii="Times New Roman" w:hAnsi="Times New Roman" w:cs="Times New Roman"/>
          <w:b/>
          <w:sz w:val="24"/>
          <w:szCs w:val="24"/>
          <w:lang w:eastAsia="sk-SK"/>
        </w:rPr>
        <w:t>K čl. II</w:t>
      </w:r>
    </w:p>
    <w:p w:rsidR="002212B0" w:rsidRPr="006670F2" w:rsidP="002212B0">
      <w:pPr>
        <w:bidi w:val="0"/>
        <w:jc w:val="both"/>
        <w:rPr>
          <w:rFonts w:ascii="Calibri" w:eastAsia="Calibri" w:hAnsi="Calibri" w:cs="Times New Roman"/>
        </w:rPr>
      </w:pPr>
      <w:r w:rsidRPr="006670F2">
        <w:rPr>
          <w:rFonts w:ascii="Times New Roman" w:hAnsi="Times New Roman" w:cs="Times New Roman"/>
          <w:sz w:val="24"/>
          <w:szCs w:val="24"/>
          <w:lang w:eastAsia="sk-SK"/>
        </w:rPr>
        <w:t>Účinnosť zákona sa navrhuje 1. januára 2016</w:t>
      </w:r>
      <w:r w:rsidR="00311C8D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212B0" w:rsidRPr="006670F2" w:rsidP="002212B0">
      <w:pPr>
        <w:bidi w:val="0"/>
        <w:spacing w:after="200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12B0" w:rsidRPr="006670F2" w:rsidP="002212B0">
      <w:pPr>
        <w:bidi w:val="0"/>
        <w:spacing w:after="200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12B0" w:rsidRPr="006670F2" w:rsidP="002212B0">
      <w:pPr>
        <w:bidi w:val="0"/>
        <w:spacing w:after="20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70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12B0" w:rsidP="002212B0">
      <w:pPr>
        <w:bidi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E6A8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">
    <w:nsid w:val="222C3BF7"/>
    <w:multiLevelType w:val="hybridMultilevel"/>
    <w:tmpl w:val="1C58C8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4DD63D9D"/>
    <w:multiLevelType w:val="hybridMultilevel"/>
    <w:tmpl w:val="5D18EE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E1D2123"/>
    <w:multiLevelType w:val="hybridMultilevel"/>
    <w:tmpl w:val="CB367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C5187"/>
    <w:rsid w:val="00013C75"/>
    <w:rsid w:val="00067655"/>
    <w:rsid w:val="000834DD"/>
    <w:rsid w:val="00112524"/>
    <w:rsid w:val="001147DB"/>
    <w:rsid w:val="001A0CFE"/>
    <w:rsid w:val="001D1B44"/>
    <w:rsid w:val="00215352"/>
    <w:rsid w:val="002212B0"/>
    <w:rsid w:val="00226698"/>
    <w:rsid w:val="00311C8D"/>
    <w:rsid w:val="00312141"/>
    <w:rsid w:val="003C5187"/>
    <w:rsid w:val="004D7599"/>
    <w:rsid w:val="004E7179"/>
    <w:rsid w:val="00501C3B"/>
    <w:rsid w:val="0050239B"/>
    <w:rsid w:val="005349A0"/>
    <w:rsid w:val="00560515"/>
    <w:rsid w:val="00654835"/>
    <w:rsid w:val="00657ECB"/>
    <w:rsid w:val="006605C8"/>
    <w:rsid w:val="006670F2"/>
    <w:rsid w:val="00716CE4"/>
    <w:rsid w:val="0075662A"/>
    <w:rsid w:val="007630AA"/>
    <w:rsid w:val="00767BF1"/>
    <w:rsid w:val="007A4425"/>
    <w:rsid w:val="007E6A88"/>
    <w:rsid w:val="008A7D9A"/>
    <w:rsid w:val="00900DE9"/>
    <w:rsid w:val="00915D5B"/>
    <w:rsid w:val="00985B22"/>
    <w:rsid w:val="00994D33"/>
    <w:rsid w:val="009D041E"/>
    <w:rsid w:val="00A45343"/>
    <w:rsid w:val="00A7746C"/>
    <w:rsid w:val="00AB3425"/>
    <w:rsid w:val="00B636F7"/>
    <w:rsid w:val="00B83E67"/>
    <w:rsid w:val="00B9666A"/>
    <w:rsid w:val="00C45BB0"/>
    <w:rsid w:val="00D46D02"/>
    <w:rsid w:val="00E134F2"/>
    <w:rsid w:val="00F31F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B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2B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C8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C8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2541</Words>
  <Characters>14489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Knapp, Ján, JUDr.</dc:creator>
  <cp:lastModifiedBy>Gašparíková, Jarmila</cp:lastModifiedBy>
  <cp:revision>2</cp:revision>
  <cp:lastPrinted>2015-08-28T17:31:00Z</cp:lastPrinted>
  <dcterms:created xsi:type="dcterms:W3CDTF">2015-08-28T17:42:00Z</dcterms:created>
  <dcterms:modified xsi:type="dcterms:W3CDTF">2015-08-28T17:42:00Z</dcterms:modified>
</cp:coreProperties>
</file>