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51F0" w:rsidP="009B51F0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B. Osobitná časť</w:t>
      </w:r>
    </w:p>
    <w:p w:rsidR="009B51F0" w:rsidP="009B51F0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9B51F0" w:rsidP="009B51F0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9B51F0" w:rsidP="009B51F0">
      <w:pPr>
        <w:widowControl/>
        <w:bidi w:val="0"/>
        <w:jc w:val="both"/>
        <w:rPr>
          <w:rStyle w:val="PlaceholderText"/>
        </w:rPr>
      </w:pPr>
      <w:r>
        <w:rPr>
          <w:rStyle w:val="PlaceholderText"/>
          <w:b/>
        </w:rPr>
        <w:t>Čl. I </w:t>
      </w:r>
    </w:p>
    <w:p w:rsidR="009B51F0" w:rsidP="009B51F0">
      <w:pPr>
        <w:widowControl/>
        <w:bidi w:val="0"/>
        <w:jc w:val="both"/>
        <w:rPr>
          <w:rStyle w:val="PlaceholderText"/>
          <w:b/>
        </w:rPr>
      </w:pP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K bodom 1 a 2 [§ 1 ods.1 písm. a), b) a c)]</w:t>
      </w:r>
    </w:p>
    <w:p w:rsidR="009B51F0" w:rsidP="009B51F0">
      <w:pPr>
        <w:widowControl/>
        <w:autoSpaceDE w:val="0"/>
        <w:autoSpaceDN w:val="0"/>
        <w:bidi w:val="0"/>
        <w:ind w:firstLine="720"/>
        <w:jc w:val="both"/>
        <w:rPr>
          <w:rFonts w:ascii="Times New Roman" w:hAnsi="Times New Roman"/>
          <w:bCs/>
        </w:rPr>
      </w:pPr>
      <w:r>
        <w:rPr>
          <w:rStyle w:val="PlaceholderText"/>
        </w:rPr>
        <w:t xml:space="preserve">Zákon zmenou textu v §1 dopĺňa predmet úpravy zákona o upresnenie  zamerania </w:t>
      </w:r>
      <w:r>
        <w:rPr>
          <w:rFonts w:ascii="Times New Roman" w:hAnsi="Times New Roman"/>
          <w:lang w:eastAsia="en-US"/>
        </w:rPr>
        <w:t xml:space="preserve"> cieľov pre kvalitu ovzdušia čím bola doplnená transpozícia </w:t>
      </w:r>
      <w:r>
        <w:rPr>
          <w:rFonts w:ascii="Times New Roman" w:hAnsi="Times New Roman"/>
          <w:b/>
          <w:lang w:eastAsia="en-US"/>
        </w:rPr>
        <w:t xml:space="preserve">článku </w:t>
      </w:r>
      <w:r>
        <w:rPr>
          <w:rFonts w:ascii="Times New Roman" w:hAnsi="Times New Roman"/>
          <w:b/>
          <w:i/>
        </w:rPr>
        <w:t xml:space="preserve">1 ods. 1 a 3 </w:t>
      </w:r>
      <w:r>
        <w:rPr>
          <w:rFonts w:ascii="Times New Roman" w:hAnsi="Times New Roman"/>
          <w:i/>
        </w:rPr>
        <w:t>smernice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Cs/>
        </w:rPr>
        <w:t>Európskeho parlamentu a Rady 2008/50/ES z 21. mája 2008 o kvalite okolitého ovzdušia a čistejšom ovzduší v Európe (ďalej len „</w:t>
      </w:r>
      <w:r>
        <w:rPr>
          <w:rFonts w:ascii="Times New Roman" w:hAnsi="Times New Roman"/>
          <w:b/>
          <w:bCs/>
        </w:rPr>
        <w:t>smernica</w:t>
      </w:r>
      <w:r>
        <w:rPr>
          <w:rFonts w:ascii="Times New Roman" w:hAnsi="Times New Roman"/>
          <w:bCs/>
        </w:rPr>
        <w:t>“).</w:t>
      </w:r>
    </w:p>
    <w:p w:rsidR="009B51F0" w:rsidP="009B51F0">
      <w:pPr>
        <w:widowControl/>
        <w:autoSpaceDE w:val="0"/>
        <w:autoSpaceDN w:val="0"/>
        <w:bidi w:val="0"/>
        <w:ind w:firstLine="720"/>
        <w:jc w:val="both"/>
        <w:rPr>
          <w:rFonts w:ascii="Times New Roman" w:hAnsi="Times New Roman"/>
          <w:bCs/>
        </w:rPr>
      </w:pP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K bodu 3 [§ 2 písm. r) a s)]</w:t>
      </w:r>
    </w:p>
    <w:p w:rsidR="009B51F0" w:rsidP="009B51F0">
      <w:pPr>
        <w:widowControl/>
        <w:bidi w:val="0"/>
        <w:jc w:val="both"/>
        <w:rPr>
          <w:rStyle w:val="PlaceholderText"/>
          <w:i/>
        </w:rPr>
      </w:pPr>
      <w:r>
        <w:rPr>
          <w:rStyle w:val="PlaceholderText"/>
          <w:b/>
        </w:rPr>
        <w:tab/>
      </w:r>
      <w:r>
        <w:rPr>
          <w:rStyle w:val="PlaceholderText"/>
        </w:rPr>
        <w:t xml:space="preserve">Doplnenie vymedzenia základných pojmov o definíciu nízkoemisnej zóny a </w:t>
      </w:r>
      <w:r>
        <w:rPr>
          <w:rFonts w:ascii="Times New Roman" w:hAnsi="Times New Roman"/>
        </w:rPr>
        <w:t>vidieckeho pozaďového miesta</w:t>
      </w:r>
      <w:r>
        <w:rPr>
          <w:rStyle w:val="PlaceholderText"/>
        </w:rPr>
        <w:t>.</w:t>
      </w:r>
    </w:p>
    <w:p w:rsidR="009B51F0" w:rsidP="009B51F0">
      <w:pPr>
        <w:widowControl/>
        <w:bidi w:val="0"/>
        <w:jc w:val="both"/>
        <w:rPr>
          <w:rStyle w:val="PlaceholderText"/>
        </w:rPr>
      </w:pPr>
      <w:r>
        <w:rPr>
          <w:rStyle w:val="PlaceholderText"/>
        </w:rPr>
        <w:t> </w:t>
      </w: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K bodu 4 [§ 8 ods. 7]</w:t>
      </w:r>
    </w:p>
    <w:p w:rsidR="009B51F0" w:rsidP="009B51F0">
      <w:pPr>
        <w:widowControl/>
        <w:bidi w:val="0"/>
        <w:jc w:val="both"/>
        <w:rPr>
          <w:rStyle w:val="PlaceholderText"/>
        </w:rPr>
      </w:pPr>
      <w:r>
        <w:rPr>
          <w:rStyle w:val="PlaceholderText"/>
          <w:b/>
        </w:rPr>
        <w:tab/>
      </w:r>
      <w:r>
        <w:rPr>
          <w:rStyle w:val="PlaceholderText"/>
        </w:rPr>
        <w:t xml:space="preserve">Doplnením textu v ods. 7 sa upresňujú kritériá </w:t>
      </w:r>
      <w:r>
        <w:rPr>
          <w:rFonts w:ascii="Times New Roman" w:hAnsi="Times New Roman"/>
          <w:lang w:eastAsia="en-US"/>
        </w:rPr>
        <w:t xml:space="preserve">merania kvality ovzdušia na vidieckych pozaďových miestach v zmysle požiadavky </w:t>
      </w:r>
      <w:r>
        <w:rPr>
          <w:rFonts w:ascii="Times New Roman" w:hAnsi="Times New Roman"/>
          <w:b/>
          <w:i/>
        </w:rPr>
        <w:t>článku 6 ods. 5 pism. c)</w:t>
      </w:r>
      <w:r>
        <w:rPr>
          <w:rStyle w:val="PlaceholderText"/>
        </w:rPr>
        <w:t> </w:t>
      </w:r>
      <w:r>
        <w:rPr>
          <w:rFonts w:ascii="Times New Roman" w:hAnsi="Times New Roman"/>
          <w:b/>
          <w:i/>
        </w:rPr>
        <w:t>smernice.</w:t>
      </w:r>
    </w:p>
    <w:p w:rsidR="009B51F0" w:rsidP="009B51F0">
      <w:pPr>
        <w:widowControl/>
        <w:bidi w:val="0"/>
        <w:jc w:val="both"/>
        <w:rPr>
          <w:rStyle w:val="PlaceholderText"/>
        </w:rPr>
      </w:pPr>
    </w:p>
    <w:p w:rsidR="009B51F0" w:rsidP="009B51F0">
      <w:pPr>
        <w:widowControl/>
        <w:bidi w:val="0"/>
        <w:ind w:firstLine="720"/>
        <w:jc w:val="both"/>
        <w:rPr>
          <w:rStyle w:val="PlaceholderText"/>
        </w:rPr>
      </w:pPr>
      <w:r>
        <w:rPr>
          <w:rFonts w:ascii="Times New Roman" w:hAnsi="Times New Roman"/>
        </w:rPr>
        <w:t xml:space="preserve">Pokiaľ ide o vhodné prípady koordinovania monitorovania so stratégiou monitorovania EMEP, </w:t>
      </w:r>
      <w:r>
        <w:rPr>
          <w:rStyle w:val="PlaceholderText"/>
        </w:rPr>
        <w:t>ktorá bola prijatá v roku 2003 (www.emep.int), na území SR sú v prevádzke 4 EMEP stanice (Chopok, Stará Lesná, Starina, Topoľníky).</w:t>
      </w:r>
    </w:p>
    <w:p w:rsidR="009B51F0" w:rsidP="009B51F0">
      <w:pPr>
        <w:widowControl/>
        <w:bidi w:val="0"/>
        <w:jc w:val="both"/>
        <w:rPr>
          <w:rStyle w:val="PlaceholderText"/>
        </w:rPr>
      </w:pP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K bodu 5 [§ 10 ods. 2]</w:t>
      </w:r>
    </w:p>
    <w:p w:rsidR="009B51F0" w:rsidP="009B51F0">
      <w:pPr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Style w:val="PlaceholderText"/>
          <w:b/>
        </w:rPr>
        <w:t xml:space="preserve">             </w:t>
      </w:r>
      <w:r>
        <w:rPr>
          <w:rStyle w:val="PlaceholderText"/>
        </w:rPr>
        <w:t xml:space="preserve">Doplnená požiadavka </w:t>
      </w:r>
      <w:r>
        <w:rPr>
          <w:rFonts w:ascii="Times New Roman" w:hAnsi="Times New Roman"/>
        </w:rPr>
        <w:t>zachovávať najlepšiu kvalitu okolitého ovzdušia prostredníctvom primeraných opatrení a vysokú úroveň ochrany životného prostredia a zdravia ľudí ako prioritu rovnocennú udržateľnému rozvoju</w:t>
      </w:r>
      <w:r>
        <w:rPr>
          <w:rFonts w:ascii="Times New Roman" w:hAnsi="Times New Roman"/>
          <w:lang w:eastAsia="en-US"/>
        </w:rPr>
        <w:t xml:space="preserve"> v zmysle požiadavky </w:t>
      </w:r>
      <w:r>
        <w:rPr>
          <w:rFonts w:ascii="Times New Roman" w:hAnsi="Times New Roman"/>
          <w:b/>
          <w:i/>
        </w:rPr>
        <w:t>článku 18</w:t>
      </w:r>
      <w:r>
        <w:rPr>
          <w:rStyle w:val="PlaceholderText"/>
        </w:rPr>
        <w:t> </w:t>
      </w:r>
      <w:r>
        <w:rPr>
          <w:rFonts w:ascii="Times New Roman" w:hAnsi="Times New Roman"/>
          <w:b/>
          <w:i/>
        </w:rPr>
        <w:t>smernice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9B51F0" w:rsidP="009B51F0">
      <w:pPr>
        <w:widowControl/>
        <w:bidi w:val="0"/>
        <w:jc w:val="both"/>
        <w:rPr>
          <w:rStyle w:val="PlaceholderText"/>
        </w:rPr>
      </w:pP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</w:rPr>
        <w:t> </w:t>
      </w:r>
      <w:r>
        <w:rPr>
          <w:rStyle w:val="PlaceholderText"/>
          <w:b/>
        </w:rPr>
        <w:t>K bodu 6 [§ 10  ods. 4]</w:t>
      </w:r>
    </w:p>
    <w:p w:rsidR="009B51F0" w:rsidP="009B51F0">
      <w:pPr>
        <w:widowControl/>
        <w:tabs>
          <w:tab w:val="left" w:pos="-426"/>
        </w:tabs>
        <w:bidi w:val="0"/>
        <w:adjustRightInd/>
        <w:ind w:left="142"/>
        <w:jc w:val="both"/>
        <w:rPr>
          <w:rFonts w:ascii="Times New Roman" w:hAnsi="Times New Roman"/>
          <w:lang w:eastAsia="en-US"/>
        </w:rPr>
      </w:pPr>
      <w:r>
        <w:rPr>
          <w:rStyle w:val="PlaceholderText"/>
          <w:b/>
        </w:rPr>
        <w:t xml:space="preserve">          </w:t>
      </w:r>
      <w:r>
        <w:rPr>
          <w:rStyle w:val="PlaceholderText"/>
        </w:rPr>
        <w:t xml:space="preserve">Okrem spoločného akčného plánu pre </w:t>
      </w:r>
      <w:r>
        <w:rPr>
          <w:rFonts w:ascii="Times New Roman" w:hAnsi="Times New Roman"/>
          <w:lang w:eastAsia="en-US"/>
        </w:rPr>
        <w:t xml:space="preserve">susediace zóny v členských štátoch Európskej únie, vypracuje okresný úrad v sídle kraja v spolupráci s príslušným orgánom dotknutého susedného členského štátu Európskej únie v prípade dohody aj program s dlhodobými opatreniami v zmysle požiadavky </w:t>
      </w:r>
      <w:r>
        <w:rPr>
          <w:rFonts w:ascii="Times New Roman" w:hAnsi="Times New Roman"/>
          <w:b/>
          <w:i/>
        </w:rPr>
        <w:t xml:space="preserve">článku 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</w:rPr>
        <w:t>25 ods. 1</w:t>
      </w:r>
      <w:r>
        <w:rPr>
          <w:rStyle w:val="PlaceholderText"/>
        </w:rPr>
        <w:t> </w:t>
      </w:r>
      <w:r>
        <w:rPr>
          <w:rFonts w:ascii="Times New Roman" w:hAnsi="Times New Roman"/>
          <w:b/>
          <w:i/>
        </w:rPr>
        <w:t>smernice.</w:t>
      </w:r>
    </w:p>
    <w:p w:rsidR="009B51F0" w:rsidP="009B51F0">
      <w:pPr>
        <w:widowControl/>
        <w:bidi w:val="0"/>
        <w:jc w:val="both"/>
        <w:rPr>
          <w:rStyle w:val="PlaceholderText"/>
          <w:b/>
        </w:rPr>
      </w:pP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K bodu 7 [§ 10 ods. 5]</w:t>
      </w:r>
    </w:p>
    <w:p w:rsidR="009B51F0" w:rsidP="009B51F0">
      <w:pPr>
        <w:widowControl/>
        <w:bidi w:val="0"/>
        <w:ind w:firstLine="720"/>
        <w:jc w:val="both"/>
        <w:rPr>
          <w:rFonts w:ascii="Times New Roman" w:hAnsi="Times New Roman"/>
        </w:rPr>
      </w:pPr>
      <w:r>
        <w:rPr>
          <w:rStyle w:val="PlaceholderText"/>
        </w:rPr>
        <w:t xml:space="preserve">Vetou, doplnenou v ods. 5 sa sprístupňujú verejnosti aj informácie, ak </w:t>
      </w:r>
      <w:r>
        <w:rPr>
          <w:rFonts w:ascii="Times New Roman" w:hAnsi="Times New Roman"/>
          <w:lang w:eastAsia="en-US"/>
        </w:rPr>
        <w:t xml:space="preserve">dôjde k prekročeniu informačného prahu alebo výstražného prahu v aglomeráciách alebo zónach v blízkosti štátnych hraníc v zmysle požiadavky </w:t>
      </w:r>
      <w:r>
        <w:rPr>
          <w:rFonts w:ascii="Times New Roman" w:hAnsi="Times New Roman"/>
          <w:b/>
          <w:i/>
        </w:rPr>
        <w:t xml:space="preserve">článku 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</w:rPr>
        <w:t>25 ods. 4</w:t>
      </w:r>
      <w:r>
        <w:rPr>
          <w:rStyle w:val="PlaceholderText"/>
        </w:rPr>
        <w:t> </w:t>
      </w:r>
      <w:r>
        <w:rPr>
          <w:rFonts w:ascii="Times New Roman" w:hAnsi="Times New Roman"/>
          <w:b/>
          <w:i/>
        </w:rPr>
        <w:t>smernice.</w:t>
      </w:r>
    </w:p>
    <w:p w:rsidR="009B51F0" w:rsidP="009B51F0">
      <w:pPr>
        <w:widowControl/>
        <w:bidi w:val="0"/>
        <w:jc w:val="both"/>
        <w:rPr>
          <w:rStyle w:val="PlaceholderText"/>
          <w:b/>
        </w:rPr>
      </w:pP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K bodu 8 [§ 10 ods. 6]</w:t>
      </w:r>
    </w:p>
    <w:p w:rsidR="009B51F0" w:rsidRPr="009B51F0" w:rsidP="009B51F0">
      <w:pPr>
        <w:widowControl/>
        <w:bidi w:val="0"/>
        <w:ind w:firstLine="720"/>
        <w:jc w:val="both"/>
        <w:rPr>
          <w:rFonts w:ascii="Times New Roman" w:hAnsi="Times New Roman"/>
          <w:i/>
        </w:rPr>
      </w:pPr>
      <w:r>
        <w:rPr>
          <w:rStyle w:val="PlaceholderText"/>
        </w:rPr>
        <w:t xml:space="preserve">Doplnením  textu v  ods. 6  bola plne </w:t>
      </w:r>
      <w:r>
        <w:rPr>
          <w:rFonts w:ascii="Times New Roman" w:hAnsi="Times New Roman"/>
          <w:lang w:eastAsia="en-US"/>
        </w:rPr>
        <w:t xml:space="preserve"> transponovaná  požiadavka smernice na spoluprácu s tretími krajinami pri informovaní verejnosti v zmysle požiadavky </w:t>
      </w:r>
      <w:r>
        <w:rPr>
          <w:rFonts w:ascii="Times New Roman" w:hAnsi="Times New Roman"/>
          <w:b/>
          <w:i/>
        </w:rPr>
        <w:t xml:space="preserve">článku 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</w:rPr>
        <w:t xml:space="preserve">25 ods. 5 </w:t>
      </w:r>
      <w:r>
        <w:rPr>
          <w:rFonts w:ascii="Times New Roman" w:hAnsi="Times New Roman"/>
          <w:b/>
          <w:i/>
        </w:rPr>
        <w:t>smernice.</w:t>
      </w:r>
    </w:p>
    <w:p w:rsidR="009B51F0" w:rsidP="009B51F0">
      <w:pPr>
        <w:widowControl/>
        <w:bidi w:val="0"/>
        <w:ind w:firstLine="720"/>
        <w:jc w:val="both"/>
        <w:rPr>
          <w:rFonts w:ascii="Times New Roman" w:hAnsi="Times New Roman"/>
          <w:i/>
          <w:color w:val="FF0000"/>
          <w:lang w:eastAsia="en-US"/>
        </w:rPr>
      </w:pPr>
    </w:p>
    <w:p w:rsidR="009B51F0" w:rsidP="009B51F0">
      <w:pPr>
        <w:widowControl/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K bodu 9 [§ 11 ods. 2] a k bodu 11 [§ 12 ods. 1]</w:t>
      </w:r>
    </w:p>
    <w:p w:rsidR="009B51F0" w:rsidP="009B51F0">
      <w:pPr>
        <w:widowControl/>
        <w:bidi w:val="0"/>
        <w:adjustRightInd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lang w:eastAsia="en-US"/>
        </w:rPr>
        <w:t>Bola doplnená požiadavka na potrebu uplatňovať medzu tolerancie podľa</w:t>
      </w:r>
      <w:r>
        <w:rPr>
          <w:rFonts w:ascii="Times New Roman" w:hAnsi="Times New Roman"/>
          <w:b/>
          <w:i/>
        </w:rPr>
        <w:t xml:space="preserve"> článku 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</w:rPr>
        <w:t xml:space="preserve">16 ods. 3 </w:t>
      </w:r>
      <w:r>
        <w:rPr>
          <w:rFonts w:ascii="Times New Roman" w:hAnsi="Times New Roman"/>
          <w:b/>
          <w:i/>
        </w:rPr>
        <w:t>smernice.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9B51F0" w:rsidP="009B51F0">
      <w:pPr>
        <w:widowControl/>
        <w:bidi w:val="0"/>
        <w:adjustRightInd/>
        <w:ind w:firstLine="720"/>
        <w:rPr>
          <w:rFonts w:ascii="Times New Roman" w:hAnsi="Times New Roman"/>
          <w:b/>
        </w:rPr>
      </w:pPr>
    </w:p>
    <w:p w:rsidR="009B51F0" w:rsidP="009B51F0">
      <w:pPr>
        <w:widowControl/>
        <w:bidi w:val="0"/>
        <w:adjustRightInd/>
        <w:ind w:firstLine="720"/>
        <w:rPr>
          <w:rFonts w:ascii="Times New Roman" w:hAnsi="Times New Roman"/>
          <w:lang w:eastAsia="en-US"/>
        </w:rPr>
      </w:pPr>
    </w:p>
    <w:p w:rsidR="009B51F0" w:rsidP="009B51F0">
      <w:pPr>
        <w:widowControl/>
        <w:bidi w:val="0"/>
        <w:adjustRightInd/>
        <w:ind w:firstLine="720"/>
        <w:rPr>
          <w:rFonts w:ascii="Times New Roman" w:hAnsi="Times New Roman"/>
          <w:b/>
          <w:lang w:eastAsia="en-US"/>
        </w:rPr>
      </w:pPr>
    </w:p>
    <w:p w:rsidR="009B51F0" w:rsidP="009B51F0">
      <w:pPr>
        <w:widowControl/>
        <w:bidi w:val="0"/>
        <w:adjustRightInd/>
        <w:rPr>
          <w:rStyle w:val="PlaceholderText"/>
        </w:rPr>
      </w:pPr>
      <w:r>
        <w:rPr>
          <w:rStyle w:val="PlaceholderText"/>
          <w:b/>
        </w:rPr>
        <w:t xml:space="preserve">K bodu 10 [§ 11 ods. 21] </w:t>
      </w:r>
    </w:p>
    <w:p w:rsidR="009B51F0" w:rsidP="009B51F0">
      <w:pPr>
        <w:widowControl/>
        <w:bidi w:val="0"/>
        <w:ind w:firstLine="720"/>
        <w:jc w:val="both"/>
        <w:rPr>
          <w:rFonts w:ascii="Times New Roman" w:hAnsi="Times New Roman"/>
        </w:rPr>
      </w:pPr>
      <w:r>
        <w:rPr>
          <w:rStyle w:val="PlaceholderText"/>
        </w:rPr>
        <w:t xml:space="preserve"> Doplnením ods. 21 do §11 je transponovaná požiadavka smernice na </w:t>
      </w:r>
      <w:r>
        <w:rPr>
          <w:rFonts w:ascii="Times New Roman" w:hAnsi="Times New Roman"/>
          <w:lang w:eastAsia="en-US"/>
        </w:rPr>
        <w:t xml:space="preserve">nákladovo efektívne opatrenia na účely dosiahnutia dlhodobých  cieľov  ako  súčasť programov alebo  integrovaných programov v oblastiach, v ktorých sú úrovne ozónu vyššie ako dlhodobé ciele v zmysle požiadavky </w:t>
      </w:r>
      <w:r>
        <w:rPr>
          <w:rFonts w:ascii="Times New Roman" w:hAnsi="Times New Roman"/>
          <w:b/>
          <w:i/>
        </w:rPr>
        <w:t xml:space="preserve">článku 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</w:rPr>
        <w:t>17 ods. 3</w:t>
      </w:r>
      <w:r>
        <w:rPr>
          <w:rStyle w:val="PlaceholderText"/>
        </w:rPr>
        <w:t> </w:t>
      </w:r>
      <w:r>
        <w:rPr>
          <w:rFonts w:ascii="Times New Roman" w:hAnsi="Times New Roman"/>
          <w:b/>
          <w:i/>
        </w:rPr>
        <w:t>smernice.</w:t>
      </w:r>
    </w:p>
    <w:p w:rsidR="009B51F0" w:rsidP="009B51F0">
      <w:pPr>
        <w:widowControl/>
        <w:tabs>
          <w:tab w:val="left" w:pos="-426"/>
        </w:tabs>
        <w:bidi w:val="0"/>
        <w:adjustRightInd/>
        <w:jc w:val="both"/>
        <w:rPr>
          <w:rFonts w:ascii="Times New Roman" w:hAnsi="Times New Roman"/>
          <w:lang w:eastAsia="en-US"/>
        </w:rPr>
      </w:pPr>
    </w:p>
    <w:p w:rsidR="009B51F0" w:rsidP="009B51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Style w:val="PlaceholderText"/>
          <w:b/>
        </w:rPr>
        <w:t>K bodu 12 [§ 27 ods. 1 písm. a)]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1F0" w:rsidP="009B51F0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Opatrenia prijaté v rámci programov pre zlepšenie kvality ovzdušia boli zahrnuté do územného plánovania obcí na základe požiadavky Únie miest Slovenska v rámci medzirezortného pripomienkovania.</w:t>
      </w:r>
    </w:p>
    <w:p w:rsidR="009B51F0" w:rsidP="009B51F0">
      <w:pPr>
        <w:widowControl/>
        <w:tabs>
          <w:tab w:val="left" w:pos="-426"/>
        </w:tabs>
        <w:bidi w:val="0"/>
        <w:adjustRightInd/>
        <w:jc w:val="both"/>
        <w:rPr>
          <w:rFonts w:ascii="Times New Roman" w:hAnsi="Times New Roman"/>
          <w:lang w:eastAsia="en-US"/>
        </w:rPr>
      </w:pPr>
    </w:p>
    <w:p w:rsidR="009B51F0" w:rsidP="009B51F0">
      <w:pPr>
        <w:widowControl/>
        <w:bidi w:val="0"/>
        <w:adjustRightInd/>
        <w:rPr>
          <w:rStyle w:val="PlaceholderText"/>
          <w:b/>
        </w:rPr>
      </w:pPr>
      <w:r>
        <w:rPr>
          <w:rStyle w:val="PlaceholderText"/>
          <w:b/>
        </w:rPr>
        <w:t xml:space="preserve">K bodu 13 [§ 27 ods. 1 písm. h). a i)] </w:t>
      </w:r>
    </w:p>
    <w:p w:rsidR="009B51F0" w:rsidP="009B51F0">
      <w:pPr>
        <w:widowControl/>
        <w:bidi w:val="0"/>
        <w:adjustRightInd/>
        <w:jc w:val="both"/>
        <w:rPr>
          <w:rFonts w:ascii="Times New Roman" w:hAnsi="Times New Roman"/>
        </w:rPr>
      </w:pPr>
      <w:r>
        <w:rPr>
          <w:rStyle w:val="PlaceholderText"/>
        </w:rPr>
        <w:t xml:space="preserve">               Novela zákona poskytuje obciam možnosť </w:t>
      </w:r>
      <w:r>
        <w:rPr>
          <w:rFonts w:ascii="Times New Roman" w:hAnsi="Times New Roman"/>
        </w:rPr>
        <w:t>všeobecne záväzným nariadením vymedziť na svojom území alebo jeho časti nízkoemisné zóny s obmedzením prevádzky motorových vozidiel (vymedzenie</w:t>
      </w:r>
      <w:r>
        <w:rPr>
          <w:rStyle w:val="PlaceholderText"/>
        </w:rPr>
        <w:t xml:space="preserve"> takýchto zón je jedným z možných opatrení pre zlepšenie kvality ovzdušia, najmä v mestách s hustou automobilovou prevádzkou) ako aj </w:t>
      </w:r>
      <w:r>
        <w:rPr>
          <w:rFonts w:ascii="Times New Roman" w:hAnsi="Times New Roman"/>
        </w:rPr>
        <w:t>zóny s obmedzením alebo vylúčením výstavby nových spaľovacích zariadení, ktoré majú povahu malých a stredných stacionárnych zdrojov, ak je takéto obmedzenie alebo vylúčenie výstavby v súlade s koncepciou rozvoja obce v oblasti tepelnej energetiky.</w:t>
      </w:r>
    </w:p>
    <w:p w:rsidR="009B51F0" w:rsidP="009B51F0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9B51F0" w:rsidP="009B51F0">
      <w:pPr>
        <w:widowControl/>
        <w:bidi w:val="0"/>
        <w:adjustRightInd/>
        <w:jc w:val="both"/>
        <w:rPr>
          <w:rStyle w:val="PlaceholderText"/>
          <w:b/>
        </w:rPr>
      </w:pPr>
      <w:r>
        <w:rPr>
          <w:rStyle w:val="PlaceholderText"/>
          <w:b/>
        </w:rPr>
        <w:t>K bodu 14 [§ 33 písm. m)]</w:t>
      </w:r>
    </w:p>
    <w:p w:rsidR="009B51F0" w:rsidP="009B51F0">
      <w:pPr>
        <w:widowControl/>
        <w:bidi w:val="0"/>
        <w:adjustRightInd/>
        <w:jc w:val="both"/>
        <w:rPr>
          <w:rFonts w:ascii="Times New Roman" w:hAnsi="Times New Roman"/>
        </w:rPr>
      </w:pPr>
      <w:r>
        <w:rPr>
          <w:rStyle w:val="PlaceholderText"/>
        </w:rPr>
        <w:t xml:space="preserve">                 Dopĺňa sa splnomocňovacie ustanovenie o možnosť vydania vykonávacieho predpisu upravujúceho podrobnosti o podmienkach na vymedzenie nízkoemisných zón.</w:t>
      </w:r>
    </w:p>
    <w:p w:rsidR="009B51F0" w:rsidP="009B51F0">
      <w:pPr>
        <w:autoSpaceDE w:val="0"/>
        <w:autoSpaceDN w:val="0"/>
        <w:bidi w:val="0"/>
        <w:rPr>
          <w:rFonts w:ascii="Times New Roman" w:hAnsi="Times New Roman"/>
        </w:rPr>
      </w:pPr>
    </w:p>
    <w:p w:rsidR="009B51F0" w:rsidP="009B51F0">
      <w:pPr>
        <w:bidi w:val="0"/>
        <w:jc w:val="both"/>
        <w:rPr>
          <w:rFonts w:ascii="Times New Roman" w:hAnsi="Times New Roman"/>
        </w:rPr>
      </w:pPr>
    </w:p>
    <w:p w:rsidR="009B51F0" w:rsidP="009B51F0">
      <w:pPr>
        <w:tabs>
          <w:tab w:val="left" w:pos="1418"/>
        </w:tabs>
        <w:bidi w:val="0"/>
        <w:jc w:val="both"/>
        <w:rPr>
          <w:rStyle w:val="PlaceholderText"/>
          <w:b/>
        </w:rPr>
      </w:pPr>
      <w:r>
        <w:rPr>
          <w:rStyle w:val="PlaceholderText"/>
          <w:b/>
        </w:rPr>
        <w:t>Čl. II</w:t>
      </w:r>
    </w:p>
    <w:p w:rsidR="009B51F0" w:rsidP="009B51F0">
      <w:pPr>
        <w:tabs>
          <w:tab w:val="left" w:pos="1418"/>
        </w:tabs>
        <w:bidi w:val="0"/>
        <w:jc w:val="both"/>
        <w:rPr>
          <w:rStyle w:val="PlaceholderText"/>
          <w:b/>
        </w:rPr>
      </w:pP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Navrhuje sa dátum nadobudnutia účinnosti vzhľadom na dĺžku legislatívneho procesu.</w:t>
      </w: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Bratislava  26. augusta 2015</w:t>
      </w: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</w:p>
    <w:p w:rsidR="009B51F0" w:rsidP="009B51F0">
      <w:pPr>
        <w:tabs>
          <w:tab w:val="left" w:pos="1418"/>
        </w:tabs>
        <w:bidi w:val="0"/>
        <w:jc w:val="both"/>
        <w:rPr>
          <w:rFonts w:ascii="Times New Roman" w:hAnsi="Times New Roman"/>
          <w:lang w:eastAsia="en-US"/>
        </w:rPr>
      </w:pPr>
    </w:p>
    <w:p w:rsidR="00D004FA">
      <w:pPr>
        <w:bidi w:val="0"/>
        <w:rPr>
          <w:rFonts w:ascii="Times New Roman" w:hAnsi="Times New Roman"/>
        </w:rPr>
      </w:pPr>
    </w:p>
    <w:p w:rsidR="009B51F0" w:rsidRPr="007A5DAA" w:rsidP="009B51F0">
      <w:pPr>
        <w:tabs>
          <w:tab w:val="center" w:pos="4536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7A5DAA">
        <w:rPr>
          <w:rFonts w:ascii="Times New Roman" w:hAnsi="Times New Roman"/>
          <w:b/>
        </w:rPr>
        <w:t>Robert Fico</w:t>
      </w:r>
      <w:r w:rsidRPr="007A5DAA" w:rsidR="005F76FC">
        <w:rPr>
          <w:rFonts w:ascii="Times New Roman" w:hAnsi="Times New Roman"/>
          <w:b/>
        </w:rPr>
        <w:t xml:space="preserve"> v. r.</w:t>
      </w:r>
      <w:r w:rsidRPr="007A5DAA">
        <w:rPr>
          <w:rFonts w:ascii="Times New Roman" w:hAnsi="Times New Roman"/>
          <w:b/>
        </w:rPr>
        <w:t xml:space="preserve"> </w:t>
      </w:r>
    </w:p>
    <w:p w:rsidR="009B51F0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predseda vlády</w:t>
      </w:r>
    </w:p>
    <w:p w:rsidR="009B51F0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Slovenskej republiky</w:t>
      </w:r>
    </w:p>
    <w:p w:rsidR="009B51F0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</w:p>
    <w:p w:rsidR="009B51F0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</w:p>
    <w:p w:rsidR="009B51F0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</w:p>
    <w:p w:rsidR="00AA10E4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</w:p>
    <w:p w:rsidR="009B51F0" w:rsidRPr="007A5DAA" w:rsidP="009B51F0">
      <w:pPr>
        <w:tabs>
          <w:tab w:val="center" w:pos="4536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7A5DAA">
        <w:rPr>
          <w:rFonts w:ascii="Times New Roman" w:hAnsi="Times New Roman"/>
          <w:b/>
        </w:rPr>
        <w:t xml:space="preserve">Peter Žiga </w:t>
      </w:r>
      <w:r w:rsidRPr="007A5DAA" w:rsidR="005F76FC">
        <w:rPr>
          <w:rFonts w:ascii="Times New Roman" w:hAnsi="Times New Roman"/>
          <w:b/>
        </w:rPr>
        <w:t>v. r.</w:t>
      </w:r>
    </w:p>
    <w:p w:rsidR="009B51F0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 životného prostredia</w:t>
      </w:r>
    </w:p>
    <w:p w:rsidR="009B51F0" w:rsidP="009B51F0">
      <w:pPr>
        <w:tabs>
          <w:tab w:val="center" w:pos="453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Slovenskej republiky</w:t>
      </w:r>
    </w:p>
    <w:p w:rsidR="009B51F0">
      <w:pPr>
        <w:bidi w:val="0"/>
        <w:rPr>
          <w:rFonts w:ascii="Times New Roman" w:hAnsi="Times New Roman"/>
        </w:rPr>
      </w:pPr>
    </w:p>
    <w:p w:rsidR="009B51F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B51F0"/>
    <w:rsid w:val="005F76FC"/>
    <w:rsid w:val="007A5DAA"/>
    <w:rsid w:val="007F197C"/>
    <w:rsid w:val="009B51F0"/>
    <w:rsid w:val="00AA10E4"/>
    <w:rsid w:val="00D00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F0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51F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B51F0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E4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0E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570</Words>
  <Characters>3253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Gašparíková, Jarmila</cp:lastModifiedBy>
  <cp:revision>2</cp:revision>
  <cp:lastPrinted>2015-08-26T14:16:00Z</cp:lastPrinted>
  <dcterms:created xsi:type="dcterms:W3CDTF">2015-08-28T16:00:00Z</dcterms:created>
  <dcterms:modified xsi:type="dcterms:W3CDTF">2015-08-28T16:00:00Z</dcterms:modified>
</cp:coreProperties>
</file>