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ackground w:color="ffffff">
    <v:background id="_x0000_s1025" o:bwmode="white" filled="t"/>
  </w:background>
  <w:body>
    <w:p w:rsidR="00370DA5">
      <w:pPr>
        <w:bidi w:val="0"/>
        <w:spacing w:after="0" w:line="240" w:lineRule="auto"/>
        <w:contextualSpacing w:val="0"/>
        <w:jc w:val="center"/>
      </w:pPr>
      <w:r w:rsidR="00DD2B7A">
        <w:rPr>
          <w:rFonts w:ascii="Times New Roman" w:hAnsi="Times New Roman" w:cs="Times New Roman"/>
          <w:b/>
        </w:rPr>
        <w:t>Návrh</w:t>
      </w:r>
    </w:p>
    <w:p w:rsidR="00370DA5">
      <w:pPr>
        <w:bidi w:val="0"/>
        <w:spacing w:after="0" w:line="240" w:lineRule="auto"/>
        <w:contextualSpacing w:val="0"/>
        <w:jc w:val="center"/>
      </w:pPr>
    </w:p>
    <w:p w:rsidR="00370DA5">
      <w:pPr>
        <w:bidi w:val="0"/>
        <w:spacing w:after="0" w:line="240" w:lineRule="auto"/>
        <w:contextualSpacing w:val="0"/>
        <w:jc w:val="center"/>
      </w:pPr>
      <w:r w:rsidR="00DD2B7A">
        <w:rPr>
          <w:rFonts w:ascii="Times New Roman" w:hAnsi="Times New Roman" w:cs="Times New Roman"/>
          <w:b/>
        </w:rPr>
        <w:t>NARIADENIE VLÁDY</w:t>
      </w:r>
    </w:p>
    <w:p w:rsidR="00370DA5">
      <w:pPr>
        <w:bidi w:val="0"/>
        <w:spacing w:after="0" w:line="240" w:lineRule="auto"/>
        <w:contextualSpacing w:val="0"/>
        <w:jc w:val="center"/>
      </w:pPr>
      <w:r w:rsidR="00DD2B7A">
        <w:rPr>
          <w:rFonts w:ascii="Times New Roman" w:hAnsi="Times New Roman" w:cs="Times New Roman"/>
          <w:b/>
        </w:rPr>
        <w:t>Slovenskej republiky</w:t>
      </w:r>
    </w:p>
    <w:p w:rsidR="00370DA5">
      <w:pPr>
        <w:bidi w:val="0"/>
        <w:spacing w:after="0" w:line="240" w:lineRule="auto"/>
        <w:contextualSpacing w:val="0"/>
        <w:jc w:val="center"/>
      </w:pPr>
      <w:r w:rsidR="00DD2B7A">
        <w:rPr>
          <w:rFonts w:ascii="Times New Roman" w:hAnsi="Times New Roman" w:cs="Times New Roman"/>
          <w:b/>
        </w:rPr>
        <w:t>z ... 2015</w:t>
      </w:r>
    </w:p>
    <w:p w:rsidR="00370DA5">
      <w:pPr>
        <w:bidi w:val="0"/>
        <w:spacing w:after="0" w:line="240" w:lineRule="auto"/>
        <w:contextualSpacing w:val="0"/>
        <w:jc w:val="center"/>
      </w:pPr>
      <w:r w:rsidR="00DD2B7A">
        <w:rPr>
          <w:rFonts w:ascii="Times New Roman" w:hAnsi="Times New Roman" w:cs="Times New Roman"/>
          <w:b/>
        </w:rPr>
        <w:t>o metodiku zisťovania hodnôt a parametrov na výpočet percentuálneho podielu uznaného športu podľa vzorca</w:t>
      </w:r>
    </w:p>
    <w:p w:rsidR="00370DA5">
      <w:pPr>
        <w:bidi w:val="0"/>
        <w:spacing w:after="0" w:line="240" w:lineRule="auto"/>
        <w:contextualSpacing w:val="0"/>
      </w:pPr>
    </w:p>
    <w:p w:rsidR="00370DA5">
      <w:pPr>
        <w:bidi w:val="0"/>
        <w:spacing w:after="0" w:line="240" w:lineRule="auto"/>
        <w:contextualSpacing w:val="0"/>
      </w:pPr>
      <w:r w:rsidR="00DD2B7A">
        <w:rPr>
          <w:rFonts w:ascii="Times New Roman" w:hAnsi="Times New Roman" w:cs="Times New Roman"/>
        </w:rPr>
        <w:t xml:space="preserve">     </w:t>
        <w:tab/>
        <w:t xml:space="preserve">  </w:t>
      </w:r>
    </w:p>
    <w:p w:rsidR="00370DA5">
      <w:pPr>
        <w:bidi w:val="0"/>
        <w:spacing w:after="0" w:line="240" w:lineRule="auto"/>
        <w:contextualSpacing w:val="0"/>
        <w:jc w:val="both"/>
      </w:pPr>
      <w:r w:rsidR="00DD2B7A">
        <w:rPr>
          <w:rFonts w:ascii="Times New Roman" w:hAnsi="Times New Roman" w:cs="Times New Roman"/>
        </w:rPr>
        <w:t>Vláda Slovenskej republiky (ďalej len „vláda“) podľa § 68 ods. 4 písm. zákona č. .../2015 Z. z. o športe a o zmene a doplnení niektorých zákonov (ďalej len „zákon“) nariaďuje:</w:t>
      </w:r>
    </w:p>
    <w:p w:rsidR="00370DA5">
      <w:pPr>
        <w:bidi w:val="0"/>
        <w:spacing w:after="0" w:line="240" w:lineRule="auto"/>
        <w:contextualSpacing w:val="0"/>
      </w:pPr>
    </w:p>
    <w:p w:rsidR="00370DA5">
      <w:pPr>
        <w:bidi w:val="0"/>
        <w:spacing w:after="0" w:line="240" w:lineRule="auto"/>
        <w:contextualSpacing w:val="0"/>
        <w:jc w:val="center"/>
      </w:pPr>
      <w:r w:rsidR="00DD2B7A">
        <w:rPr>
          <w:rFonts w:ascii="Times New Roman" w:hAnsi="Times New Roman" w:cs="Times New Roman"/>
        </w:rPr>
        <w:t>§ 1</w:t>
      </w:r>
    </w:p>
    <w:p w:rsidR="00370DA5">
      <w:pPr>
        <w:bidi w:val="0"/>
        <w:spacing w:after="0" w:line="240" w:lineRule="auto"/>
        <w:contextualSpacing w:val="0"/>
        <w:jc w:val="center"/>
      </w:pPr>
    </w:p>
    <w:p w:rsidR="00370DA5">
      <w:pPr>
        <w:bidi w:val="0"/>
        <w:spacing w:after="0" w:line="240" w:lineRule="auto"/>
        <w:contextualSpacing w:val="0"/>
        <w:jc w:val="center"/>
      </w:pPr>
    </w:p>
    <w:p w:rsidR="00370DA5">
      <w:pPr>
        <w:numPr>
          <w:numId w:val="4"/>
        </w:numPr>
        <w:bidi w:val="0"/>
        <w:spacing w:after="120" w:line="240" w:lineRule="auto"/>
        <w:ind w:hanging="360"/>
        <w:jc w:val="both"/>
        <w:rPr>
          <w:rFonts w:ascii="Times New Roman" w:hAnsi="Times New Roman" w:cs="Times New Roman"/>
        </w:rPr>
      </w:pPr>
      <w:r w:rsidR="00DD2B7A">
        <w:rPr>
          <w:rFonts w:ascii="Times New Roman" w:hAnsi="Times New Roman" w:cs="Times New Roman"/>
        </w:rPr>
        <w:t>Stanovenie hodnoty premenných A (percentuálne vyjadrenie váhy dosiahnutého športového úspechu), B (percentuálne vyjadrenie váhy domáceho záujmu o šport) a C (percentuálne vyjadrenie váhy zahraničného záujmu o šport)</w:t>
      </w:r>
    </w:p>
    <w:p w:rsidR="00370DA5">
      <w:pPr>
        <w:bidi w:val="0"/>
        <w:spacing w:after="100" w:line="240" w:lineRule="auto"/>
        <w:ind w:left="560"/>
        <w:contextualSpacing w:val="0"/>
        <w:jc w:val="both"/>
      </w:pPr>
      <w:r w:rsidR="00DD2B7A">
        <w:rPr>
          <w:rFonts w:ascii="Times New Roman" w:hAnsi="Times New Roman" w:cs="Times New Roman"/>
        </w:rPr>
        <w:t xml:space="preserve">  </w:t>
      </w:r>
      <w:r w:rsidR="00DD2B7A">
        <w:rPr>
          <w:rFonts w:ascii="Times New Roman" w:hAnsi="Times New Roman" w:cs="Times New Roman"/>
          <w:b/>
        </w:rPr>
        <w:t xml:space="preserve"> A = 0,45</w:t>
      </w:r>
    </w:p>
    <w:p w:rsidR="00370DA5">
      <w:pPr>
        <w:bidi w:val="0"/>
        <w:spacing w:after="100" w:line="240" w:lineRule="auto"/>
        <w:ind w:left="560"/>
        <w:contextualSpacing w:val="0"/>
        <w:jc w:val="both"/>
      </w:pPr>
      <w:r w:rsidR="00DD2B7A">
        <w:rPr>
          <w:rFonts w:ascii="Times New Roman" w:hAnsi="Times New Roman" w:cs="Times New Roman"/>
          <w:b/>
        </w:rPr>
        <w:t xml:space="preserve">   B = 0,8</w:t>
      </w:r>
    </w:p>
    <w:p w:rsidR="00370DA5">
      <w:pPr>
        <w:bidi w:val="0"/>
        <w:spacing w:after="100" w:line="240" w:lineRule="auto"/>
        <w:ind w:left="560"/>
        <w:contextualSpacing w:val="0"/>
        <w:jc w:val="both"/>
      </w:pPr>
      <w:r w:rsidR="00DD2B7A">
        <w:rPr>
          <w:rFonts w:ascii="Times New Roman" w:hAnsi="Times New Roman" w:cs="Times New Roman"/>
          <w:b/>
        </w:rPr>
        <w:t xml:space="preserve">   C = 0,2</w:t>
      </w:r>
    </w:p>
    <w:p w:rsidR="00370DA5">
      <w:pPr>
        <w:bidi w:val="0"/>
        <w:spacing w:after="100" w:line="240" w:lineRule="auto"/>
        <w:contextualSpacing w:val="0"/>
        <w:jc w:val="both"/>
      </w:pPr>
    </w:p>
    <w:p w:rsidR="00370DA5">
      <w:pPr>
        <w:numPr>
          <w:numId w:val="4"/>
        </w:numPr>
        <w:bidi w:val="0"/>
        <w:spacing w:after="100" w:line="240" w:lineRule="auto"/>
        <w:ind w:hanging="360"/>
        <w:jc w:val="both"/>
        <w:rPr>
          <w:rFonts w:ascii="Times New Roman" w:hAnsi="Times New Roman" w:cs="Times New Roman"/>
          <w:color w:val="FF0000"/>
        </w:rPr>
      </w:pPr>
      <w:r w:rsidR="00DD2B7A">
        <w:rPr>
          <w:rFonts w:ascii="Times New Roman" w:hAnsi="Times New Roman" w:cs="Times New Roman"/>
          <w:color w:val="FF0000"/>
        </w:rPr>
        <w:t>Stanovenie váh pre jednotlivé športové disciplíny a kategórie v rámci jedného športu</w:t>
      </w:r>
    </w:p>
    <w:p w:rsidR="00370DA5">
      <w:pPr>
        <w:numPr>
          <w:numId w:val="7"/>
        </w:numPr>
        <w:bidi w:val="0"/>
        <w:spacing w:after="100" w:line="240" w:lineRule="auto"/>
        <w:ind w:hanging="360"/>
        <w:jc w:val="both"/>
        <w:rPr>
          <w:rFonts w:ascii="Times New Roman" w:hAnsi="Times New Roman" w:cs="Times New Roman"/>
          <w:b/>
          <w:color w:val="FF0000"/>
        </w:rPr>
      </w:pPr>
    </w:p>
    <w:p w:rsidR="00370DA5">
      <w:pPr>
        <w:numPr>
          <w:numId w:val="7"/>
        </w:numPr>
        <w:bidi w:val="0"/>
        <w:spacing w:after="100" w:line="240" w:lineRule="auto"/>
        <w:ind w:hanging="360"/>
        <w:jc w:val="both"/>
        <w:rPr>
          <w:rFonts w:ascii="Times New Roman" w:hAnsi="Times New Roman" w:cs="Times New Roman"/>
          <w:b/>
          <w:color w:val="FF0000"/>
        </w:rPr>
      </w:pPr>
    </w:p>
    <w:p w:rsidR="00370DA5">
      <w:pPr>
        <w:numPr>
          <w:numId w:val="7"/>
        </w:numPr>
        <w:bidi w:val="0"/>
        <w:spacing w:after="100" w:line="240" w:lineRule="auto"/>
        <w:ind w:hanging="360"/>
        <w:jc w:val="both"/>
        <w:rPr>
          <w:rFonts w:ascii="Times New Roman" w:hAnsi="Times New Roman" w:cs="Times New Roman"/>
          <w:b/>
          <w:color w:val="FF0000"/>
        </w:rPr>
      </w:pPr>
    </w:p>
    <w:p w:rsidR="00370DA5">
      <w:pPr>
        <w:bidi w:val="0"/>
        <w:spacing w:after="100" w:line="240" w:lineRule="auto"/>
        <w:contextualSpacing w:val="0"/>
        <w:jc w:val="both"/>
      </w:pPr>
      <w:r w:rsidR="00DD2B7A">
        <w:rPr>
          <w:rFonts w:ascii="Times New Roman" w:hAnsi="Times New Roman" w:cs="Times New Roman"/>
        </w:rPr>
        <w:tab/>
      </w:r>
      <w:r w:rsidR="00DD2B7A">
        <w:rPr>
          <w:rFonts w:ascii="Times New Roman" w:hAnsi="Times New Roman" w:cs="Times New Roman"/>
          <w:color w:val="FF0000"/>
        </w:rPr>
        <w:t>Váhy sa stanovujú s ohľadom na</w:t>
      </w:r>
    </w:p>
    <w:p w:rsidR="00370DA5">
      <w:pPr>
        <w:numPr>
          <w:numId w:val="1"/>
        </w:numPr>
        <w:bidi w:val="0"/>
        <w:spacing w:after="100" w:line="240" w:lineRule="auto"/>
        <w:ind w:hanging="360"/>
        <w:jc w:val="both"/>
        <w:rPr>
          <w:rFonts w:ascii="Times New Roman" w:hAnsi="Times New Roman" w:cs="Times New Roman"/>
          <w:color w:val="FF0000"/>
        </w:rPr>
      </w:pPr>
      <w:r w:rsidR="00DD2B7A">
        <w:rPr>
          <w:rFonts w:ascii="Times New Roman" w:hAnsi="Times New Roman" w:cs="Times New Roman"/>
          <w:color w:val="FF0000"/>
        </w:rPr>
        <w:t>veľkosť členskej základne</w:t>
      </w:r>
    </w:p>
    <w:p w:rsidR="00370DA5">
      <w:pPr>
        <w:numPr>
          <w:numId w:val="1"/>
        </w:numPr>
        <w:bidi w:val="0"/>
        <w:spacing w:after="100" w:line="240" w:lineRule="auto"/>
        <w:ind w:hanging="360"/>
        <w:jc w:val="both"/>
        <w:rPr>
          <w:rFonts w:ascii="Times New Roman" w:hAnsi="Times New Roman" w:cs="Times New Roman"/>
          <w:color w:val="FF0000"/>
        </w:rPr>
      </w:pPr>
      <w:r w:rsidR="00DD2B7A">
        <w:rPr>
          <w:rFonts w:ascii="Times New Roman" w:hAnsi="Times New Roman" w:cs="Times New Roman"/>
          <w:color w:val="FF0000"/>
        </w:rPr>
        <w:t>spoločenský význam</w:t>
      </w:r>
    </w:p>
    <w:p w:rsidR="00370DA5">
      <w:pPr>
        <w:bidi w:val="0"/>
        <w:spacing w:after="100" w:line="240" w:lineRule="auto"/>
        <w:contextualSpacing w:val="0"/>
        <w:jc w:val="both"/>
      </w:pPr>
    </w:p>
    <w:p w:rsidR="00370DA5">
      <w:pPr>
        <w:numPr>
          <w:numId w:val="4"/>
        </w:numPr>
        <w:bidi w:val="0"/>
        <w:spacing w:after="120" w:line="240" w:lineRule="auto"/>
        <w:ind w:hanging="360"/>
        <w:jc w:val="both"/>
        <w:rPr>
          <w:rFonts w:ascii="Times New Roman" w:hAnsi="Times New Roman" w:cs="Times New Roman"/>
        </w:rPr>
      </w:pPr>
      <w:r w:rsidR="00DD2B7A">
        <w:rPr>
          <w:rFonts w:ascii="Times New Roman" w:hAnsi="Times New Roman" w:cs="Times New Roman"/>
        </w:rPr>
        <w:t>Stanovenie maximálneho percentuálneho podielu príspevku pre jeden národný športový zväz z celkového objemu finančných prostriedkov prerozdeľovaných podľa prílohy č. 3</w:t>
      </w:r>
    </w:p>
    <w:p w:rsidR="00370DA5">
      <w:pPr>
        <w:numPr>
          <w:numId w:val="2"/>
        </w:numPr>
        <w:bidi w:val="0"/>
        <w:spacing w:after="100" w:line="240" w:lineRule="auto"/>
        <w:ind w:hanging="360"/>
        <w:jc w:val="both"/>
        <w:rPr>
          <w:rFonts w:ascii="Times New Roman" w:hAnsi="Times New Roman" w:cs="Times New Roman"/>
          <w:b/>
        </w:rPr>
      </w:pPr>
      <w:r w:rsidR="00DD2B7A">
        <w:rPr>
          <w:rFonts w:ascii="Times New Roman" w:hAnsi="Times New Roman" w:cs="Times New Roman"/>
          <w:b/>
        </w:rPr>
        <w:t>maximálna výška príspevku pre 1 NŠZ = 25 %</w:t>
      </w:r>
    </w:p>
    <w:p w:rsidR="00370DA5">
      <w:pPr>
        <w:bidi w:val="0"/>
        <w:spacing w:after="120" w:line="240" w:lineRule="auto"/>
        <w:contextualSpacing w:val="0"/>
        <w:jc w:val="both"/>
      </w:pPr>
    </w:p>
    <w:p w:rsidR="00370DA5">
      <w:pPr>
        <w:numPr>
          <w:numId w:val="4"/>
        </w:numPr>
        <w:bidi w:val="0"/>
        <w:spacing w:after="120" w:line="240" w:lineRule="auto"/>
        <w:ind w:hanging="360"/>
        <w:jc w:val="both"/>
        <w:rPr>
          <w:rFonts w:ascii="Times New Roman" w:hAnsi="Times New Roman" w:cs="Times New Roman"/>
        </w:rPr>
      </w:pPr>
      <w:r w:rsidR="00DD2B7A">
        <w:rPr>
          <w:rFonts w:ascii="Times New Roman" w:hAnsi="Times New Roman" w:cs="Times New Roman"/>
        </w:rPr>
        <w:t>Stanovenie maximálneho medziročného percentuálneho poklesu nominálnej výšky príspevku pre jeden národný športový zväz z finančných prostriedkov prerozdeľovaných podľa prílohy č. 3</w:t>
      </w:r>
    </w:p>
    <w:p w:rsidR="00370DA5">
      <w:pPr>
        <w:numPr>
          <w:numId w:val="2"/>
        </w:numPr>
        <w:bidi w:val="0"/>
        <w:spacing w:after="100" w:line="240" w:lineRule="auto"/>
        <w:ind w:hanging="360"/>
        <w:jc w:val="both"/>
        <w:rPr>
          <w:rFonts w:ascii="Times New Roman" w:hAnsi="Times New Roman" w:cs="Times New Roman"/>
          <w:b/>
        </w:rPr>
      </w:pPr>
      <w:r w:rsidR="00DD2B7A">
        <w:rPr>
          <w:rFonts w:ascii="Times New Roman" w:hAnsi="Times New Roman" w:cs="Times New Roman"/>
          <w:b/>
        </w:rPr>
        <w:t>maximálny medziročný pokles výšky príspevku pre 1 NŠZ = 25 %</w:t>
      </w:r>
    </w:p>
    <w:p w:rsidR="00370DA5">
      <w:pPr>
        <w:bidi w:val="0"/>
        <w:spacing w:after="100" w:line="240" w:lineRule="auto"/>
        <w:contextualSpacing w:val="0"/>
        <w:jc w:val="both"/>
      </w:pPr>
    </w:p>
    <w:p w:rsidR="00370DA5">
      <w:pPr>
        <w:numPr>
          <w:numId w:val="4"/>
        </w:numPr>
        <w:bidi w:val="0"/>
        <w:spacing w:after="100" w:line="240" w:lineRule="auto"/>
        <w:ind w:hanging="360"/>
        <w:jc w:val="both"/>
        <w:rPr>
          <w:rFonts w:ascii="Times New Roman" w:hAnsi="Times New Roman" w:cs="Times New Roman"/>
        </w:rPr>
      </w:pPr>
      <w:r w:rsidR="00DD2B7A">
        <w:rPr>
          <w:rFonts w:ascii="Times New Roman" w:hAnsi="Times New Roman" w:cs="Times New Roman"/>
        </w:rPr>
        <w:t>Stanovenie počtu výsledkov športovcov daného športu, dosiahnutých v posledných štyroch rokoch, ktoré sa použijú pre výpočet postavenia Slovenska vo svete v danom individuálnom športe podľa prílohy č. 4</w:t>
      </w:r>
    </w:p>
    <w:p w:rsidR="00370DA5">
      <w:pPr>
        <w:numPr>
          <w:numId w:val="5"/>
        </w:numPr>
        <w:bidi w:val="0"/>
        <w:spacing w:after="100" w:line="240" w:lineRule="auto"/>
        <w:ind w:hanging="360"/>
        <w:jc w:val="both"/>
        <w:rPr>
          <w:rFonts w:ascii="Times New Roman" w:hAnsi="Times New Roman" w:cs="Times New Roman"/>
          <w:b/>
        </w:rPr>
      </w:pPr>
      <w:r w:rsidR="00DD2B7A">
        <w:rPr>
          <w:rFonts w:ascii="Times New Roman" w:hAnsi="Times New Roman" w:cs="Times New Roman"/>
          <w:b/>
        </w:rPr>
        <w:t>počet výsledkov v kategórii dospelých = 10</w:t>
      </w:r>
    </w:p>
    <w:p w:rsidR="00370DA5">
      <w:pPr>
        <w:numPr>
          <w:numId w:val="5"/>
        </w:numPr>
        <w:bidi w:val="0"/>
        <w:spacing w:after="100" w:line="240" w:lineRule="auto"/>
        <w:ind w:hanging="360"/>
        <w:jc w:val="both"/>
        <w:rPr>
          <w:rFonts w:ascii="Times New Roman" w:hAnsi="Times New Roman" w:cs="Times New Roman"/>
          <w:b/>
        </w:rPr>
      </w:pPr>
      <w:r w:rsidR="00DD2B7A">
        <w:rPr>
          <w:rFonts w:ascii="Times New Roman" w:hAnsi="Times New Roman" w:cs="Times New Roman"/>
          <w:b/>
        </w:rPr>
        <w:t>počet výsledkov v kategórii mládeže = 10</w:t>
      </w:r>
    </w:p>
    <w:p w:rsidR="00370DA5">
      <w:pPr>
        <w:bidi w:val="0"/>
        <w:spacing w:after="100" w:line="240" w:lineRule="auto"/>
        <w:ind w:left="705"/>
        <w:contextualSpacing w:val="0"/>
        <w:jc w:val="both"/>
      </w:pPr>
      <w:r w:rsidR="00DD2B7A">
        <w:rPr>
          <w:rFonts w:ascii="Times New Roman" w:hAnsi="Times New Roman" w:cs="Times New Roman"/>
        </w:rPr>
        <w:tab/>
        <w:t>Národnému športovému zväzu môžu byť započítané medzi 10 výsledkov len 3 výsledky jedného športovca v rámci 1 roka</w:t>
      </w:r>
    </w:p>
    <w:p w:rsidR="00370DA5">
      <w:pPr>
        <w:bidi w:val="0"/>
        <w:spacing w:after="100" w:line="240" w:lineRule="auto"/>
        <w:ind w:left="705"/>
        <w:contextualSpacing w:val="0"/>
        <w:jc w:val="both"/>
      </w:pPr>
    </w:p>
    <w:p w:rsidR="00370DA5">
      <w:pPr>
        <w:numPr>
          <w:numId w:val="4"/>
        </w:numPr>
        <w:bidi w:val="0"/>
        <w:spacing w:after="120" w:line="240" w:lineRule="auto"/>
        <w:ind w:hanging="360"/>
        <w:jc w:val="both"/>
        <w:rPr>
          <w:rFonts w:ascii="Times New Roman" w:hAnsi="Times New Roman" w:cs="Times New Roman"/>
        </w:rPr>
      </w:pPr>
      <w:r w:rsidR="00DD2B7A">
        <w:rPr>
          <w:rFonts w:ascii="Times New Roman" w:hAnsi="Times New Roman" w:cs="Times New Roman"/>
        </w:rPr>
        <w:t>Redukcia výsledkov voči majstrovstvám sveta</w:t>
      </w:r>
    </w:p>
    <w:p w:rsidR="00370DA5">
      <w:pPr>
        <w:bidi w:val="0"/>
        <w:spacing w:after="120" w:line="240" w:lineRule="auto"/>
        <w:ind w:left="420" w:firstLine="135"/>
        <w:contextualSpacing w:val="0"/>
        <w:jc w:val="both"/>
      </w:pPr>
      <w:r w:rsidR="00DD2B7A">
        <w:rPr>
          <w:rFonts w:ascii="Times New Roman" w:hAnsi="Times New Roman" w:cs="Times New Roman"/>
          <w:b/>
        </w:rPr>
        <w:t>Tabuľka č. 1</w:t>
      </w:r>
    </w:p>
    <w:tbl>
      <w:tblPr>
        <w:tblStyle w:val="TableNormal"/>
        <w:tblStyleRowBandSize w:val="1"/>
        <w:tblStyleColBandSize w:val="1"/>
        <w:tblW w:w="4605" w:type="dxa"/>
        <w:tblInd w:w="56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180"/>
        <w:gridCol w:w="1425"/>
      </w:tblGrid>
      <w:tr>
        <w:tblPrEx>
          <w:tblW w:w="4605" w:type="dxa"/>
          <w:tblInd w:w="56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0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370DA5">
            <w:pPr>
              <w:bidi w:val="0"/>
              <w:spacing w:after="0" w:line="240" w:lineRule="auto"/>
              <w:contextualSpacing w:val="0"/>
            </w:pPr>
            <w:r w:rsidR="00DD2B7A">
              <w:rPr>
                <w:rFonts w:ascii="Times New Roman" w:hAnsi="Times New Roman" w:cs="Times New Roman"/>
                <w:b/>
              </w:rPr>
              <w:t>Typ podujatia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370DA5">
            <w:pPr>
              <w:bidi w:val="0"/>
              <w:spacing w:after="0" w:line="240" w:lineRule="auto"/>
              <w:contextualSpacing w:val="0"/>
              <w:jc w:val="center"/>
            </w:pPr>
            <w:r w:rsidR="00DD2B7A">
              <w:rPr>
                <w:rFonts w:ascii="Times New Roman" w:hAnsi="Times New Roman" w:cs="Times New Roman"/>
                <w:b/>
              </w:rPr>
              <w:t>Redukcia</w:t>
            </w:r>
          </w:p>
        </w:tc>
      </w:tr>
      <w:tr>
        <w:tblPrEx>
          <w:tblW w:w="4605" w:type="dxa"/>
          <w:tblInd w:w="56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0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370DA5">
            <w:pPr>
              <w:bidi w:val="0"/>
              <w:spacing w:after="0" w:line="240" w:lineRule="auto"/>
              <w:contextualSpacing w:val="0"/>
            </w:pPr>
            <w:r w:rsidR="00DD2B7A">
              <w:rPr>
                <w:rFonts w:ascii="Times New Roman" w:hAnsi="Times New Roman" w:cs="Times New Roman"/>
              </w:rPr>
              <w:t xml:space="preserve">OH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70DA5">
            <w:pPr>
              <w:bidi w:val="0"/>
              <w:spacing w:after="0" w:line="240" w:lineRule="auto"/>
              <w:contextualSpacing w:val="0"/>
              <w:jc w:val="center"/>
            </w:pPr>
            <w:r w:rsidR="00DD2B7A">
              <w:rPr>
                <w:rFonts w:ascii="Times New Roman" w:hAnsi="Times New Roman" w:cs="Times New Roman"/>
              </w:rPr>
              <w:t>-10</w:t>
            </w:r>
          </w:p>
        </w:tc>
      </w:tr>
      <w:tr>
        <w:tblPrEx>
          <w:tblW w:w="4605" w:type="dxa"/>
          <w:tblInd w:w="56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0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370DA5">
            <w:pPr>
              <w:bidi w:val="0"/>
              <w:spacing w:after="0" w:line="240" w:lineRule="auto"/>
              <w:contextualSpacing w:val="0"/>
            </w:pPr>
            <w:r w:rsidR="00DD2B7A">
              <w:rPr>
                <w:rFonts w:ascii="Times New Roman" w:hAnsi="Times New Roman" w:cs="Times New Roman"/>
              </w:rPr>
              <w:t>OHM, MSo, MSJo, SPo, SPJo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70DA5">
            <w:pPr>
              <w:bidi w:val="0"/>
              <w:spacing w:after="0" w:line="240" w:lineRule="auto"/>
              <w:contextualSpacing w:val="0"/>
              <w:jc w:val="center"/>
            </w:pPr>
            <w:r w:rsidR="00DD2B7A">
              <w:rPr>
                <w:rFonts w:ascii="Times New Roman" w:hAnsi="Times New Roman" w:cs="Times New Roman"/>
              </w:rPr>
              <w:t>0</w:t>
            </w:r>
          </w:p>
        </w:tc>
      </w:tr>
      <w:tr>
        <w:tblPrEx>
          <w:tblW w:w="4605" w:type="dxa"/>
          <w:tblInd w:w="56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0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370DA5">
            <w:pPr>
              <w:bidi w:val="0"/>
              <w:spacing w:after="0" w:line="240" w:lineRule="auto"/>
              <w:contextualSpacing w:val="0"/>
            </w:pPr>
            <w:r w:rsidR="00DD2B7A">
              <w:rPr>
                <w:rFonts w:ascii="Times New Roman" w:hAnsi="Times New Roman" w:cs="Times New Roman"/>
              </w:rPr>
              <w:t xml:space="preserve">SHNŠ, MEo, MEJo, HMSo, G1, GJ1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70DA5">
            <w:pPr>
              <w:bidi w:val="0"/>
              <w:spacing w:after="0" w:line="240" w:lineRule="auto"/>
              <w:contextualSpacing w:val="0"/>
              <w:jc w:val="center"/>
            </w:pPr>
            <w:r w:rsidR="00DD2B7A">
              <w:rPr>
                <w:rFonts w:ascii="Times New Roman" w:hAnsi="Times New Roman" w:cs="Times New Roman"/>
              </w:rPr>
              <w:t>10</w:t>
            </w:r>
          </w:p>
        </w:tc>
      </w:tr>
      <w:tr>
        <w:tblPrEx>
          <w:tblW w:w="4605" w:type="dxa"/>
          <w:tblInd w:w="56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0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370DA5">
            <w:pPr>
              <w:bidi w:val="0"/>
              <w:spacing w:after="0" w:line="240" w:lineRule="auto"/>
              <w:contextualSpacing w:val="0"/>
            </w:pPr>
            <w:r w:rsidR="00DD2B7A">
              <w:rPr>
                <w:rFonts w:ascii="Times New Roman" w:hAnsi="Times New Roman" w:cs="Times New Roman"/>
              </w:rPr>
              <w:t>MSn, MSJn, SPn, SPJn, HMEo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70DA5">
            <w:pPr>
              <w:bidi w:val="0"/>
              <w:spacing w:after="0" w:line="240" w:lineRule="auto"/>
              <w:contextualSpacing w:val="0"/>
              <w:jc w:val="center"/>
            </w:pPr>
            <w:r w:rsidR="00DD2B7A">
              <w:rPr>
                <w:rFonts w:ascii="Times New Roman" w:hAnsi="Times New Roman" w:cs="Times New Roman"/>
              </w:rPr>
              <w:t>20</w:t>
            </w:r>
          </w:p>
        </w:tc>
      </w:tr>
      <w:tr>
        <w:tblPrEx>
          <w:tblW w:w="4605" w:type="dxa"/>
          <w:tblInd w:w="56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0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370DA5">
            <w:pPr>
              <w:bidi w:val="0"/>
              <w:spacing w:after="0" w:line="240" w:lineRule="auto"/>
              <w:contextualSpacing w:val="0"/>
            </w:pPr>
            <w:r w:rsidR="00DD2B7A">
              <w:rPr>
                <w:rFonts w:ascii="Times New Roman" w:hAnsi="Times New Roman" w:cs="Times New Roman"/>
              </w:rPr>
              <w:t>MEn, MEJn, HMSn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70DA5">
            <w:pPr>
              <w:bidi w:val="0"/>
              <w:spacing w:after="0" w:line="240" w:lineRule="auto"/>
              <w:contextualSpacing w:val="0"/>
              <w:jc w:val="center"/>
            </w:pPr>
            <w:r w:rsidR="00DD2B7A">
              <w:rPr>
                <w:rFonts w:ascii="Times New Roman" w:hAnsi="Times New Roman" w:cs="Times New Roman"/>
              </w:rPr>
              <w:t>30</w:t>
            </w:r>
          </w:p>
        </w:tc>
      </w:tr>
    </w:tbl>
    <w:p w:rsidR="00370DA5">
      <w:pPr>
        <w:bidi w:val="0"/>
        <w:spacing w:after="0" w:line="240" w:lineRule="auto"/>
        <w:contextualSpacing w:val="0"/>
        <w:jc w:val="both"/>
      </w:pPr>
    </w:p>
    <w:p w:rsidR="00370DA5">
      <w:pPr>
        <w:bidi w:val="0"/>
        <w:spacing w:line="240" w:lineRule="auto"/>
        <w:ind w:left="555"/>
        <w:contextualSpacing w:val="0"/>
        <w:jc w:val="both"/>
      </w:pPr>
      <w:r w:rsidR="00DD2B7A">
        <w:rPr>
          <w:rFonts w:ascii="Times New Roman" w:hAnsi="Times New Roman" w:cs="Times New Roman"/>
        </w:rPr>
        <w:t>V prípade umiestnenia v disciplíne, na ktorej štartovalo menej ako 10 štartujúcich športovcov / posádok / štafiet / družstiev, sa zníži redukcia o jeden stupeň. Toto neplatí na podujatiach OH a SHNŠ. Výsledky na podujatiach typu SP a SPJ sa počítajú ako celkové poradie, aj pre každú disciplínu osobitne. Umiestnenie v oficiálnom rebríčku sa počíta len vtedy, ak sa v danom športe nehodnotí celkové poradie v SP.</w:t>
      </w:r>
    </w:p>
    <w:p w:rsidR="00370DA5">
      <w:pPr>
        <w:bidi w:val="0"/>
        <w:spacing w:line="240" w:lineRule="auto"/>
        <w:ind w:left="555"/>
        <w:contextualSpacing w:val="0"/>
        <w:jc w:val="both"/>
      </w:pPr>
    </w:p>
    <w:p w:rsidR="00370DA5">
      <w:pPr>
        <w:numPr>
          <w:numId w:val="4"/>
        </w:numPr>
        <w:bidi w:val="0"/>
        <w:spacing w:after="120" w:line="240" w:lineRule="auto"/>
        <w:ind w:hanging="360"/>
        <w:jc w:val="both"/>
        <w:rPr>
          <w:rFonts w:ascii="Times New Roman" w:hAnsi="Times New Roman" w:cs="Times New Roman"/>
        </w:rPr>
      </w:pPr>
      <w:r w:rsidR="00DD2B7A">
        <w:rPr>
          <w:rFonts w:ascii="Times New Roman" w:hAnsi="Times New Roman" w:cs="Times New Roman"/>
        </w:rPr>
        <w:t>Redukcia postavenia Slovenska v rebríčku svetovej federácie v neolympijskom športe voči olympijskému športu</w:t>
      </w:r>
    </w:p>
    <w:p w:rsidR="00370DA5">
      <w:pPr>
        <w:bidi w:val="0"/>
        <w:spacing w:after="120" w:line="240" w:lineRule="auto"/>
        <w:ind w:firstLine="720"/>
        <w:contextualSpacing w:val="0"/>
        <w:jc w:val="both"/>
      </w:pPr>
      <w:r w:rsidR="00DD2B7A">
        <w:rPr>
          <w:rFonts w:ascii="Times New Roman" w:hAnsi="Times New Roman" w:cs="Times New Roman"/>
          <w:b/>
        </w:rPr>
        <w:t>Tabuľka č. 2</w:t>
      </w:r>
    </w:p>
    <w:tbl>
      <w:tblPr>
        <w:tblStyle w:val="TableNormal"/>
        <w:tblStyleRowBandSize w:val="1"/>
        <w:tblStyleColBandSize w:val="1"/>
        <w:tblW w:w="3180" w:type="dxa"/>
        <w:tblInd w:w="5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395"/>
      </w:tblGrid>
      <w:tr>
        <w:tblPrEx>
          <w:tblW w:w="3180" w:type="dxa"/>
          <w:tblInd w:w="56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textDirection w:val="lrTb"/>
            <w:vAlign w:val="top"/>
          </w:tcPr>
          <w:p w:rsidR="00370DA5">
            <w:pPr>
              <w:bidi w:val="0"/>
              <w:spacing w:after="0" w:line="240" w:lineRule="auto"/>
              <w:contextualSpacing w:val="0"/>
              <w:jc w:val="both"/>
            </w:pP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textDirection w:val="lrTb"/>
            <w:vAlign w:val="top"/>
          </w:tcPr>
          <w:p w:rsidR="00370DA5">
            <w:pPr>
              <w:bidi w:val="0"/>
              <w:spacing w:after="0" w:line="240" w:lineRule="auto"/>
              <w:contextualSpacing w:val="0"/>
              <w:jc w:val="center"/>
            </w:pPr>
            <w:r w:rsidR="00DD2B7A">
              <w:rPr>
                <w:rFonts w:ascii="Times New Roman" w:hAnsi="Times New Roman" w:cs="Times New Roman"/>
                <w:b/>
              </w:rPr>
              <w:t>Redukcia</w:t>
            </w:r>
          </w:p>
        </w:tc>
      </w:tr>
      <w:tr>
        <w:tblPrEx>
          <w:tblW w:w="3180" w:type="dxa"/>
          <w:tblInd w:w="56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textDirection w:val="lrTb"/>
            <w:vAlign w:val="top"/>
          </w:tcPr>
          <w:p w:rsidR="00370DA5">
            <w:pPr>
              <w:bidi w:val="0"/>
              <w:spacing w:after="0" w:line="240" w:lineRule="auto"/>
              <w:contextualSpacing w:val="0"/>
              <w:jc w:val="both"/>
            </w:pPr>
            <w:r w:rsidR="00DD2B7A">
              <w:rPr>
                <w:rFonts w:ascii="Times New Roman" w:hAnsi="Times New Roman" w:cs="Times New Roman"/>
              </w:rPr>
              <w:t xml:space="preserve"> olympijský šport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lrTb"/>
            <w:vAlign w:val="top"/>
          </w:tcPr>
          <w:p w:rsidR="00370DA5">
            <w:pPr>
              <w:bidi w:val="0"/>
              <w:spacing w:after="0" w:line="240" w:lineRule="auto"/>
              <w:contextualSpacing w:val="0"/>
              <w:jc w:val="center"/>
            </w:pPr>
            <w:r w:rsidR="00DD2B7A">
              <w:rPr>
                <w:rFonts w:ascii="Times New Roman" w:hAnsi="Times New Roman" w:cs="Times New Roman"/>
              </w:rPr>
              <w:t>0</w:t>
            </w:r>
          </w:p>
        </w:tc>
      </w:tr>
      <w:tr>
        <w:tblPrEx>
          <w:tblW w:w="3180" w:type="dxa"/>
          <w:tblInd w:w="56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textDirection w:val="lrTb"/>
            <w:vAlign w:val="top"/>
          </w:tcPr>
          <w:p w:rsidR="00370DA5">
            <w:pPr>
              <w:bidi w:val="0"/>
              <w:spacing w:after="0" w:line="240" w:lineRule="auto"/>
              <w:contextualSpacing w:val="0"/>
              <w:jc w:val="both"/>
            </w:pPr>
            <w:r w:rsidR="00DD2B7A">
              <w:rPr>
                <w:rFonts w:ascii="Times New Roman" w:hAnsi="Times New Roman" w:cs="Times New Roman"/>
              </w:rPr>
              <w:t xml:space="preserve"> neolympijský šport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lrTb"/>
            <w:vAlign w:val="top"/>
          </w:tcPr>
          <w:p w:rsidR="00370DA5">
            <w:pPr>
              <w:bidi w:val="0"/>
              <w:spacing w:after="0" w:line="240" w:lineRule="auto"/>
              <w:contextualSpacing w:val="0"/>
              <w:jc w:val="center"/>
            </w:pPr>
            <w:r w:rsidR="00DD2B7A">
              <w:rPr>
                <w:rFonts w:ascii="Times New Roman" w:hAnsi="Times New Roman" w:cs="Times New Roman"/>
              </w:rPr>
              <w:t>10</w:t>
            </w:r>
          </w:p>
        </w:tc>
      </w:tr>
    </w:tbl>
    <w:p w:rsidR="00370DA5">
      <w:pPr>
        <w:bidi w:val="0"/>
        <w:spacing w:after="120" w:line="240" w:lineRule="auto"/>
        <w:contextualSpacing w:val="0"/>
        <w:jc w:val="both"/>
      </w:pPr>
    </w:p>
    <w:p w:rsidR="00370DA5">
      <w:pPr>
        <w:numPr>
          <w:numId w:val="4"/>
        </w:numPr>
        <w:bidi w:val="0"/>
        <w:spacing w:after="120" w:line="240" w:lineRule="auto"/>
        <w:ind w:hanging="360"/>
        <w:jc w:val="both"/>
        <w:rPr>
          <w:rFonts w:ascii="Times New Roman" w:hAnsi="Times New Roman" w:cs="Times New Roman"/>
          <w:color w:val="FF0000"/>
        </w:rPr>
      </w:pPr>
      <w:r w:rsidR="00DD2B7A">
        <w:rPr>
          <w:rFonts w:ascii="Times New Roman" w:hAnsi="Times New Roman" w:cs="Times New Roman"/>
          <w:color w:val="FF0000"/>
        </w:rPr>
        <w:t>Stanovenie metódy pre určenie postavenia Slovenska v kolektívnych športoch v kategórii mládeže vo svete, pre ktoré neexistuje oficiálny rebríček svetovej federácie daného športu</w:t>
      </w:r>
    </w:p>
    <w:p w:rsidR="00370DA5">
      <w:pPr>
        <w:numPr>
          <w:numId w:val="3"/>
        </w:numPr>
        <w:bidi w:val="0"/>
        <w:spacing w:after="120" w:line="240" w:lineRule="auto"/>
        <w:ind w:hanging="360"/>
        <w:jc w:val="both"/>
        <w:rPr>
          <w:rFonts w:ascii="Times New Roman" w:hAnsi="Times New Roman" w:cs="Times New Roman"/>
          <w:color w:val="FF0000"/>
        </w:rPr>
      </w:pPr>
    </w:p>
    <w:p w:rsidR="00370DA5">
      <w:pPr>
        <w:numPr>
          <w:numId w:val="3"/>
        </w:numPr>
        <w:bidi w:val="0"/>
        <w:spacing w:after="120" w:line="240" w:lineRule="auto"/>
        <w:ind w:hanging="360"/>
        <w:jc w:val="both"/>
        <w:rPr>
          <w:rFonts w:ascii="Times New Roman" w:hAnsi="Times New Roman" w:cs="Times New Roman"/>
          <w:color w:val="FF0000"/>
        </w:rPr>
      </w:pPr>
    </w:p>
    <w:p w:rsidR="00370DA5">
      <w:pPr>
        <w:numPr>
          <w:numId w:val="3"/>
        </w:numPr>
        <w:bidi w:val="0"/>
        <w:spacing w:after="120" w:line="240" w:lineRule="auto"/>
        <w:ind w:hanging="360"/>
        <w:jc w:val="both"/>
        <w:rPr>
          <w:rFonts w:ascii="Times New Roman" w:hAnsi="Times New Roman" w:cs="Times New Roman"/>
          <w:color w:val="FF0000"/>
        </w:rPr>
      </w:pPr>
    </w:p>
    <w:p w:rsidR="00370DA5">
      <w:pPr>
        <w:bidi w:val="0"/>
        <w:spacing w:after="120" w:line="240" w:lineRule="auto"/>
        <w:ind w:firstLine="720"/>
        <w:contextualSpacing w:val="0"/>
        <w:jc w:val="both"/>
      </w:pPr>
      <w:r w:rsidR="00DD2B7A">
        <w:rPr>
          <w:rFonts w:ascii="Times New Roman" w:hAnsi="Times New Roman" w:cs="Times New Roman"/>
          <w:color w:val="FF0000"/>
        </w:rPr>
        <w:t>Metóda pre určenie postavenia Slovenska zohľadňuje:</w:t>
      </w:r>
    </w:p>
    <w:p w:rsidR="00370DA5">
      <w:pPr>
        <w:numPr>
          <w:numId w:val="6"/>
        </w:numPr>
        <w:bidi w:val="0"/>
        <w:spacing w:after="120" w:line="240" w:lineRule="auto"/>
        <w:ind w:hanging="360"/>
        <w:jc w:val="both"/>
        <w:rPr>
          <w:rFonts w:ascii="Times New Roman" w:hAnsi="Times New Roman" w:cs="Times New Roman"/>
          <w:color w:val="FF0000"/>
        </w:rPr>
      </w:pPr>
      <w:r w:rsidR="00DD2B7A">
        <w:rPr>
          <w:rFonts w:ascii="Times New Roman" w:hAnsi="Times New Roman" w:cs="Times New Roman"/>
          <w:color w:val="FF0000"/>
        </w:rPr>
        <w:t>postavenie v oficiálnom rebríčku európskej federácie daného športu</w:t>
      </w:r>
    </w:p>
    <w:p w:rsidR="00370DA5">
      <w:pPr>
        <w:numPr>
          <w:numId w:val="6"/>
        </w:numPr>
        <w:bidi w:val="0"/>
        <w:spacing w:after="120" w:line="240" w:lineRule="auto"/>
        <w:ind w:hanging="360"/>
        <w:jc w:val="both"/>
        <w:rPr>
          <w:rFonts w:ascii="Times New Roman" w:hAnsi="Times New Roman" w:cs="Times New Roman"/>
          <w:color w:val="FF0000"/>
        </w:rPr>
      </w:pPr>
      <w:r w:rsidR="00DD2B7A">
        <w:rPr>
          <w:rFonts w:ascii="Times New Roman" w:hAnsi="Times New Roman" w:cs="Times New Roman"/>
          <w:color w:val="FF0000"/>
        </w:rPr>
        <w:t>umiestnenie na posledných MS</w:t>
      </w:r>
    </w:p>
    <w:p w:rsidR="00370DA5">
      <w:pPr>
        <w:numPr>
          <w:numId w:val="6"/>
        </w:numPr>
        <w:bidi w:val="0"/>
        <w:spacing w:after="120" w:line="240" w:lineRule="auto"/>
        <w:ind w:hanging="360"/>
        <w:jc w:val="both"/>
        <w:rPr>
          <w:rFonts w:ascii="Times New Roman" w:hAnsi="Times New Roman" w:cs="Times New Roman"/>
          <w:color w:val="FF0000"/>
        </w:rPr>
      </w:pPr>
      <w:r w:rsidR="00DD2B7A">
        <w:rPr>
          <w:rFonts w:ascii="Times New Roman" w:hAnsi="Times New Roman" w:cs="Times New Roman"/>
          <w:color w:val="FF0000"/>
        </w:rPr>
        <w:t>umiestnenie v kvalifikácii na MS v danej, pokiaľ je potrebné kvalifikovať sa</w:t>
      </w:r>
    </w:p>
    <w:p w:rsidR="00370DA5">
      <w:pPr>
        <w:numPr>
          <w:numId w:val="6"/>
        </w:numPr>
        <w:bidi w:val="0"/>
        <w:spacing w:after="120" w:line="240" w:lineRule="auto"/>
        <w:ind w:hanging="360"/>
        <w:jc w:val="both"/>
        <w:rPr>
          <w:rFonts w:ascii="Times New Roman" w:hAnsi="Times New Roman" w:cs="Times New Roman"/>
          <w:color w:val="FF0000"/>
        </w:rPr>
      </w:pPr>
      <w:r w:rsidR="00DD2B7A">
        <w:rPr>
          <w:rFonts w:ascii="Times New Roman" w:hAnsi="Times New Roman" w:cs="Times New Roman"/>
          <w:color w:val="FF0000"/>
        </w:rPr>
        <w:t>mieru obtiažnosti kvalifikovať sa na MS s ohľadom na pravidlá kvalifikácie a počet kvalifikovaných účastníkov MS z jednotlivých kontinentov</w:t>
      </w:r>
    </w:p>
    <w:p w:rsidR="00370DA5">
      <w:pPr>
        <w:bidi w:val="0"/>
        <w:spacing w:after="0" w:line="240" w:lineRule="auto"/>
        <w:contextualSpacing w:val="0"/>
      </w:pPr>
    </w:p>
    <w:p w:rsidR="00370DA5">
      <w:pPr>
        <w:bidi w:val="0"/>
        <w:spacing w:after="120" w:line="240" w:lineRule="auto"/>
        <w:ind w:left="420" w:hanging="150"/>
        <w:contextualSpacing w:val="0"/>
        <w:jc w:val="both"/>
      </w:pPr>
      <w:r w:rsidR="00DD2B7A">
        <w:rPr>
          <w:rFonts w:ascii="Times New Roman" w:hAnsi="Times New Roman" w:cs="Times New Roman"/>
          <w:b/>
        </w:rPr>
        <w:t>Vysvetlivky použitých skratiek:</w:t>
      </w:r>
    </w:p>
    <w:p w:rsidR="00370DA5">
      <w:pPr>
        <w:bidi w:val="0"/>
        <w:spacing w:after="120" w:line="240" w:lineRule="auto"/>
        <w:ind w:left="555"/>
        <w:contextualSpacing w:val="0"/>
        <w:jc w:val="both"/>
      </w:pPr>
      <w:r w:rsidR="00DD2B7A">
        <w:rPr>
          <w:rFonts w:ascii="Times New Roman" w:hAnsi="Times New Roman" w:cs="Times New Roman"/>
          <w:b/>
        </w:rPr>
        <w:t xml:space="preserve">OH </w:t>
      </w:r>
      <w:r w:rsidR="00DD2B7A">
        <w:rPr>
          <w:rFonts w:ascii="Times New Roman" w:hAnsi="Times New Roman" w:cs="Times New Roman"/>
        </w:rPr>
        <w:t xml:space="preserve">- olympijské hry, </w:t>
      </w:r>
      <w:r w:rsidR="00DD2B7A">
        <w:rPr>
          <w:rFonts w:ascii="Times New Roman" w:hAnsi="Times New Roman" w:cs="Times New Roman"/>
          <w:b/>
        </w:rPr>
        <w:t>OHM</w:t>
      </w:r>
      <w:r w:rsidR="00DD2B7A">
        <w:rPr>
          <w:rFonts w:ascii="Times New Roman" w:hAnsi="Times New Roman" w:cs="Times New Roman"/>
        </w:rPr>
        <w:t xml:space="preserve"> - olympijské hry mládeže, </w:t>
      </w:r>
      <w:r w:rsidR="00DD2B7A">
        <w:rPr>
          <w:rFonts w:ascii="Times New Roman" w:hAnsi="Times New Roman" w:cs="Times New Roman"/>
          <w:b/>
        </w:rPr>
        <w:t>MS</w:t>
      </w:r>
      <w:r w:rsidR="00DD2B7A">
        <w:rPr>
          <w:rFonts w:ascii="Times New Roman" w:hAnsi="Times New Roman" w:cs="Times New Roman"/>
        </w:rPr>
        <w:t xml:space="preserve"> - majstrovstvá sveta,</w:t>
      </w:r>
      <w:r w:rsidR="00DD2B7A">
        <w:rPr>
          <w:rFonts w:ascii="Times New Roman" w:hAnsi="Times New Roman" w:cs="Times New Roman"/>
          <w:b/>
        </w:rPr>
        <w:t xml:space="preserve"> HMS</w:t>
      </w:r>
      <w:r w:rsidR="00DD2B7A">
        <w:rPr>
          <w:rFonts w:ascii="Times New Roman" w:hAnsi="Times New Roman" w:cs="Times New Roman"/>
        </w:rPr>
        <w:t xml:space="preserve"> - halové majstrovstvá sveta, </w:t>
      </w:r>
      <w:r w:rsidR="00DD2B7A">
        <w:rPr>
          <w:rFonts w:ascii="Times New Roman" w:hAnsi="Times New Roman" w:cs="Times New Roman"/>
          <w:b/>
        </w:rPr>
        <w:t>MSJ</w:t>
      </w:r>
      <w:r w:rsidR="00DD2B7A">
        <w:rPr>
          <w:rFonts w:ascii="Times New Roman" w:hAnsi="Times New Roman" w:cs="Times New Roman"/>
        </w:rPr>
        <w:t xml:space="preserve"> - majstrovstvá sveta juniorov, </w:t>
      </w:r>
      <w:r w:rsidR="00DD2B7A">
        <w:rPr>
          <w:rFonts w:ascii="Times New Roman" w:hAnsi="Times New Roman" w:cs="Times New Roman"/>
          <w:b/>
        </w:rPr>
        <w:t>G1</w:t>
      </w:r>
      <w:r w:rsidR="00DD2B7A">
        <w:rPr>
          <w:rFonts w:ascii="Times New Roman" w:hAnsi="Times New Roman" w:cs="Times New Roman"/>
        </w:rPr>
        <w:t xml:space="preserve"> - podujatie patriace do seriálu Grand Slam v tenise, Grand Tour v cestnej cyklistike, Diamond League v atletike, </w:t>
      </w:r>
      <w:r w:rsidR="00DD2B7A">
        <w:rPr>
          <w:rFonts w:ascii="Times New Roman" w:hAnsi="Times New Roman" w:cs="Times New Roman"/>
          <w:b/>
        </w:rPr>
        <w:t>GJ1</w:t>
      </w:r>
      <w:r w:rsidR="00DD2B7A">
        <w:rPr>
          <w:rFonts w:ascii="Times New Roman" w:hAnsi="Times New Roman" w:cs="Times New Roman"/>
        </w:rPr>
        <w:t xml:space="preserve"> - Grand Slam juniorov v tenise, SP - svetový pohár - konečné umiestnenie (minimálne 5 kôl) / dlhodobý rebríček, </w:t>
      </w:r>
      <w:r w:rsidR="00DD2B7A">
        <w:rPr>
          <w:rFonts w:ascii="Times New Roman" w:hAnsi="Times New Roman" w:cs="Times New Roman"/>
          <w:b/>
        </w:rPr>
        <w:t>SPJ</w:t>
      </w:r>
      <w:r w:rsidR="00DD2B7A">
        <w:rPr>
          <w:rFonts w:ascii="Times New Roman" w:hAnsi="Times New Roman" w:cs="Times New Roman"/>
        </w:rPr>
        <w:t xml:space="preserve"> - svetový pohár juniorov - konečné umiestnenie (minimálne 5 kôl) / dlhodobý rebríček, </w:t>
      </w:r>
      <w:r w:rsidR="00DD2B7A">
        <w:rPr>
          <w:rFonts w:ascii="Times New Roman" w:hAnsi="Times New Roman" w:cs="Times New Roman"/>
          <w:b/>
        </w:rPr>
        <w:t xml:space="preserve">ME </w:t>
      </w:r>
      <w:r w:rsidR="00DD2B7A">
        <w:rPr>
          <w:rFonts w:ascii="Times New Roman" w:hAnsi="Times New Roman" w:cs="Times New Roman"/>
        </w:rPr>
        <w:t xml:space="preserve">- majstrovstvá Európy, </w:t>
      </w:r>
      <w:r w:rsidR="00DD2B7A">
        <w:rPr>
          <w:rFonts w:ascii="Times New Roman" w:hAnsi="Times New Roman" w:cs="Times New Roman"/>
          <w:b/>
        </w:rPr>
        <w:t>HME</w:t>
      </w:r>
      <w:r w:rsidR="00DD2B7A">
        <w:rPr>
          <w:rFonts w:ascii="Times New Roman" w:hAnsi="Times New Roman" w:cs="Times New Roman"/>
        </w:rPr>
        <w:t xml:space="preserve"> - halové majstrovstvá Európy, </w:t>
      </w:r>
      <w:r w:rsidR="00DD2B7A">
        <w:rPr>
          <w:rFonts w:ascii="Times New Roman" w:hAnsi="Times New Roman" w:cs="Times New Roman"/>
          <w:b/>
        </w:rPr>
        <w:t>MEJ</w:t>
      </w:r>
      <w:r w:rsidR="00DD2B7A">
        <w:rPr>
          <w:rFonts w:ascii="Times New Roman" w:hAnsi="Times New Roman" w:cs="Times New Roman"/>
        </w:rPr>
        <w:t xml:space="preserve"> - majstrovstvá Európy juniorov, </w:t>
      </w:r>
      <w:r w:rsidR="00DD2B7A">
        <w:rPr>
          <w:rFonts w:ascii="Times New Roman" w:hAnsi="Times New Roman" w:cs="Times New Roman"/>
          <w:b/>
        </w:rPr>
        <w:t>SHNŠ</w:t>
      </w:r>
      <w:r w:rsidR="00DD2B7A">
        <w:rPr>
          <w:rFonts w:ascii="Times New Roman" w:hAnsi="Times New Roman" w:cs="Times New Roman"/>
        </w:rPr>
        <w:t xml:space="preserve"> - svetové hry neolympijských športov, </w:t>
      </w:r>
      <w:r w:rsidR="00DD2B7A">
        <w:rPr>
          <w:rFonts w:ascii="Times New Roman" w:hAnsi="Times New Roman" w:cs="Times New Roman"/>
          <w:b/>
        </w:rPr>
        <w:t>R</w:t>
      </w:r>
      <w:r w:rsidR="00DD2B7A">
        <w:rPr>
          <w:rFonts w:ascii="Times New Roman" w:hAnsi="Times New Roman" w:cs="Times New Roman"/>
        </w:rPr>
        <w:t xml:space="preserve"> - rok, v ktorom sa robí výpočet.</w:t>
      </w:r>
    </w:p>
    <w:p w:rsidR="00370DA5">
      <w:pPr>
        <w:bidi w:val="0"/>
        <w:spacing w:after="0" w:line="240" w:lineRule="auto"/>
        <w:contextualSpacing w:val="0"/>
        <w:jc w:val="both"/>
      </w:pPr>
    </w:p>
    <w:p w:rsidR="00370DA5">
      <w:pPr>
        <w:bidi w:val="0"/>
        <w:spacing w:after="0" w:line="240" w:lineRule="auto"/>
        <w:contextualSpacing w:val="0"/>
        <w:jc w:val="both"/>
      </w:pPr>
    </w:p>
    <w:p w:rsidR="00370DA5">
      <w:pPr>
        <w:bidi w:val="0"/>
        <w:spacing w:after="0" w:line="240" w:lineRule="auto"/>
        <w:contextualSpacing w:val="0"/>
      </w:pPr>
    </w:p>
    <w:p w:rsidR="00370DA5">
      <w:pPr>
        <w:bidi w:val="0"/>
        <w:spacing w:after="0" w:line="240" w:lineRule="auto"/>
        <w:contextualSpacing w:val="0"/>
        <w:jc w:val="center"/>
      </w:pPr>
      <w:r w:rsidR="00DD2B7A">
        <w:rPr>
          <w:rFonts w:ascii="Times New Roman" w:hAnsi="Times New Roman" w:cs="Times New Roman"/>
        </w:rPr>
        <w:t>§ X</w:t>
      </w:r>
    </w:p>
    <w:p w:rsidR="00370DA5">
      <w:pPr>
        <w:bidi w:val="0"/>
        <w:spacing w:after="0" w:line="240" w:lineRule="auto"/>
        <w:contextualSpacing w:val="0"/>
      </w:pPr>
    </w:p>
    <w:p w:rsidR="00370DA5">
      <w:pPr>
        <w:bidi w:val="0"/>
        <w:spacing w:after="0" w:line="240" w:lineRule="auto"/>
        <w:contextualSpacing w:val="0"/>
      </w:pPr>
      <w:r w:rsidR="00DD2B7A">
        <w:rPr>
          <w:rFonts w:ascii="Times New Roman" w:hAnsi="Times New Roman" w:cs="Times New Roman"/>
        </w:rPr>
        <w:t>Toto nariadenie nadobúda účinnosť 1. januára 2016.</w:t>
      </w:r>
    </w:p>
    <w:p w:rsidR="00370DA5">
      <w:pPr>
        <w:bidi w:val="0"/>
        <w:spacing w:after="0" w:line="240" w:lineRule="auto"/>
        <w:contextualSpacing w:val="0"/>
      </w:pPr>
    </w:p>
    <w:p w:rsidR="00370DA5">
      <w:pPr>
        <w:bidi w:val="0"/>
        <w:spacing w:after="0" w:line="240" w:lineRule="auto"/>
        <w:contextualSpacing w:val="0"/>
      </w:pPr>
    </w:p>
    <w:p w:rsidR="00370DA5">
      <w:pPr>
        <w:bidi w:val="0"/>
        <w:spacing w:after="0" w:line="240" w:lineRule="auto"/>
        <w:contextualSpacing w:val="0"/>
      </w:pPr>
    </w:p>
    <w:p w:rsidR="00370DA5">
      <w:pPr>
        <w:bidi w:val="0"/>
        <w:spacing w:after="0" w:line="240" w:lineRule="auto"/>
        <w:contextualSpacing w:val="0"/>
      </w:pPr>
    </w:p>
    <w:p w:rsidR="00370DA5">
      <w:pPr>
        <w:bidi w:val="0"/>
        <w:spacing w:after="0" w:line="240" w:lineRule="auto"/>
        <w:contextualSpacing w:val="0"/>
      </w:pPr>
      <w:r w:rsidR="00DD2B7A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predseda vlády</w:t>
      </w:r>
    </w:p>
    <w:p w:rsidR="00370DA5">
      <w:pPr>
        <w:bidi w:val="0"/>
        <w:spacing w:after="0" w:line="240" w:lineRule="auto"/>
        <w:contextualSpacing w:val="0"/>
      </w:pPr>
    </w:p>
    <w:p w:rsidR="00370DA5">
      <w:pPr>
        <w:bidi w:val="0"/>
        <w:spacing w:after="0" w:line="240" w:lineRule="auto"/>
        <w:contextualSpacing w:val="0"/>
      </w:pPr>
    </w:p>
    <w:sectPr>
      <w:footerReference w:type="default" r:id="rId7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DA5">
    <w:pPr>
      <w:bidi w:val="0"/>
      <w:spacing w:after="0" w:line="240" w:lineRule="auto"/>
      <w:contextualSpacing w:val="0"/>
      <w:jc w:val="right"/>
    </w:pPr>
    <w:r w:rsidR="00DD2B7A">
      <w:fldChar w:fldCharType="begin"/>
    </w:r>
    <w:r w:rsidR="00DD2B7A">
      <w:instrText>PAGE</w:instrText>
    </w:r>
    <w:r w:rsidR="00DD2B7A">
      <w:fldChar w:fldCharType="separate"/>
    </w:r>
    <w:r w:rsidR="00314DE3">
      <w:rPr>
        <w:noProof/>
      </w:rPr>
      <w:t>2</w:t>
    </w:r>
    <w:r w:rsidR="00DD2B7A">
      <w:fldChar w:fldCharType="end"/>
    </w:r>
  </w:p>
  <w:p w:rsidR="00370DA5">
    <w:pPr>
      <w:bidi w:val="0"/>
      <w:spacing w:after="0" w:line="240" w:lineRule="auto"/>
      <w:contextualSpacing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8024F"/>
    <w:multiLevelType w:val="multilevel"/>
    <w:tmpl w:val="A30EEBF2"/>
    <w:lvl w:ilvl="0">
      <w:start w:val="1"/>
      <w:numFmt w:val="bullet"/>
      <w:lvlText w:val="●"/>
      <w:lvlJc w:val="left"/>
      <w:pPr>
        <w:ind w:left="1440" w:firstLine="1080"/>
      </w:pPr>
      <w:rPr>
        <w:sz w:val="18"/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">
    <w:nsid w:val="10177457"/>
    <w:multiLevelType w:val="multilevel"/>
    <w:tmpl w:val="EE80368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  <w:rtl w:val="0"/>
        <w:cs w:val="0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  <w:rtl w:val="0"/>
        <w:cs w:val="0"/>
      </w:rPr>
    </w:lvl>
  </w:abstractNum>
  <w:abstractNum w:abstractNumId="2">
    <w:nsid w:val="3ACC57D6"/>
    <w:multiLevelType w:val="multilevel"/>
    <w:tmpl w:val="089C9DAE"/>
    <w:lvl w:ilvl="0">
      <w:start w:val="1"/>
      <w:numFmt w:val="bullet"/>
      <w:lvlText w:val="●"/>
      <w:lvlJc w:val="left"/>
      <w:pPr>
        <w:ind w:left="1440" w:firstLine="1080"/>
      </w:pPr>
      <w:rPr>
        <w:sz w:val="18"/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3">
    <w:nsid w:val="49963D08"/>
    <w:multiLevelType w:val="multilevel"/>
    <w:tmpl w:val="401AB7B4"/>
    <w:lvl w:ilvl="0">
      <w:start w:val="1"/>
      <w:numFmt w:val="bullet"/>
      <w:lvlText w:val="●"/>
      <w:lvlJc w:val="left"/>
      <w:pPr>
        <w:ind w:left="1440" w:firstLine="1080"/>
      </w:pPr>
      <w:rPr>
        <w:sz w:val="18"/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4">
    <w:nsid w:val="5A07766B"/>
    <w:multiLevelType w:val="multilevel"/>
    <w:tmpl w:val="94B8F538"/>
    <w:lvl w:ilvl="0">
      <w:start w:val="1"/>
      <w:numFmt w:val="bullet"/>
      <w:lvlText w:val="●"/>
      <w:lvlJc w:val="left"/>
      <w:pPr>
        <w:ind w:left="1440" w:firstLine="1080"/>
      </w:pPr>
      <w:rPr>
        <w:sz w:val="18"/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5">
    <w:nsid w:val="66755279"/>
    <w:multiLevelType w:val="multilevel"/>
    <w:tmpl w:val="50900C88"/>
    <w:lvl w:ilvl="0">
      <w:start w:val="1"/>
      <w:numFmt w:val="bullet"/>
      <w:lvlText w:val="●"/>
      <w:lvlJc w:val="left"/>
      <w:pPr>
        <w:ind w:left="1440" w:firstLine="1080"/>
      </w:pPr>
      <w:rPr>
        <w:sz w:val="18"/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6">
    <w:nsid w:val="79741E09"/>
    <w:multiLevelType w:val="multilevel"/>
    <w:tmpl w:val="027C8842"/>
    <w:lvl w:ilvl="0">
      <w:start w:val="1"/>
      <w:numFmt w:val="bullet"/>
      <w:lvlText w:val="●"/>
      <w:lvlJc w:val="left"/>
      <w:pPr>
        <w:ind w:left="1440" w:firstLine="1080"/>
      </w:pPr>
      <w:rPr>
        <w:sz w:val="18"/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displayBackgroundShape/>
  <w:doNotTrackMoves/>
  <w:defaultTabStop w:val="720"/>
  <w:hyphenationZone w:val="425"/>
  <w:characterSpacingControl w:val="doNotCompress"/>
  <w:compat/>
  <w:rsids>
    <w:rsidRoot w:val="00370DA5"/>
    <w:rsid w:val="00314DE3"/>
    <w:rsid w:val="00370DA5"/>
    <w:rsid w:val="00DD2B7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color w:val="000000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framePr w:wrap="auto"/>
      <w:widowControl/>
      <w:autoSpaceDE/>
      <w:autoSpaceDN/>
      <w:adjustRightInd/>
      <w:spacing w:after="200" w:line="276" w:lineRule="auto"/>
      <w:ind w:left="0" w:right="0"/>
      <w:contextualSpacing/>
      <w:jc w:val="left"/>
      <w:textAlignment w:val="auto"/>
    </w:pPr>
    <w:rPr>
      <w:rFonts w:ascii="Calibri" w:eastAsia="Calibri" w:hAnsi="Calibri" w:cs="Calibri"/>
      <w:color w:val="000000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pPr>
      <w:keepNext/>
      <w:spacing w:before="240" w:after="60"/>
      <w:jc w:val="left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jc w:val="left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jc w:val="left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jc w:val="left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pPr>
      <w:spacing w:before="240" w:after="60"/>
      <w:jc w:val="lef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pPr>
      <w:spacing w:after="60"/>
      <w:jc w:val="center"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rsid w:val="00805BCE"/>
    <w:pPr>
      <w:framePr w:wrap="auto"/>
      <w:widowControl/>
      <w:autoSpaceDE/>
      <w:autoSpaceDN/>
      <w:adjustRightInd/>
      <w:spacing w:after="0" w:line="240" w:lineRule="auto"/>
      <w:ind w:left="0" w:right="0"/>
      <w:contextualSpacing w:val="0"/>
      <w:jc w:val="left"/>
      <w:textAlignment w:val="auto"/>
    </w:pPr>
    <w:rPr>
      <w:rFonts w:ascii="Times New Roman" w:eastAsia="Times New Roman" w:hAnsi="Times New Roman" w:cs="Times New Roman"/>
      <w:color w:val="auto"/>
      <w:sz w:val="20"/>
      <w:szCs w:val="2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FE8A6D-B92F-4566-BE72-BAF22EA7F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9793B37-3BD2-4168-A90F-0B657684AC4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A85D296-9ACC-41BC-9CFD-1D6030B8AF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557</Words>
  <Characters>3176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Gašparíková, Jarmila</dc:creator>
  <cp:lastModifiedBy>Gašparíková, Jarmila</cp:lastModifiedBy>
  <cp:revision>2</cp:revision>
  <dcterms:created xsi:type="dcterms:W3CDTF">2015-08-28T14:36:00Z</dcterms:created>
  <dcterms:modified xsi:type="dcterms:W3CDTF">2015-08-28T14:36:00Z</dcterms:modified>
</cp:coreProperties>
</file>