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o:bwmode="white" filled="t"/>
  </w:background>
  <w:body>
    <w:p w:rsidR="0077139A">
      <w:pPr>
        <w:widowControl/>
        <w:bidi w:val="0"/>
        <w:contextualSpacing w:val="0"/>
        <w:jc w:val="right"/>
      </w:pPr>
      <w:r w:rsidR="001621DD">
        <w:rPr>
          <w:rFonts w:ascii="Times New Roman" w:hAnsi="Times New Roman" w:cs="Times New Roman"/>
          <w:b/>
        </w:rPr>
        <w:t>Príloha č. 3 k zákonu č. .../2015 Z. z.</w:t>
      </w:r>
    </w:p>
    <w:p w:rsidR="0077139A">
      <w:pPr>
        <w:widowControl/>
        <w:bidi w:val="0"/>
        <w:spacing w:line="240" w:lineRule="auto"/>
        <w:contextualSpacing w:val="0"/>
        <w:jc w:val="right"/>
      </w:pPr>
    </w:p>
    <w:p w:rsidR="0077139A">
      <w:pPr>
        <w:widowControl/>
        <w:bidi w:val="0"/>
        <w:spacing w:line="480" w:lineRule="auto"/>
        <w:contextualSpacing w:val="0"/>
        <w:jc w:val="center"/>
      </w:pPr>
      <w:r w:rsidR="001621DD">
        <w:rPr>
          <w:rFonts w:ascii="Times New Roman" w:hAnsi="Times New Roman" w:cs="Times New Roman"/>
          <w:b/>
        </w:rPr>
        <w:t>Vzorec výpočtu podielu športu</w:t>
      </w:r>
    </w:p>
    <w:p w:rsidR="0077139A">
      <w:pPr>
        <w:widowControl/>
        <w:numPr>
          <w:numId w:val="1"/>
        </w:numPr>
        <w:bidi w:val="0"/>
        <w:spacing w:after="120" w:line="240" w:lineRule="auto"/>
        <w:ind w:left="555" w:hanging="360"/>
        <w:jc w:val="both"/>
        <w:rPr>
          <w:rFonts w:ascii="Times New Roman" w:hAnsi="Times New Roman" w:cs="Times New Roman"/>
        </w:rPr>
      </w:pPr>
      <w:r w:rsidR="001621DD">
        <w:rPr>
          <w:rFonts w:ascii="Times New Roman" w:hAnsi="Times New Roman" w:cs="Times New Roman"/>
        </w:rPr>
        <w:t xml:space="preserve">Podiel športu </w:t>
      </w:r>
      <w:r w:rsidR="001621DD">
        <w:rPr>
          <w:rFonts w:ascii="Times New Roman" w:hAnsi="Times New Roman" w:cs="Times New Roman"/>
          <w:b/>
        </w:rPr>
        <w:t>P</w:t>
      </w:r>
      <w:r w:rsidR="001621DD">
        <w:rPr>
          <w:rFonts w:ascii="Times New Roman" w:hAnsi="Times New Roman" w:cs="Times New Roman"/>
        </w:rPr>
        <w:t xml:space="preserve"> sa vypočíta nasledovne:</w:t>
      </w:r>
    </w:p>
    <w:p w:rsidR="0077139A">
      <w:pPr>
        <w:widowControl/>
        <w:bidi w:val="0"/>
        <w:spacing w:after="100" w:line="240" w:lineRule="auto"/>
        <w:ind w:left="555"/>
        <w:contextualSpacing w:val="0"/>
        <w:jc w:val="both"/>
      </w:pPr>
      <w:r w:rsidR="001621DD">
        <w:rPr>
          <w:rFonts w:ascii="Times New Roman" w:hAnsi="Times New Roman" w:cs="Times New Roman"/>
          <w:b/>
        </w:rPr>
        <w:t xml:space="preserve">P = (A </w:t>
      </w:r>
      <w:r w:rsidR="001621DD">
        <w:rPr>
          <w:rFonts w:ascii="Times New Roman" w:hAnsi="Times New Roman" w:cs="Times New Roman"/>
          <w:b/>
          <w:vertAlign w:val="superscript"/>
        </w:rPr>
        <w:t>x</w:t>
      </w:r>
      <w:r w:rsidR="001621DD">
        <w:rPr>
          <w:rFonts w:ascii="Times New Roman" w:hAnsi="Times New Roman" w:cs="Times New Roman"/>
          <w:b/>
        </w:rPr>
        <w:t xml:space="preserve"> Ú</w:t>
      </w:r>
      <w:r w:rsidR="001621DD">
        <w:rPr>
          <w:rFonts w:ascii="Times New Roman" w:hAnsi="Times New Roman" w:cs="Times New Roman"/>
          <w:b/>
          <w:vertAlign w:val="subscript"/>
        </w:rPr>
        <w:t>D</w:t>
      </w:r>
      <w:r w:rsidR="001621DD">
        <w:rPr>
          <w:rFonts w:ascii="Times New Roman" w:hAnsi="Times New Roman" w:cs="Times New Roman"/>
          <w:b/>
        </w:rPr>
        <w:t xml:space="preserve"> </w:t>
      </w:r>
      <w:r w:rsidR="001621DD">
        <w:rPr>
          <w:rFonts w:ascii="Times New Roman" w:hAnsi="Times New Roman" w:cs="Times New Roman"/>
          <w:b/>
          <w:vertAlign w:val="superscript"/>
        </w:rPr>
        <w:t>x</w:t>
      </w:r>
      <w:r w:rsidR="001621DD">
        <w:rPr>
          <w:rFonts w:ascii="Times New Roman" w:hAnsi="Times New Roman" w:cs="Times New Roman"/>
          <w:b/>
        </w:rPr>
        <w:t xml:space="preserve"> K</w:t>
      </w:r>
      <w:r w:rsidR="001621DD">
        <w:rPr>
          <w:rFonts w:ascii="Times New Roman" w:hAnsi="Times New Roman" w:cs="Times New Roman"/>
          <w:b/>
          <w:vertAlign w:val="subscript"/>
        </w:rPr>
        <w:t>VV</w:t>
      </w:r>
      <w:r w:rsidR="001621DD">
        <w:rPr>
          <w:rFonts w:ascii="Times New Roman" w:hAnsi="Times New Roman" w:cs="Times New Roman"/>
          <w:b/>
        </w:rPr>
        <w:t xml:space="preserve"> + A </w:t>
      </w:r>
      <w:r w:rsidR="001621DD">
        <w:rPr>
          <w:rFonts w:ascii="Times New Roman" w:hAnsi="Times New Roman" w:cs="Times New Roman"/>
          <w:b/>
          <w:vertAlign w:val="superscript"/>
        </w:rPr>
        <w:t>x</w:t>
      </w:r>
      <w:r w:rsidR="001621DD">
        <w:rPr>
          <w:rFonts w:ascii="Times New Roman" w:hAnsi="Times New Roman" w:cs="Times New Roman"/>
          <w:b/>
        </w:rPr>
        <w:t xml:space="preserve"> Ú</w:t>
      </w:r>
      <w:r w:rsidR="001621DD">
        <w:rPr>
          <w:rFonts w:ascii="Times New Roman" w:hAnsi="Times New Roman" w:cs="Times New Roman"/>
          <w:b/>
          <w:vertAlign w:val="subscript"/>
        </w:rPr>
        <w:t>M</w:t>
      </w:r>
      <w:r w:rsidR="001621DD">
        <w:rPr>
          <w:rFonts w:ascii="Times New Roman" w:hAnsi="Times New Roman" w:cs="Times New Roman"/>
          <w:b/>
        </w:rPr>
        <w:t xml:space="preserve"> </w:t>
      </w:r>
      <w:r w:rsidR="001621DD">
        <w:rPr>
          <w:rFonts w:ascii="Times New Roman" w:hAnsi="Times New Roman" w:cs="Times New Roman"/>
          <w:b/>
          <w:vertAlign w:val="superscript"/>
        </w:rPr>
        <w:t>x</w:t>
      </w:r>
      <w:r w:rsidR="001621DD">
        <w:rPr>
          <w:rFonts w:ascii="Times New Roman" w:hAnsi="Times New Roman" w:cs="Times New Roman"/>
          <w:b/>
        </w:rPr>
        <w:t xml:space="preserve"> K</w:t>
      </w:r>
      <w:r w:rsidR="001621DD">
        <w:rPr>
          <w:rFonts w:ascii="Times New Roman" w:hAnsi="Times New Roman" w:cs="Times New Roman"/>
          <w:b/>
          <w:vertAlign w:val="subscript"/>
        </w:rPr>
        <w:t>VV</w:t>
      </w:r>
      <w:r w:rsidR="001621DD">
        <w:rPr>
          <w:rFonts w:ascii="Times New Roman" w:hAnsi="Times New Roman" w:cs="Times New Roman"/>
          <w:b/>
        </w:rPr>
        <w:t xml:space="preserve"> ) </w:t>
      </w:r>
      <w:r w:rsidR="001621DD">
        <w:rPr>
          <w:rFonts w:ascii="Times New Roman" w:hAnsi="Times New Roman" w:cs="Times New Roman"/>
          <w:b/>
          <w:vertAlign w:val="superscript"/>
        </w:rPr>
        <w:t>x</w:t>
      </w:r>
      <w:r w:rsidR="001621DD">
        <w:rPr>
          <w:rFonts w:ascii="Times New Roman" w:hAnsi="Times New Roman" w:cs="Times New Roman"/>
          <w:b/>
        </w:rPr>
        <w:t xml:space="preserve"> (B </w:t>
      </w:r>
      <w:r w:rsidR="001621DD">
        <w:rPr>
          <w:rFonts w:ascii="Times New Roman" w:hAnsi="Times New Roman" w:cs="Times New Roman"/>
          <w:b/>
          <w:vertAlign w:val="superscript"/>
        </w:rPr>
        <w:t>x</w:t>
      </w:r>
      <w:r w:rsidR="001621DD">
        <w:rPr>
          <w:rFonts w:ascii="Times New Roman" w:hAnsi="Times New Roman" w:cs="Times New Roman"/>
          <w:b/>
        </w:rPr>
        <w:t xml:space="preserve"> Z</w:t>
      </w:r>
      <w:r w:rsidR="001621DD">
        <w:rPr>
          <w:rFonts w:ascii="Times New Roman" w:hAnsi="Times New Roman" w:cs="Times New Roman"/>
          <w:b/>
          <w:vertAlign w:val="subscript"/>
        </w:rPr>
        <w:t>D</w:t>
      </w:r>
      <w:r w:rsidR="001621DD">
        <w:rPr>
          <w:rFonts w:ascii="Times New Roman" w:hAnsi="Times New Roman" w:cs="Times New Roman"/>
          <w:b/>
        </w:rPr>
        <w:t xml:space="preserve"> + C </w:t>
      </w:r>
      <w:r w:rsidR="001621DD">
        <w:rPr>
          <w:rFonts w:ascii="Times New Roman" w:hAnsi="Times New Roman" w:cs="Times New Roman"/>
          <w:b/>
          <w:vertAlign w:val="superscript"/>
        </w:rPr>
        <w:t>x</w:t>
      </w:r>
      <w:r w:rsidR="001621DD">
        <w:rPr>
          <w:rFonts w:ascii="Times New Roman" w:hAnsi="Times New Roman" w:cs="Times New Roman"/>
          <w:b/>
        </w:rPr>
        <w:t xml:space="preserve"> Z</w:t>
      </w:r>
      <w:r w:rsidR="001621DD">
        <w:rPr>
          <w:rFonts w:ascii="Times New Roman" w:hAnsi="Times New Roman" w:cs="Times New Roman"/>
          <w:b/>
          <w:vertAlign w:val="subscript"/>
        </w:rPr>
        <w:t>Z</w:t>
      </w:r>
      <w:r w:rsidR="001621DD">
        <w:rPr>
          <w:rFonts w:ascii="Times New Roman" w:hAnsi="Times New Roman" w:cs="Times New Roman"/>
          <w:b/>
        </w:rPr>
        <w:t xml:space="preserve">) + (1 - 2 </w:t>
      </w:r>
      <w:r w:rsidR="001621DD">
        <w:rPr>
          <w:rFonts w:ascii="Times New Roman" w:hAnsi="Times New Roman" w:cs="Times New Roman"/>
          <w:b/>
          <w:vertAlign w:val="superscript"/>
        </w:rPr>
        <w:t>x</w:t>
      </w:r>
      <w:r w:rsidR="001621DD">
        <w:rPr>
          <w:rFonts w:ascii="Times New Roman" w:hAnsi="Times New Roman" w:cs="Times New Roman"/>
          <w:b/>
        </w:rPr>
        <w:t xml:space="preserve"> A) </w:t>
      </w:r>
      <w:r w:rsidR="001621DD">
        <w:rPr>
          <w:rFonts w:ascii="Times New Roman" w:hAnsi="Times New Roman" w:cs="Times New Roman"/>
          <w:b/>
          <w:vertAlign w:val="superscript"/>
        </w:rPr>
        <w:t>x</w:t>
      </w:r>
      <w:r w:rsidR="001621DD">
        <w:rPr>
          <w:rFonts w:ascii="Times New Roman" w:hAnsi="Times New Roman" w:cs="Times New Roman"/>
          <w:b/>
        </w:rPr>
        <w:t xml:space="preserve"> M</w:t>
      </w:r>
      <w:r w:rsidR="001621DD">
        <w:rPr>
          <w:rFonts w:ascii="Times New Roman" w:hAnsi="Times New Roman" w:cs="Times New Roman"/>
          <w:b/>
          <w:vertAlign w:val="subscript"/>
        </w:rPr>
        <w:t>18</w:t>
      </w:r>
      <w:r w:rsidR="001621DD">
        <w:rPr>
          <w:rFonts w:ascii="Times New Roman" w:hAnsi="Times New Roman" w:cs="Times New Roman"/>
        </w:rPr>
        <w:t>, kde</w:t>
      </w:r>
    </w:p>
    <w:p w:rsidR="0077139A">
      <w:pPr>
        <w:widowControl/>
        <w:bidi w:val="0"/>
        <w:spacing w:after="100" w:line="240" w:lineRule="auto"/>
        <w:ind w:left="555"/>
        <w:contextualSpacing w:val="0"/>
        <w:jc w:val="both"/>
      </w:pPr>
      <w:r w:rsidR="001621DD">
        <w:rPr>
          <w:rFonts w:ascii="Times New Roman" w:hAnsi="Times New Roman" w:cs="Times New Roman"/>
          <w:b/>
        </w:rPr>
        <w:t xml:space="preserve">A </w:t>
      </w:r>
      <w:r w:rsidR="001621DD">
        <w:rPr>
          <w:rFonts w:ascii="Times New Roman" w:hAnsi="Times New Roman" w:cs="Times New Roman"/>
        </w:rPr>
        <w:t xml:space="preserve">je percentuálne vyjadrenie váhy dosiahnutého športového úspechu, </w:t>
      </w:r>
    </w:p>
    <w:p w:rsidR="0077139A">
      <w:pPr>
        <w:widowControl/>
        <w:bidi w:val="0"/>
        <w:spacing w:after="100" w:line="240" w:lineRule="auto"/>
        <w:ind w:left="555"/>
        <w:contextualSpacing w:val="0"/>
        <w:jc w:val="both"/>
      </w:pPr>
      <w:r w:rsidR="001621DD">
        <w:rPr>
          <w:rFonts w:ascii="Times New Roman" w:hAnsi="Times New Roman" w:cs="Times New Roman"/>
          <w:b/>
        </w:rPr>
        <w:t xml:space="preserve">B </w:t>
      </w:r>
      <w:r w:rsidR="001621DD">
        <w:rPr>
          <w:rFonts w:ascii="Times New Roman" w:hAnsi="Times New Roman" w:cs="Times New Roman"/>
        </w:rPr>
        <w:t>je percentuálne vyjadrenie váhy domáceho záujmu o šport,</w:t>
      </w:r>
    </w:p>
    <w:p w:rsidR="0077139A">
      <w:pPr>
        <w:widowControl/>
        <w:bidi w:val="0"/>
        <w:spacing w:after="100" w:line="240" w:lineRule="auto"/>
        <w:ind w:left="555"/>
        <w:contextualSpacing w:val="0"/>
        <w:jc w:val="both"/>
      </w:pPr>
      <w:r w:rsidR="001621DD">
        <w:rPr>
          <w:rFonts w:ascii="Times New Roman" w:hAnsi="Times New Roman" w:cs="Times New Roman"/>
          <w:b/>
        </w:rPr>
        <w:t>C</w:t>
      </w:r>
      <w:r w:rsidR="001621DD">
        <w:rPr>
          <w:rFonts w:ascii="Times New Roman" w:hAnsi="Times New Roman" w:cs="Times New Roman"/>
        </w:rPr>
        <w:t xml:space="preserve"> je percentuálne vyjadrenie váhy zahraničného záujmu o šport,</w:t>
      </w:r>
    </w:p>
    <w:p w:rsidR="0077139A">
      <w:pPr>
        <w:widowControl/>
        <w:bidi w:val="0"/>
        <w:spacing w:after="100" w:line="240" w:lineRule="auto"/>
        <w:ind w:left="555"/>
        <w:contextualSpacing w:val="0"/>
        <w:jc w:val="both"/>
      </w:pPr>
      <w:r w:rsidR="001621DD">
        <w:rPr>
          <w:rFonts w:ascii="Times New Roman" w:hAnsi="Times New Roman" w:cs="Times New Roman"/>
          <w:b/>
        </w:rPr>
        <w:t>K</w:t>
      </w:r>
      <w:r w:rsidR="001621DD">
        <w:rPr>
          <w:rFonts w:ascii="Times New Roman" w:hAnsi="Times New Roman" w:cs="Times New Roman"/>
          <w:b/>
          <w:vertAlign w:val="subscript"/>
        </w:rPr>
        <w:t>VV</w:t>
      </w:r>
      <w:r w:rsidR="001621DD">
        <w:rPr>
          <w:rFonts w:ascii="Times New Roman" w:hAnsi="Times New Roman" w:cs="Times New Roman"/>
          <w:b/>
        </w:rPr>
        <w:t xml:space="preserve"> </w:t>
      </w:r>
      <w:r w:rsidR="001621DD">
        <w:rPr>
          <w:rFonts w:ascii="Times New Roman" w:hAnsi="Times New Roman" w:cs="Times New Roman"/>
        </w:rPr>
        <w:t xml:space="preserve">je koeficient významu výsledku podľa </w:t>
      </w:r>
      <w:r w:rsidR="001621DD">
        <w:rPr>
          <w:rFonts w:ascii="Times New Roman" w:hAnsi="Times New Roman" w:cs="Times New Roman"/>
          <w:b/>
        </w:rPr>
        <w:t>tabuľky č. 1</w:t>
      </w:r>
      <w:r w:rsidR="001621DD">
        <w:rPr>
          <w:rFonts w:ascii="Times New Roman" w:hAnsi="Times New Roman" w:cs="Times New Roman"/>
        </w:rPr>
        <w:t>,</w:t>
      </w:r>
    </w:p>
    <w:p w:rsidR="0077139A">
      <w:pPr>
        <w:widowControl/>
        <w:bidi w:val="0"/>
        <w:spacing w:after="100" w:line="240" w:lineRule="auto"/>
        <w:ind w:left="555"/>
        <w:contextualSpacing w:val="0"/>
        <w:jc w:val="both"/>
      </w:pPr>
      <w:r w:rsidR="001621DD">
        <w:rPr>
          <w:rFonts w:ascii="Times New Roman" w:hAnsi="Times New Roman" w:cs="Times New Roman"/>
          <w:b/>
        </w:rPr>
        <w:t>Ú</w:t>
      </w:r>
      <w:r w:rsidR="001621DD">
        <w:rPr>
          <w:rFonts w:ascii="Times New Roman" w:hAnsi="Times New Roman" w:cs="Times New Roman"/>
          <w:b/>
          <w:vertAlign w:val="subscript"/>
        </w:rPr>
        <w:t>D</w:t>
      </w:r>
      <w:r w:rsidR="001621DD">
        <w:rPr>
          <w:rFonts w:ascii="Times New Roman" w:hAnsi="Times New Roman" w:cs="Times New Roman"/>
        </w:rPr>
        <w:t xml:space="preserve"> je dosiahnutý športový úspech v kategórii dospelých za posledné štyri roky vyjadrený v percentuálnom umiestnení Slovenska v rebríčku dospelých svetovej federácie k 30.9. roka, v ktorom sa robí výpočet, </w:t>
      </w:r>
    </w:p>
    <w:p w:rsidR="0077139A">
      <w:pPr>
        <w:widowControl/>
        <w:bidi w:val="0"/>
        <w:spacing w:after="100" w:line="240" w:lineRule="auto"/>
        <w:ind w:left="555"/>
        <w:contextualSpacing w:val="0"/>
        <w:jc w:val="both"/>
      </w:pPr>
      <w:r w:rsidR="001621DD">
        <w:rPr>
          <w:rFonts w:ascii="Times New Roman" w:hAnsi="Times New Roman" w:cs="Times New Roman"/>
          <w:b/>
        </w:rPr>
        <w:t>Ú</w:t>
      </w:r>
      <w:r w:rsidR="001621DD">
        <w:rPr>
          <w:rFonts w:ascii="Times New Roman" w:hAnsi="Times New Roman" w:cs="Times New Roman"/>
          <w:b/>
          <w:vertAlign w:val="subscript"/>
        </w:rPr>
        <w:t>M</w:t>
      </w:r>
      <w:r w:rsidR="001621DD">
        <w:rPr>
          <w:rFonts w:ascii="Times New Roman" w:hAnsi="Times New Roman" w:cs="Times New Roman"/>
          <w:b/>
        </w:rPr>
        <w:t xml:space="preserve"> </w:t>
      </w:r>
      <w:r w:rsidR="001621DD">
        <w:rPr>
          <w:rFonts w:ascii="Times New Roman" w:hAnsi="Times New Roman" w:cs="Times New Roman"/>
        </w:rPr>
        <w:t>je dosiahnutý športový úspech v kategórii mládeže za posledné štyri roky vyjadrený v percentuálnom umiestnení Slovenska v rebríčku mládeže svetovej federácie, k 30.9. roka, v ktorom sa robí výpočet,</w:t>
      </w:r>
    </w:p>
    <w:p w:rsidR="0077139A">
      <w:pPr>
        <w:widowControl/>
        <w:bidi w:val="0"/>
        <w:spacing w:after="100" w:line="240" w:lineRule="auto"/>
        <w:ind w:left="555"/>
        <w:contextualSpacing w:val="0"/>
        <w:jc w:val="both"/>
      </w:pPr>
      <w:r w:rsidR="001621DD">
        <w:rPr>
          <w:rFonts w:ascii="Times New Roman" w:hAnsi="Times New Roman" w:cs="Times New Roman"/>
          <w:b/>
        </w:rPr>
        <w:t>Z</w:t>
      </w:r>
      <w:r w:rsidR="001621DD">
        <w:rPr>
          <w:rFonts w:ascii="Times New Roman" w:hAnsi="Times New Roman" w:cs="Times New Roman"/>
          <w:b/>
          <w:vertAlign w:val="subscript"/>
        </w:rPr>
        <w:t>D</w:t>
      </w:r>
      <w:r w:rsidR="001621DD">
        <w:rPr>
          <w:rFonts w:ascii="Times New Roman" w:hAnsi="Times New Roman" w:cs="Times New Roman"/>
        </w:rPr>
        <w:t xml:space="preserve"> je domáci záujem obyvateľov Slovenska o šport daný prieskumami verejnej mienky, ktorých vykonanie zabezpečí ministerstvo každé dva roky vždy do 1 mesiaca od ukončenia OH v súlade s pravidlami prieskumu verejnej mienky vydanými formou všeobecne záväzného predpisu ministerstva, ktorých výsledky budú zverejnené. Prvý prieskum sa vykoná v roku 2016,</w:t>
      </w:r>
    </w:p>
    <w:p w:rsidR="0077139A">
      <w:pPr>
        <w:widowControl/>
        <w:bidi w:val="0"/>
        <w:spacing w:after="100" w:line="240" w:lineRule="auto"/>
        <w:ind w:left="555"/>
        <w:contextualSpacing w:val="0"/>
        <w:jc w:val="both"/>
      </w:pPr>
      <w:r w:rsidR="001621DD">
        <w:rPr>
          <w:rFonts w:ascii="Times New Roman" w:hAnsi="Times New Roman" w:cs="Times New Roman"/>
          <w:b/>
        </w:rPr>
        <w:t>Z</w:t>
      </w:r>
      <w:r w:rsidR="001621DD">
        <w:rPr>
          <w:rFonts w:ascii="Times New Roman" w:hAnsi="Times New Roman" w:cs="Times New Roman"/>
          <w:b/>
          <w:vertAlign w:val="subscript"/>
        </w:rPr>
        <w:t>Z</w:t>
      </w:r>
      <w:r w:rsidR="001621DD">
        <w:rPr>
          <w:rFonts w:ascii="Times New Roman" w:hAnsi="Times New Roman" w:cs="Times New Roman"/>
        </w:rPr>
        <w:t xml:space="preserve"> je zahraničný/medzinárodný záujem ľudí o šport daný prieskumami sledovanosti v zahraničných médiách, ktorých vykonanie zabezpečí ministerstvo každé dva roky vždy k 30.9. v súlade s pravidlami prieskumu sledovanosti vydanými formou všeobecne záväzného predpisu ministerstva, ktorých výsledky budú zverejnené. Prvý prieskum sa vykoná v roku 2016,</w:t>
      </w:r>
    </w:p>
    <w:p w:rsidR="0077139A">
      <w:pPr>
        <w:widowControl/>
        <w:bidi w:val="0"/>
        <w:spacing w:after="100" w:line="240" w:lineRule="auto"/>
        <w:ind w:left="555"/>
        <w:contextualSpacing w:val="0"/>
        <w:jc w:val="both"/>
      </w:pPr>
      <w:r w:rsidR="001621DD">
        <w:rPr>
          <w:rFonts w:ascii="Times New Roman" w:hAnsi="Times New Roman" w:cs="Times New Roman"/>
          <w:b/>
        </w:rPr>
        <w:t xml:space="preserve">M18 </w:t>
      </w:r>
      <w:r w:rsidR="001621DD">
        <w:rPr>
          <w:rFonts w:ascii="Times New Roman" w:hAnsi="Times New Roman" w:cs="Times New Roman"/>
        </w:rPr>
        <w:t>je priemerný počet aktívnych športovcov v uznanom športe vo veku do 18 rokov za posledné dva roky. Počet sa posudzuje vždy ku 30.9. roka v ktorom sa robí výpočet, pričom do počtu aktívnych športovcov sa započítavajú aj všetci športovci, ktorí v posudzovanom období nadobudli vek 18 rokov.</w:t>
      </w:r>
    </w:p>
    <w:p w:rsidR="0077139A">
      <w:pPr>
        <w:widowControl/>
        <w:bidi w:val="0"/>
        <w:spacing w:line="240" w:lineRule="auto"/>
        <w:contextualSpacing w:val="0"/>
        <w:jc w:val="both"/>
      </w:pPr>
    </w:p>
    <w:p w:rsidR="0077139A">
      <w:pPr>
        <w:widowControl/>
        <w:numPr>
          <w:numId w:val="1"/>
        </w:numPr>
        <w:bidi w:val="0"/>
        <w:spacing w:after="120" w:line="240" w:lineRule="auto"/>
        <w:ind w:left="555" w:hanging="360"/>
        <w:jc w:val="both"/>
        <w:rPr>
          <w:rFonts w:ascii="Times New Roman" w:hAnsi="Times New Roman" w:cs="Times New Roman"/>
        </w:rPr>
      </w:pPr>
      <w:r w:rsidR="001621DD">
        <w:rPr>
          <w:rFonts w:ascii="Times New Roman" w:hAnsi="Times New Roman" w:cs="Times New Roman"/>
        </w:rPr>
        <w:t xml:space="preserve">Športový úspech </w:t>
      </w:r>
      <w:r w:rsidR="001621DD">
        <w:rPr>
          <w:rFonts w:ascii="Times New Roman" w:hAnsi="Times New Roman" w:cs="Times New Roman"/>
          <w:b/>
        </w:rPr>
        <w:t>Ú</w:t>
      </w:r>
      <w:r w:rsidR="001621DD">
        <w:rPr>
          <w:rFonts w:ascii="Times New Roman" w:hAnsi="Times New Roman" w:cs="Times New Roman"/>
          <w:b/>
          <w:vertAlign w:val="subscript"/>
        </w:rPr>
        <w:t>D</w:t>
      </w:r>
      <w:r w:rsidR="001621DD">
        <w:rPr>
          <w:rFonts w:ascii="Times New Roman" w:hAnsi="Times New Roman" w:cs="Times New Roman"/>
        </w:rPr>
        <w:t xml:space="preserve"> a </w:t>
      </w:r>
      <w:r w:rsidR="001621DD">
        <w:rPr>
          <w:rFonts w:ascii="Times New Roman" w:hAnsi="Times New Roman" w:cs="Times New Roman"/>
          <w:b/>
        </w:rPr>
        <w:t>Ú</w:t>
      </w:r>
      <w:r w:rsidR="001621DD">
        <w:rPr>
          <w:rFonts w:ascii="Times New Roman" w:hAnsi="Times New Roman" w:cs="Times New Roman"/>
          <w:b/>
          <w:vertAlign w:val="subscript"/>
        </w:rPr>
        <w:t>M</w:t>
      </w:r>
      <w:r w:rsidR="001621DD">
        <w:rPr>
          <w:rFonts w:ascii="Times New Roman" w:hAnsi="Times New Roman" w:cs="Times New Roman"/>
        </w:rPr>
        <w:t xml:space="preserve"> v individuálnom športe vyjadruje postavenie Slovenska na svete v danom individuálnom športe.</w:t>
      </w:r>
    </w:p>
    <w:p w:rsidR="0077139A">
      <w:pPr>
        <w:widowControl/>
        <w:bidi w:val="0"/>
        <w:spacing w:after="120" w:line="240" w:lineRule="auto"/>
        <w:ind w:left="555"/>
        <w:contextualSpacing w:val="0"/>
        <w:jc w:val="both"/>
      </w:pPr>
      <w:r w:rsidR="001621DD">
        <w:rPr>
          <w:rFonts w:ascii="Times New Roman" w:hAnsi="Times New Roman" w:cs="Times New Roman"/>
        </w:rPr>
        <w:t>Športový úspech</w:t>
      </w:r>
      <w:r w:rsidR="001621DD">
        <w:rPr>
          <w:rFonts w:ascii="Times New Roman" w:hAnsi="Times New Roman" w:cs="Times New Roman"/>
          <w:b/>
        </w:rPr>
        <w:t xml:space="preserve"> Ú</w:t>
      </w:r>
      <w:r w:rsidR="001621DD">
        <w:rPr>
          <w:rFonts w:ascii="Times New Roman" w:hAnsi="Times New Roman" w:cs="Times New Roman"/>
          <w:b/>
          <w:vertAlign w:val="subscript"/>
        </w:rPr>
        <w:t xml:space="preserve">D </w:t>
      </w:r>
      <w:r w:rsidR="001621DD">
        <w:rPr>
          <w:rFonts w:ascii="Times New Roman" w:hAnsi="Times New Roman" w:cs="Times New Roman"/>
        </w:rPr>
        <w:t xml:space="preserve">a </w:t>
      </w:r>
      <w:r w:rsidR="001621DD">
        <w:rPr>
          <w:rFonts w:ascii="Times New Roman" w:hAnsi="Times New Roman" w:cs="Times New Roman"/>
          <w:b/>
        </w:rPr>
        <w:t>Ú</w:t>
      </w:r>
      <w:r w:rsidR="001621DD">
        <w:rPr>
          <w:rFonts w:ascii="Times New Roman" w:hAnsi="Times New Roman" w:cs="Times New Roman"/>
          <w:b/>
          <w:vertAlign w:val="subscript"/>
        </w:rPr>
        <w:t>M</w:t>
      </w:r>
      <w:r w:rsidR="001621DD">
        <w:rPr>
          <w:rFonts w:ascii="Times New Roman" w:hAnsi="Times New Roman" w:cs="Times New Roman"/>
        </w:rPr>
        <w:t xml:space="preserve"> v individuálnom športe sa vypočíta ako vážený priemer postavenia Slovenska v oficiálnom rebríčku svetovej federácie daného športu v kategórii dospelých (mužov a žien) a mládeže, redukovaného s ohľadom na to, či sa jedná o olympijský alebo neolympijský šport podľa pravidiel, ktoré ustanoví vláda nariadením, prepočítaného na 100 %.</w:t>
      </w:r>
    </w:p>
    <w:p w:rsidR="0077139A">
      <w:pPr>
        <w:widowControl/>
        <w:bidi w:val="0"/>
        <w:spacing w:after="100" w:line="240" w:lineRule="auto"/>
        <w:ind w:left="555"/>
        <w:contextualSpacing w:val="0"/>
        <w:jc w:val="both"/>
      </w:pPr>
      <w:r w:rsidR="001621DD">
        <w:rPr>
          <w:rFonts w:ascii="Times New Roman" w:hAnsi="Times New Roman" w:cs="Times New Roman"/>
        </w:rPr>
        <w:t xml:space="preserve">V prípade, že v danom individuálnom športe neexistuje oficiálny rebríček svetovej federácie, športový úspech </w:t>
      </w:r>
      <w:r w:rsidR="001621DD">
        <w:rPr>
          <w:rFonts w:ascii="Times New Roman" w:hAnsi="Times New Roman" w:cs="Times New Roman"/>
          <w:b/>
        </w:rPr>
        <w:t>Ú</w:t>
      </w:r>
      <w:r w:rsidR="001621DD">
        <w:rPr>
          <w:rFonts w:ascii="Times New Roman" w:hAnsi="Times New Roman" w:cs="Times New Roman"/>
          <w:b/>
          <w:vertAlign w:val="subscript"/>
        </w:rPr>
        <w:t>D</w:t>
      </w:r>
      <w:r w:rsidR="001621DD">
        <w:rPr>
          <w:rFonts w:ascii="Times New Roman" w:hAnsi="Times New Roman" w:cs="Times New Roman"/>
        </w:rPr>
        <w:t xml:space="preserve"> a </w:t>
      </w:r>
      <w:r w:rsidR="001621DD">
        <w:rPr>
          <w:rFonts w:ascii="Times New Roman" w:hAnsi="Times New Roman" w:cs="Times New Roman"/>
          <w:b/>
        </w:rPr>
        <w:t>Ú</w:t>
      </w:r>
      <w:r w:rsidR="001621DD">
        <w:rPr>
          <w:rFonts w:ascii="Times New Roman" w:hAnsi="Times New Roman" w:cs="Times New Roman"/>
          <w:b/>
          <w:vertAlign w:val="subscript"/>
        </w:rPr>
        <w:t xml:space="preserve">M </w:t>
      </w:r>
      <w:r w:rsidR="001621DD">
        <w:rPr>
          <w:rFonts w:ascii="Times New Roman" w:hAnsi="Times New Roman" w:cs="Times New Roman"/>
        </w:rPr>
        <w:t xml:space="preserve">sa vypočíta ako priemer stanoveného počtu najlepších výsledkov športovcov daného športu, dosiahnutých v posledných štyroch rokoch redukovaných na výsledky majstrovstiev sveta podľa pravidiel, ktoré ustanoví vláda nariadením, prepočítaných na 100 % a vynásobených koeficientom medziročného útlmu </w:t>
      </w:r>
      <w:r w:rsidR="001621DD">
        <w:rPr>
          <w:rFonts w:ascii="Times New Roman" w:hAnsi="Times New Roman" w:cs="Times New Roman"/>
          <w:b/>
        </w:rPr>
        <w:t>K</w:t>
      </w:r>
      <w:r w:rsidR="001621DD">
        <w:rPr>
          <w:rFonts w:ascii="Times New Roman" w:hAnsi="Times New Roman" w:cs="Times New Roman"/>
          <w:b/>
          <w:vertAlign w:val="subscript"/>
        </w:rPr>
        <w:t>MRÚ</w:t>
      </w:r>
      <w:r w:rsidR="001621DD">
        <w:rPr>
          <w:rFonts w:ascii="Times New Roman" w:hAnsi="Times New Roman" w:cs="Times New Roman"/>
        </w:rPr>
        <w:t xml:space="preserve"> podľa </w:t>
      </w:r>
      <w:r w:rsidR="001621DD">
        <w:rPr>
          <w:rFonts w:ascii="Times New Roman" w:hAnsi="Times New Roman" w:cs="Times New Roman"/>
          <w:b/>
        </w:rPr>
        <w:t>tabuľky č. 2</w:t>
      </w:r>
      <w:r w:rsidR="001621DD">
        <w:rPr>
          <w:rFonts w:ascii="Times New Roman" w:hAnsi="Times New Roman" w:cs="Times New Roman"/>
        </w:rPr>
        <w:t>.</w:t>
      </w:r>
    </w:p>
    <w:p w:rsidR="0077139A">
      <w:pPr>
        <w:widowControl/>
        <w:bidi w:val="0"/>
        <w:spacing w:after="100" w:line="240" w:lineRule="auto"/>
        <w:ind w:left="555"/>
        <w:contextualSpacing w:val="0"/>
        <w:jc w:val="both"/>
      </w:pPr>
      <w:r w:rsidR="001621DD">
        <w:rPr>
          <w:rFonts w:ascii="Times New Roman" w:hAnsi="Times New Roman" w:cs="Times New Roman"/>
        </w:rPr>
        <w:t xml:space="preserve">Počet výsledkov v kategórii dospelých a mládeže stanoví vláda nariadením. Ak v individuálnom športe existuje menší počet príležitostí dosiahnuť výsledok ako počet stanovený podľa predchádzajúcej vety, vypočíta sa športový úspech </w:t>
      </w:r>
      <w:r w:rsidR="001621DD">
        <w:rPr>
          <w:rFonts w:ascii="Times New Roman" w:hAnsi="Times New Roman" w:cs="Times New Roman"/>
          <w:b/>
        </w:rPr>
        <w:t>Ú</w:t>
      </w:r>
      <w:r w:rsidR="001621DD">
        <w:rPr>
          <w:rFonts w:ascii="Times New Roman" w:hAnsi="Times New Roman" w:cs="Times New Roman"/>
          <w:b/>
          <w:vertAlign w:val="subscript"/>
        </w:rPr>
        <w:t>D</w:t>
      </w:r>
      <w:r w:rsidR="001621DD">
        <w:rPr>
          <w:rFonts w:ascii="Times New Roman" w:hAnsi="Times New Roman" w:cs="Times New Roman"/>
        </w:rPr>
        <w:t xml:space="preserve"> a </w:t>
      </w:r>
      <w:r w:rsidR="001621DD">
        <w:rPr>
          <w:rFonts w:ascii="Times New Roman" w:hAnsi="Times New Roman" w:cs="Times New Roman"/>
          <w:b/>
        </w:rPr>
        <w:t>Ú</w:t>
      </w:r>
      <w:r w:rsidR="001621DD">
        <w:rPr>
          <w:rFonts w:ascii="Times New Roman" w:hAnsi="Times New Roman" w:cs="Times New Roman"/>
          <w:b/>
          <w:vertAlign w:val="subscript"/>
        </w:rPr>
        <w:t xml:space="preserve">M </w:t>
      </w:r>
      <w:r w:rsidR="001621DD">
        <w:rPr>
          <w:rFonts w:ascii="Times New Roman" w:hAnsi="Times New Roman" w:cs="Times New Roman"/>
        </w:rPr>
        <w:t>z maximálneho počtu príležitostí.</w:t>
      </w:r>
    </w:p>
    <w:p w:rsidR="0077139A">
      <w:pPr>
        <w:widowControl/>
        <w:bidi w:val="0"/>
        <w:spacing w:after="100" w:line="240" w:lineRule="auto"/>
        <w:ind w:left="555"/>
        <w:contextualSpacing w:val="0"/>
        <w:jc w:val="both"/>
      </w:pPr>
      <w:r w:rsidR="001621DD">
        <w:rPr>
          <w:rFonts w:ascii="Times New Roman" w:hAnsi="Times New Roman" w:cs="Times New Roman"/>
        </w:rPr>
        <w:t>V individuálnom športe sa v kategórii mládeže do výpočtu zadávajú výsledky z jednej z dvoch najvyšších vekových kategórií, v ktorých sa konajú majstrovstvá sveta, v ktorej boli dosiahnuté v danom športe lepšie výsledky.</w:t>
      </w:r>
    </w:p>
    <w:p w:rsidR="0077139A">
      <w:pPr>
        <w:widowControl/>
        <w:bidi w:val="0"/>
        <w:spacing w:after="100" w:line="240" w:lineRule="auto"/>
        <w:ind w:left="555"/>
        <w:contextualSpacing w:val="0"/>
        <w:jc w:val="both"/>
      </w:pPr>
      <w:r w:rsidR="001621DD">
        <w:rPr>
          <w:rFonts w:ascii="Times New Roman" w:hAnsi="Times New Roman" w:cs="Times New Roman"/>
          <w:b/>
        </w:rPr>
        <w:t>Ú</w:t>
      </w:r>
      <w:r w:rsidR="001621DD">
        <w:rPr>
          <w:rFonts w:ascii="Times New Roman" w:hAnsi="Times New Roman" w:cs="Times New Roman"/>
          <w:b/>
          <w:vertAlign w:val="subscript"/>
        </w:rPr>
        <w:t>D</w:t>
      </w:r>
      <w:r w:rsidR="001621DD">
        <w:rPr>
          <w:rFonts w:ascii="Times New Roman" w:hAnsi="Times New Roman" w:cs="Times New Roman"/>
          <w:b/>
        </w:rPr>
        <w:t>, resp. Ú</w:t>
      </w:r>
      <w:r w:rsidR="001621DD">
        <w:rPr>
          <w:rFonts w:ascii="Times New Roman" w:hAnsi="Times New Roman" w:cs="Times New Roman"/>
          <w:b/>
          <w:vertAlign w:val="subscript"/>
        </w:rPr>
        <w:t>M</w:t>
      </w:r>
      <w:r w:rsidR="001621DD">
        <w:rPr>
          <w:rFonts w:ascii="Times New Roman" w:hAnsi="Times New Roman" w:cs="Times New Roman"/>
          <w:b/>
        </w:rPr>
        <w:t xml:space="preserve"> = (Výsledok + Redukcia) * K</w:t>
      </w:r>
      <w:r w:rsidR="001621DD">
        <w:rPr>
          <w:rFonts w:ascii="Times New Roman" w:hAnsi="Times New Roman" w:cs="Times New Roman"/>
          <w:b/>
          <w:vertAlign w:val="subscript"/>
        </w:rPr>
        <w:t>MRÚ</w:t>
      </w:r>
    </w:p>
    <w:p w:rsidR="0077139A">
      <w:pPr>
        <w:widowControl/>
        <w:bidi w:val="0"/>
        <w:spacing w:after="100" w:line="240" w:lineRule="auto"/>
        <w:ind w:left="555"/>
        <w:contextualSpacing w:val="0"/>
        <w:jc w:val="both"/>
      </w:pPr>
      <w:r w:rsidR="001621DD">
        <w:rPr>
          <w:rFonts w:ascii="Times New Roman" w:hAnsi="Times New Roman" w:cs="Times New Roman"/>
        </w:rPr>
        <w:t xml:space="preserve">Vláda môže nariadením stanoviť pre vybrané športy aj inú metódu určenia postavenia Slovenska v individuálnom športe tak, aby bolo určené čo najobjektívnejšie. Toto ustanovenie platí len v prípade, že v danom individuálnom športe neexistuje oficiálny rebríček svetovej federácie. </w:t>
      </w:r>
    </w:p>
    <w:p w:rsidR="0077139A">
      <w:pPr>
        <w:widowControl/>
        <w:bidi w:val="0"/>
        <w:spacing w:after="120" w:line="240" w:lineRule="auto"/>
        <w:contextualSpacing w:val="0"/>
        <w:jc w:val="both"/>
      </w:pPr>
    </w:p>
    <w:p w:rsidR="0077139A">
      <w:pPr>
        <w:widowControl/>
        <w:numPr>
          <w:numId w:val="1"/>
        </w:numPr>
        <w:bidi w:val="0"/>
        <w:spacing w:after="120" w:line="240" w:lineRule="auto"/>
        <w:ind w:left="555" w:hanging="360"/>
        <w:jc w:val="both"/>
        <w:rPr>
          <w:rFonts w:ascii="Times New Roman" w:hAnsi="Times New Roman" w:cs="Times New Roman"/>
        </w:rPr>
      </w:pPr>
      <w:r w:rsidR="001621DD">
        <w:rPr>
          <w:rFonts w:ascii="Times New Roman" w:hAnsi="Times New Roman" w:cs="Times New Roman"/>
        </w:rPr>
        <w:t>Športový úspech</w:t>
      </w:r>
      <w:r w:rsidR="001621DD">
        <w:rPr>
          <w:rFonts w:ascii="Times New Roman" w:hAnsi="Times New Roman" w:cs="Times New Roman"/>
          <w:b/>
        </w:rPr>
        <w:t xml:space="preserve"> Ú</w:t>
      </w:r>
      <w:r w:rsidR="001621DD">
        <w:rPr>
          <w:rFonts w:ascii="Times New Roman" w:hAnsi="Times New Roman" w:cs="Times New Roman"/>
          <w:b/>
          <w:vertAlign w:val="subscript"/>
        </w:rPr>
        <w:t xml:space="preserve">D </w:t>
      </w:r>
      <w:r w:rsidR="001621DD">
        <w:rPr>
          <w:rFonts w:ascii="Times New Roman" w:hAnsi="Times New Roman" w:cs="Times New Roman"/>
        </w:rPr>
        <w:t xml:space="preserve">a </w:t>
      </w:r>
      <w:r w:rsidR="001621DD">
        <w:rPr>
          <w:rFonts w:ascii="Times New Roman" w:hAnsi="Times New Roman" w:cs="Times New Roman"/>
          <w:b/>
        </w:rPr>
        <w:t>Ú</w:t>
      </w:r>
      <w:r w:rsidR="001621DD">
        <w:rPr>
          <w:rFonts w:ascii="Times New Roman" w:hAnsi="Times New Roman" w:cs="Times New Roman"/>
          <w:b/>
          <w:vertAlign w:val="subscript"/>
        </w:rPr>
        <w:t>M</w:t>
      </w:r>
      <w:r w:rsidR="001621DD">
        <w:rPr>
          <w:rFonts w:ascii="Times New Roman" w:hAnsi="Times New Roman" w:cs="Times New Roman"/>
        </w:rPr>
        <w:t xml:space="preserve"> v kolektívnom športe sa vypočíta ako vážený priemer postavenia Slovenska v oficiálnom rebríčku svetovej federácie daného športu v kategórii dospelých (mužov a žien) a mládeže, redukovaného s ohľadom na to, či sa jedná o olympijský alebo neolympijský šport podľa pravidiel, ktoré stanoví vláda nariadením,</w:t>
      </w:r>
      <w:r w:rsidR="001621DD">
        <w:rPr>
          <w:rFonts w:ascii="Times New Roman" w:hAnsi="Times New Roman" w:cs="Times New Roman"/>
          <w:b/>
        </w:rPr>
        <w:t xml:space="preserve"> </w:t>
      </w:r>
      <w:r w:rsidR="001621DD">
        <w:rPr>
          <w:rFonts w:ascii="Times New Roman" w:hAnsi="Times New Roman" w:cs="Times New Roman"/>
        </w:rPr>
        <w:t>prepočítaného na 100 %.</w:t>
      </w:r>
    </w:p>
    <w:p w:rsidR="0077139A">
      <w:pPr>
        <w:widowControl/>
        <w:bidi w:val="0"/>
        <w:spacing w:after="120" w:line="240" w:lineRule="auto"/>
        <w:ind w:left="555"/>
        <w:contextualSpacing w:val="0"/>
        <w:jc w:val="both"/>
      </w:pPr>
      <w:r w:rsidR="001621DD">
        <w:rPr>
          <w:rFonts w:ascii="Times New Roman" w:hAnsi="Times New Roman" w:cs="Times New Roman"/>
        </w:rPr>
        <w:t xml:space="preserve">Pre kolektívne športy, v ktorých sa súťaží vo viacerých športových odvetviach a v kategóriách muži a ženy ustanoví vláda nariadením váhy pre jednotlivé športové disciplíny a kategórie. To platí aj pre športy, ktorých súčasťou sú zároveň kolektívne športové odvetvia a individuálne športové odvetvia. </w:t>
      </w:r>
    </w:p>
    <w:p w:rsidR="0077139A">
      <w:pPr>
        <w:widowControl/>
        <w:bidi w:val="0"/>
        <w:spacing w:after="60" w:line="240" w:lineRule="auto"/>
        <w:ind w:left="555"/>
        <w:contextualSpacing w:val="0"/>
        <w:jc w:val="both"/>
      </w:pPr>
      <w:r w:rsidR="001621DD">
        <w:rPr>
          <w:rFonts w:ascii="Times New Roman" w:hAnsi="Times New Roman" w:cs="Times New Roman"/>
        </w:rPr>
        <w:t>V kolektívnom športe sa v kategórii mládeže do výpočtu zadáva lepšie postavenie z dvoch najvyšších vekových kategórií, v ktorých sa konajú majstrovstvá sveta alebo olympijské hry.</w:t>
      </w:r>
    </w:p>
    <w:p w:rsidR="0077139A">
      <w:pPr>
        <w:widowControl/>
        <w:bidi w:val="0"/>
        <w:spacing w:after="100" w:line="240" w:lineRule="auto"/>
        <w:ind w:left="420"/>
        <w:contextualSpacing w:val="0"/>
        <w:jc w:val="both"/>
      </w:pPr>
    </w:p>
    <w:p w:rsidR="0077139A">
      <w:pPr>
        <w:widowControl/>
        <w:bidi w:val="0"/>
        <w:spacing w:line="360" w:lineRule="auto"/>
        <w:ind w:left="420" w:firstLine="135"/>
        <w:contextualSpacing w:val="0"/>
        <w:jc w:val="both"/>
      </w:pPr>
      <w:r w:rsidR="001621DD">
        <w:rPr>
          <w:rFonts w:ascii="Times New Roman" w:hAnsi="Times New Roman" w:cs="Times New Roman"/>
          <w:b/>
        </w:rPr>
        <w:t>Tabuľka č. 1 - Koeficient významu výsledku K</w:t>
      </w:r>
      <w:r w:rsidR="001621DD">
        <w:rPr>
          <w:rFonts w:ascii="Times New Roman" w:hAnsi="Times New Roman" w:cs="Times New Roman"/>
          <w:b/>
          <w:vertAlign w:val="subscript"/>
        </w:rPr>
        <w:t>VV</w:t>
      </w:r>
    </w:p>
    <w:tbl>
      <w:tblPr>
        <w:tblStyle w:val="TableNormal"/>
        <w:tblStyleRowBandSize w:val="1"/>
        <w:tblStyleColBandSize w:val="1"/>
        <w:tblW w:w="6780" w:type="dxa"/>
        <w:tblInd w:w="56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0"/>
        <w:gridCol w:w="690"/>
        <w:gridCol w:w="360"/>
        <w:gridCol w:w="375"/>
        <w:gridCol w:w="570"/>
        <w:gridCol w:w="405"/>
        <w:gridCol w:w="420"/>
        <w:gridCol w:w="540"/>
        <w:gridCol w:w="360"/>
        <w:gridCol w:w="405"/>
        <w:gridCol w:w="495"/>
        <w:gridCol w:w="360"/>
        <w:gridCol w:w="450"/>
        <w:gridCol w:w="600"/>
        <w:gridCol w:w="390"/>
      </w:tblGrid>
      <w:tr>
        <w:tblPrEx>
          <w:tblW w:w="6780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Kvv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Kvv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Kvv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  <w:tc>
          <w:tcPr>
            <w:tcW w:w="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Kvv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Kvv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</w:tr>
      <w:tr>
        <w:tblPrEx>
          <w:tblW w:w="6780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100,3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21,4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</w:tr>
      <w:tr>
        <w:tblPrEx>
          <w:tblW w:w="6780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</w:tr>
      <w:tr>
        <w:tblPrEx>
          <w:tblW w:w="6780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</w:tr>
      <w:tr>
        <w:tblPrEx>
          <w:tblW w:w="6780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</w:tr>
      <w:tr>
        <w:tblPrEx>
          <w:tblW w:w="6780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</w:tr>
      <w:tr>
        <w:tblPrEx>
          <w:tblW w:w="6780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</w:tr>
      <w:tr>
        <w:tblPrEx>
          <w:tblW w:w="6780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</w:tr>
      <w:tr>
        <w:tblPrEx>
          <w:tblW w:w="6780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</w:tr>
      <w:tr>
        <w:tblPrEx>
          <w:tblW w:w="6780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</w:tr>
      <w:tr>
        <w:tblPrEx>
          <w:tblW w:w="6780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</w:tr>
    </w:tbl>
    <w:p w:rsidR="0077139A">
      <w:pPr>
        <w:widowControl/>
        <w:bidi w:val="0"/>
        <w:spacing w:after="120" w:line="360" w:lineRule="auto"/>
        <w:contextualSpacing w:val="0"/>
        <w:jc w:val="both"/>
      </w:pPr>
    </w:p>
    <w:tbl>
      <w:tblPr>
        <w:tblStyle w:val="TableNormal"/>
        <w:tblStyleRowBandSize w:val="1"/>
        <w:tblStyleColBandSize w:val="1"/>
        <w:tblW w:w="6780" w:type="dxa"/>
        <w:tblInd w:w="56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0"/>
        <w:gridCol w:w="690"/>
        <w:gridCol w:w="360"/>
        <w:gridCol w:w="375"/>
        <w:gridCol w:w="570"/>
        <w:gridCol w:w="405"/>
        <w:gridCol w:w="420"/>
        <w:gridCol w:w="540"/>
        <w:gridCol w:w="360"/>
        <w:gridCol w:w="405"/>
        <w:gridCol w:w="495"/>
        <w:gridCol w:w="360"/>
        <w:gridCol w:w="480"/>
        <w:gridCol w:w="600"/>
        <w:gridCol w:w="360"/>
      </w:tblGrid>
      <w:tr>
        <w:tblPrEx>
          <w:tblW w:w="6780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Kvv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Kvv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Kvv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  <w:tc>
          <w:tcPr>
            <w:tcW w:w="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Kvv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ind w:right="-255"/>
              <w:contextualSpacing w:val="0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Kvv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</w:tr>
      <w:tr>
        <w:tblPrEx>
          <w:tblW w:w="6780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</w:tr>
      <w:tr>
        <w:tblPrEx>
          <w:tblW w:w="6780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</w:tr>
      <w:tr>
        <w:tblPrEx>
          <w:tblW w:w="6780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</w:tr>
      <w:tr>
        <w:tblPrEx>
          <w:tblW w:w="6780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</w:tr>
      <w:tr>
        <w:tblPrEx>
          <w:tblW w:w="6780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</w:tr>
      <w:tr>
        <w:tblPrEx>
          <w:tblW w:w="6780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</w:tr>
      <w:tr>
        <w:tblPrEx>
          <w:tblW w:w="6780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</w:tr>
      <w:tr>
        <w:tblPrEx>
          <w:tblW w:w="6780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</w:tr>
      <w:tr>
        <w:tblPrEx>
          <w:tblW w:w="6780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</w:tr>
      <w:tr>
        <w:tblPrEx>
          <w:tblW w:w="6780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</w:p>
        </w:tc>
      </w:tr>
    </w:tbl>
    <w:p w:rsidR="0077139A">
      <w:pPr>
        <w:widowControl/>
        <w:bidi w:val="0"/>
        <w:spacing w:after="120" w:line="240" w:lineRule="auto"/>
        <w:contextualSpacing w:val="0"/>
        <w:jc w:val="both"/>
      </w:pPr>
    </w:p>
    <w:p w:rsidR="0077139A">
      <w:pPr>
        <w:widowControl/>
        <w:bidi w:val="0"/>
        <w:spacing w:after="120" w:line="240" w:lineRule="auto"/>
        <w:ind w:left="420" w:firstLine="135"/>
        <w:contextualSpacing w:val="0"/>
        <w:jc w:val="both"/>
      </w:pPr>
      <w:r w:rsidR="001621DD">
        <w:rPr>
          <w:rFonts w:ascii="Times New Roman" w:hAnsi="Times New Roman" w:cs="Times New Roman"/>
          <w:b/>
        </w:rPr>
        <w:t>Tabuľka č. 2 - Koeficient medziročného útlmu K</w:t>
      </w:r>
      <w:r w:rsidR="001621DD">
        <w:rPr>
          <w:rFonts w:ascii="Times New Roman" w:hAnsi="Times New Roman" w:cs="Times New Roman"/>
          <w:b/>
          <w:vertAlign w:val="subscript"/>
        </w:rPr>
        <w:t>MRÚ</w:t>
      </w:r>
      <w:r w:rsidR="001621DD">
        <w:rPr>
          <w:rFonts w:ascii="Times New Roman" w:hAnsi="Times New Roman" w:cs="Times New Roman"/>
          <w:vertAlign w:val="subscript"/>
        </w:rPr>
        <w:t xml:space="preserve"> </w:t>
      </w:r>
    </w:p>
    <w:tbl>
      <w:tblPr>
        <w:tblStyle w:val="TableNormal"/>
        <w:tblStyleRowBandSize w:val="1"/>
        <w:tblStyleColBandSize w:val="1"/>
        <w:tblW w:w="3270" w:type="dxa"/>
        <w:tblInd w:w="56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50"/>
        <w:gridCol w:w="630"/>
        <w:gridCol w:w="630"/>
        <w:gridCol w:w="660"/>
        <w:gridCol w:w="600"/>
      </w:tblGrid>
      <w:tr>
        <w:tblPrEx>
          <w:tblW w:w="3270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</w:pPr>
            <w:r w:rsidR="001621DD">
              <w:rPr>
                <w:rFonts w:ascii="Times New Roman" w:hAnsi="Times New Roman" w:cs="Times New Roman"/>
                <w:b/>
                <w:sz w:val="18"/>
                <w:szCs w:val="18"/>
              </w:rPr>
              <w:t>Rok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b/>
                <w:sz w:val="18"/>
                <w:szCs w:val="18"/>
              </w:rPr>
              <w:t>R - 3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b/>
                <w:sz w:val="18"/>
                <w:szCs w:val="18"/>
              </w:rPr>
              <w:t>R - 2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b/>
                <w:sz w:val="18"/>
                <w:szCs w:val="18"/>
              </w:rPr>
              <w:t>R - 1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</w:tr>
      <w:tr>
        <w:tblPrEx>
          <w:tblW w:w="3270" w:type="dxa"/>
          <w:tblInd w:w="56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</w:pPr>
            <w:r w:rsidR="001621DD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="001621DD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MRÚ</w:t>
            </w:r>
            <w:r w:rsidR="00162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10 %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20 %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30 %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7139A">
            <w:pPr>
              <w:widowControl/>
              <w:bidi w:val="0"/>
              <w:spacing w:line="240" w:lineRule="auto"/>
              <w:contextualSpacing w:val="0"/>
              <w:jc w:val="center"/>
            </w:pPr>
            <w:r w:rsidR="001621DD">
              <w:rPr>
                <w:rFonts w:ascii="Times New Roman" w:hAnsi="Times New Roman" w:cs="Times New Roman"/>
                <w:sz w:val="18"/>
                <w:szCs w:val="18"/>
              </w:rPr>
              <w:t>40 %</w:t>
            </w:r>
          </w:p>
        </w:tc>
      </w:tr>
    </w:tbl>
    <w:p w:rsidR="0077139A">
      <w:pPr>
        <w:widowControl/>
        <w:bidi w:val="0"/>
        <w:spacing w:after="120" w:line="240" w:lineRule="auto"/>
        <w:contextualSpacing w:val="0"/>
        <w:jc w:val="both"/>
      </w:pPr>
    </w:p>
    <w:p w:rsidR="0077139A">
      <w:pPr>
        <w:widowControl/>
        <w:numPr>
          <w:numId w:val="1"/>
        </w:numPr>
        <w:bidi w:val="0"/>
        <w:spacing w:after="120" w:line="240" w:lineRule="auto"/>
        <w:ind w:left="555" w:hanging="360"/>
        <w:jc w:val="both"/>
        <w:rPr>
          <w:rFonts w:ascii="Times New Roman" w:hAnsi="Times New Roman" w:cs="Times New Roman"/>
        </w:rPr>
      </w:pPr>
      <w:r w:rsidR="001621DD">
        <w:rPr>
          <w:rFonts w:ascii="Times New Roman" w:hAnsi="Times New Roman" w:cs="Times New Roman"/>
        </w:rPr>
        <w:t>Maximálny percentuálny podiel príspevku pre jeden športový zväz a maximálny možný medziročný pokles výšky príspevku pre jeden športový zväz stanoví vláda nariadením.</w:t>
      </w:r>
    </w:p>
    <w:sectPr>
      <w:pgSz w:w="11906" w:h="16838"/>
      <w:pgMar w:top="1247" w:right="1133" w:bottom="1133" w:left="1133" w:header="708" w:footer="708" w:gutter="0"/>
      <w:lnNumType w:distance="0"/>
      <w:pgNumType w:start="1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B109D"/>
    <w:multiLevelType w:val="multilevel"/>
    <w:tmpl w:val="34D66296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b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displayBackgroundShape/>
  <w:doNotTrackMoves/>
  <w:defaultTabStop w:val="720"/>
  <w:hyphenationZone w:val="425"/>
  <w:characterSpacingControl w:val="doNotCompress"/>
  <w:compat/>
  <w:rsids>
    <w:rsidRoot w:val="0077139A"/>
    <w:rsid w:val="001621DD"/>
    <w:rsid w:val="0077139A"/>
    <w:rsid w:val="00E5163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color w:val="000000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framePr w:wrap="auto"/>
      <w:widowControl w:val="0"/>
      <w:autoSpaceDE/>
      <w:autoSpaceDN/>
      <w:adjustRightInd/>
      <w:spacing w:line="276" w:lineRule="auto"/>
      <w:ind w:left="0" w:right="0"/>
      <w:contextualSpacing/>
      <w:jc w:val="left"/>
      <w:textAlignment w:val="auto"/>
    </w:pPr>
    <w:rPr>
      <w:rFonts w:ascii="Arial" w:eastAsia="Arial" w:hAnsi="Arial" w:cs="Arial"/>
      <w:color w:val="000000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pPr>
      <w:spacing w:before="200"/>
      <w:jc w:val="left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spacing w:after="80"/>
      <w:jc w:val="both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pPr>
      <w:spacing w:after="8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pPr>
      <w:spacing w:before="160"/>
      <w:jc w:val="left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jc w:val="left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jc w:val="left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pPr>
      <w:jc w:val="left"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spacing w:after="200"/>
      <w:jc w:val="left"/>
    </w:pPr>
    <w:rPr>
      <w:rFonts w:ascii="Trebuchet MS" w:eastAsia="Trebuchet MS" w:hAnsi="Trebuchet MS" w:cs="Trebuchet MS"/>
      <w:sz w:val="26"/>
      <w:szCs w:val="26"/>
    </w:r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rsid w:val="00805BCE"/>
    <w:pPr>
      <w:framePr w:wrap="auto"/>
      <w:widowControl/>
      <w:autoSpaceDE/>
      <w:autoSpaceDN/>
      <w:adjustRightInd/>
      <w:spacing w:line="240" w:lineRule="auto"/>
      <w:ind w:left="0" w:right="0"/>
      <w:contextualSpacing w:val="0"/>
      <w:jc w:val="left"/>
      <w:textAlignment w:val="auto"/>
    </w:pPr>
    <w:rPr>
      <w:rFonts w:ascii="Times New Roman" w:eastAsia="Times New Roman" w:hAnsi="Times New Roman" w:cs="Times New Roman"/>
      <w:color w:val="auto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rsid w:val="00805BCE"/>
    <w:pPr>
      <w:framePr w:wrap="auto"/>
      <w:widowControl/>
      <w:autoSpaceDE/>
      <w:autoSpaceDN/>
      <w:adjustRightInd/>
      <w:spacing w:line="240" w:lineRule="auto"/>
      <w:ind w:left="0" w:right="0"/>
      <w:contextualSpacing w:val="0"/>
      <w:jc w:val="left"/>
      <w:textAlignment w:val="auto"/>
    </w:pPr>
    <w:rPr>
      <w:rFonts w:ascii="Times New Roman" w:eastAsia="Times New Roman" w:hAnsi="Times New Roman" w:cs="Times New Roman"/>
      <w:b/>
      <w:bCs/>
      <w:color w:val="auto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B80A431-090A-40DE-B06A-D17C34B07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632ADDF-3BB8-4A9B-96FF-14159EF96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26BF8-4A4B-44FD-B0FE-E47196B1D7D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839</Words>
  <Characters>4785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dcterms:created xsi:type="dcterms:W3CDTF">2015-08-28T14:37:00Z</dcterms:created>
  <dcterms:modified xsi:type="dcterms:W3CDTF">2015-08-28T14:37:00Z</dcterms:modified>
</cp:coreProperties>
</file>