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3063" w:rsidRPr="008910C3" w:rsidP="004F3063">
      <w:pPr>
        <w:bidi w:val="0"/>
        <w:rPr>
          <w:rFonts w:ascii="Times New Roman" w:hAnsi="Times New Roman"/>
          <w:b/>
          <w:color w:val="000000" w:themeColor="tx1" w:themeShade="FF"/>
          <w:sz w:val="28"/>
          <w:szCs w:val="28"/>
          <w:lang w:val="sk-SK"/>
        </w:rPr>
      </w:pPr>
      <w:r w:rsidRPr="008910C3">
        <w:rPr>
          <w:rFonts w:ascii="Times New Roman" w:hAnsi="Times New Roman"/>
          <w:b/>
          <w:color w:val="000000" w:themeColor="tx1" w:themeShade="FF"/>
          <w:sz w:val="28"/>
          <w:szCs w:val="28"/>
          <w:lang w:val="sk-SK"/>
        </w:rPr>
        <w:t>Sociálne vplyvy -  vplyvy na hospodárenie obyvateľstva, sociálnu exklúziu, rovnosť príležitostí a rodovú rovnosť  a na zamestnanosť</w:t>
      </w:r>
    </w:p>
    <w:p w:rsidR="004F3063" w:rsidRPr="008910C3" w:rsidP="004F3063">
      <w:pPr>
        <w:bidi w:val="0"/>
        <w:rPr>
          <w:rFonts w:ascii="Times New Roman" w:hAnsi="Times New Roman"/>
          <w:b/>
          <w:bCs/>
          <w:color w:val="000000" w:themeColor="tx1" w:themeShade="FF"/>
          <w:lang w:val="sk-SK"/>
        </w:rPr>
      </w:pPr>
    </w:p>
    <w:p w:rsidR="004F3063" w:rsidRPr="008910C3" w:rsidP="004F3063">
      <w:pPr>
        <w:bidi w:val="0"/>
        <w:rPr>
          <w:rFonts w:ascii="Times New Roman" w:hAnsi="Times New Roman"/>
          <w:b/>
          <w:bCs/>
          <w:color w:val="000000" w:themeColor="tx1" w:themeShade="FF"/>
          <w:lang w:val="sk-SK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  <w:tblLook w:val="04A0"/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lrTb"/>
            <w:vAlign w:val="top"/>
            <w:hideMark/>
          </w:tcPr>
          <w:p w:rsidR="004F3063" w:rsidRPr="008910C3" w:rsidP="007837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x1" w:themeShade="FF"/>
                <w:lang w:val="sk-SK"/>
              </w:rPr>
            </w:pPr>
            <w:r w:rsidRPr="008910C3">
              <w:rPr>
                <w:rFonts w:ascii="Times New Roman" w:hAnsi="Times New Roman"/>
                <w:b/>
                <w:bCs/>
                <w:color w:val="000000" w:themeColor="tx1" w:themeShade="FF"/>
                <w:lang w:val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4F3063" w:rsidRPr="008910C3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 w:themeColor="tx1" w:themeShade="FF"/>
                <w:lang w:val="sk-SK"/>
              </w:rPr>
            </w:pPr>
            <w:r w:rsidRPr="008910C3">
              <w:rPr>
                <w:rFonts w:ascii="Times New Roman" w:hAnsi="Times New Roman"/>
                <w:b/>
                <w:color w:val="000000" w:themeColor="tx1" w:themeShade="FF"/>
                <w:lang w:val="sk-SK"/>
              </w:rPr>
              <w:t>4.1.</w:t>
            </w:r>
            <w:r w:rsidRPr="008910C3">
              <w:rPr>
                <w:rFonts w:ascii="Times New Roman" w:hAnsi="Times New Roman"/>
                <w:color w:val="000000" w:themeColor="tx1" w:themeShade="FF"/>
                <w:lang w:val="sk-SK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4F3063" w:rsidP="0033643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</w:pPr>
            <w:r w:rsidR="00652580"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  <w:t>Bez vplyvov.</w:t>
            </w:r>
          </w:p>
          <w:p w:rsidR="00FC591F" w:rsidP="0033643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</w:pPr>
          </w:p>
          <w:p w:rsidR="00FC591F" w:rsidRPr="008910C3" w:rsidP="0033643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4F3063" w:rsidRPr="008910C3" w:rsidP="004F3063">
            <w:pPr>
              <w:bidi w:val="0"/>
              <w:spacing w:after="0" w:line="240" w:lineRule="auto"/>
              <w:ind w:firstLine="480" w:firstLineChars="200"/>
              <w:jc w:val="both"/>
              <w:rPr>
                <w:rFonts w:ascii="Times New Roman" w:hAnsi="Times New Roman"/>
                <w:color w:val="000000" w:themeColor="tx1" w:themeShade="FF"/>
                <w:lang w:val="sk-SK"/>
              </w:rPr>
            </w:pPr>
            <w:r w:rsidRPr="008910C3">
              <w:rPr>
                <w:rFonts w:ascii="Times New Roman" w:hAnsi="Times New Roman"/>
                <w:color w:val="000000" w:themeColor="tx1" w:themeShade="FF"/>
                <w:lang w:val="sk-SK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4F3063" w:rsidRPr="008910C3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</w:pPr>
          </w:p>
          <w:p w:rsidR="004F3063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</w:pPr>
            <w:r w:rsidR="00652580"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  <w:t>Rast/pokles výdavkov v</w:t>
            </w:r>
            <w:r w:rsidRPr="008910C3"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  <w:t> súčasnosti nie je možné kvantifikovať.</w:t>
            </w:r>
          </w:p>
          <w:p w:rsidR="00652580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</w:pPr>
          </w:p>
          <w:p w:rsidR="00652580" w:rsidRPr="008910C3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</w:pPr>
            <w:r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  <w:t>Zákonom budú ovplyvnené osoby, ktoré získali vzdelanie (stredné odborné, úplné stredné, vyššie odborné, vysokoškolské prvého až tretieho stupňa) v zahraničí a potrebujú jeho uznanie na výkon regulovaného povolania alebo na účely pokračovania v štúdiu na území Slovenskej republiky. Zároveň budú ovplyvnení poskytovatelia služieb bez uznania odbornej kvalifikácie. Ovplyvnené budú aj osoby, ktorým bude vydávaný európsky profesijný preukaz na účely dočasného a príležitostného poskytovania služieb v inom členskom štáte alebo na účely usadenia sa v členskom štáte.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4F3063" w:rsidRPr="008910C3" w:rsidP="004F3063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  <w:color w:val="000000" w:themeColor="tx1" w:themeShade="FF"/>
                <w:lang w:val="sk-SK"/>
              </w:rPr>
            </w:pPr>
            <w:r w:rsidRPr="008910C3">
              <w:rPr>
                <w:rFonts w:ascii="Times New Roman" w:hAnsi="Times New Roman"/>
                <w:color w:val="000000" w:themeColor="tx1" w:themeShade="FF"/>
                <w:lang w:val="sk-SK"/>
              </w:rPr>
              <w:t>- Rast alebo pokles príjmov/výdavkov            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4F3063" w:rsidRPr="008910C3" w:rsidP="0078379A">
            <w:pPr>
              <w:bidi w:val="0"/>
              <w:spacing w:after="0" w:line="240" w:lineRule="auto"/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4F3063" w:rsidRPr="008910C3" w:rsidP="004F3063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  <w:color w:val="000000" w:themeColor="tx1" w:themeShade="FF"/>
                <w:lang w:val="sk-SK"/>
              </w:rPr>
            </w:pPr>
            <w:r w:rsidRPr="008910C3">
              <w:rPr>
                <w:rFonts w:ascii="Times New Roman" w:hAnsi="Times New Roman"/>
                <w:color w:val="000000" w:themeColor="tx1" w:themeShade="FF"/>
                <w:lang w:val="sk-SK"/>
              </w:rPr>
              <w:t>- Rast alebo pokles príjmov/výdavkov                  za jednotlivé ovplyvnené  skupiny domácností</w:t>
            </w:r>
          </w:p>
          <w:p w:rsidR="004F3063" w:rsidRPr="008910C3" w:rsidP="004F3063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  <w:color w:val="000000" w:themeColor="tx1" w:themeShade="FF"/>
                <w:lang w:val="sk-SK"/>
              </w:rPr>
            </w:pPr>
            <w:r w:rsidRPr="008910C3">
              <w:rPr>
                <w:rFonts w:ascii="Times New Roman" w:hAnsi="Times New Roman"/>
                <w:color w:val="000000" w:themeColor="tx1" w:themeShade="FF"/>
                <w:lang w:val="sk-SK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4F3063" w:rsidRPr="008910C3" w:rsidP="0078379A">
            <w:pPr>
              <w:bidi w:val="0"/>
              <w:spacing w:after="0" w:line="240" w:lineRule="auto"/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F3063" w:rsidRPr="008910C3" w:rsidP="004F3063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  <w:color w:val="000000" w:themeColor="tx1" w:themeShade="FF"/>
                <w:lang w:val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4F3063" w:rsidRPr="008910C3" w:rsidP="0078379A">
            <w:pPr>
              <w:bidi w:val="0"/>
              <w:spacing w:after="0" w:line="240" w:lineRule="auto"/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4F3063" w:rsidRPr="008910C3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 w:themeColor="tx1" w:themeShade="FF"/>
                <w:lang w:val="sk-SK"/>
              </w:rPr>
            </w:pPr>
            <w:r w:rsidRPr="008910C3">
              <w:rPr>
                <w:rFonts w:ascii="Times New Roman" w:hAnsi="Times New Roman"/>
                <w:b/>
                <w:color w:val="000000" w:themeColor="tx1" w:themeShade="FF"/>
                <w:lang w:val="sk-SK"/>
              </w:rPr>
              <w:t>4.2.</w:t>
            </w:r>
            <w:r w:rsidRPr="008910C3">
              <w:rPr>
                <w:rFonts w:ascii="Times New Roman" w:hAnsi="Times New Roman"/>
                <w:color w:val="000000" w:themeColor="tx1" w:themeShade="FF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4F3063" w:rsidRPr="008910C3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</w:pPr>
          </w:p>
          <w:p w:rsidR="004F3063" w:rsidRPr="008910C3" w:rsidP="00FC591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</w:pPr>
            <w:r w:rsidR="00FC591F"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  <w:t>Návrh zákona prispieva k zvýšeniu mobility, tak v rámci prístupu na trh práce, ako aj v rámci prístupu k pokračovaniu v štúdiu.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3063" w:rsidRPr="008910C3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 w:themeColor="tx1" w:themeShade="FF"/>
                <w:lang w:val="sk-SK"/>
              </w:rPr>
            </w:pPr>
          </w:p>
          <w:p w:rsidR="004F3063" w:rsidRPr="008910C3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 w:themeColor="tx1" w:themeShade="FF"/>
                <w:lang w:val="sk-SK"/>
              </w:rPr>
            </w:pPr>
            <w:r w:rsidRPr="008910C3">
              <w:rPr>
                <w:rFonts w:ascii="Times New Roman" w:hAnsi="Times New Roman"/>
                <w:b/>
                <w:color w:val="000000" w:themeColor="tx1" w:themeShade="FF"/>
                <w:lang w:val="sk-SK"/>
              </w:rPr>
              <w:t>4.3.</w:t>
            </w:r>
            <w:r w:rsidRPr="008910C3">
              <w:rPr>
                <w:rFonts w:ascii="Times New Roman" w:hAnsi="Times New Roman"/>
                <w:color w:val="000000" w:themeColor="tx1" w:themeShade="FF"/>
                <w:sz w:val="22"/>
                <w:szCs w:val="22"/>
                <w:lang w:val="sk-SK"/>
              </w:rPr>
              <w:t xml:space="preserve">  </w:t>
            </w:r>
            <w:r w:rsidRPr="008910C3">
              <w:rPr>
                <w:rFonts w:ascii="Times New Roman" w:hAnsi="Times New Roman"/>
                <w:color w:val="000000" w:themeColor="tx1" w:themeShade="FF"/>
                <w:lang w:val="sk-SK"/>
              </w:rPr>
              <w:t>Zhodnoťte vplyv na rovnosť príležitostí:</w:t>
            </w:r>
          </w:p>
          <w:p w:rsidR="004F3063" w:rsidRPr="008910C3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 w:themeColor="tx1" w:themeShade="FF"/>
                <w:lang w:val="sk-SK"/>
              </w:rPr>
            </w:pPr>
          </w:p>
          <w:p w:rsidR="004F3063" w:rsidRPr="008910C3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 w:themeColor="tx1" w:themeShade="FF"/>
                <w:lang w:val="sk-SK"/>
              </w:rPr>
            </w:pPr>
            <w:r w:rsidRPr="008910C3">
              <w:rPr>
                <w:rFonts w:ascii="Times New Roman" w:hAnsi="Times New Roman"/>
                <w:color w:val="000000" w:themeColor="tx1" w:themeShade="FF"/>
                <w:lang w:val="sk-SK"/>
              </w:rPr>
              <w:t>Zhodnoťte vplyv na rodovú rovnosť.</w:t>
            </w:r>
          </w:p>
          <w:p w:rsidR="004F3063" w:rsidRPr="008910C3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 w:themeColor="tx1" w:themeShade="FF"/>
                <w:lang w:val="sk-SK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FC591F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</w:pPr>
            <w:r w:rsidR="00336430"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  <w:t>Nemá vplyv na rodovú rovnosť</w:t>
            </w:r>
            <w:r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  <w:t>.</w:t>
            </w:r>
          </w:p>
          <w:p w:rsidR="00FC591F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</w:pPr>
          </w:p>
          <w:p w:rsidR="004F3063" w:rsidRPr="008910C3" w:rsidP="005056C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</w:pPr>
            <w:r w:rsidR="00FC591F"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  <w:t xml:space="preserve">Rovnosť príležitostí na trhu práce sa zlepšuje v prípade osôb, ktoré majú záujem poskytovať služby na území Slovenskej republiky, ak je dané povolanie regulovaným v členskom štáte, v ktorom už bolo vykonávané, resp. ak poskytovateľ služieb toto povolanie </w:t>
            </w:r>
            <w:r w:rsidR="00336430"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  <w:t xml:space="preserve"> </w:t>
            </w:r>
            <w:r w:rsidR="00FC591F"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  <w:t xml:space="preserve">už v členskom štáte vykonával najmenej jeden rok. </w:t>
            </w:r>
            <w:r w:rsidR="005056CB"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  <w:t>Zavedením možnosti overenia dosiahnutého vzdelania sa zlepšuje rovnosť príležitostí pre osoby, ktorým bol udelený azyl alebo doplnková ochrana a ktoré pre dôvody spojené s udelením azylu alebo doplnkovej ochrany nemôžu predložiť doklad o vzdelaní.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F3063" w:rsidRPr="008910C3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 w:themeColor="tx1" w:themeShade="FF"/>
                <w:lang w:val="sk-SK"/>
              </w:rPr>
            </w:pPr>
            <w:r w:rsidRPr="008910C3">
              <w:rPr>
                <w:rFonts w:ascii="Times New Roman" w:hAnsi="Times New Roman"/>
                <w:b/>
                <w:color w:val="000000" w:themeColor="tx1" w:themeShade="FF"/>
                <w:lang w:val="sk-SK"/>
              </w:rPr>
              <w:t xml:space="preserve">4.4. </w:t>
            </w:r>
            <w:r w:rsidRPr="008910C3">
              <w:rPr>
                <w:rFonts w:ascii="Times New Roman" w:hAnsi="Times New Roman"/>
                <w:color w:val="000000" w:themeColor="tx1" w:themeShade="FF"/>
                <w:lang w:val="sk-SK"/>
              </w:rPr>
              <w:t>Zhodnoťte vplyvy na zamestnanosť.</w:t>
            </w:r>
          </w:p>
          <w:p w:rsidR="004F3063" w:rsidRPr="008910C3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x1" w:themeShade="FF"/>
                <w:lang w:val="sk-SK"/>
              </w:rPr>
            </w:pPr>
          </w:p>
          <w:p w:rsidR="004F3063" w:rsidRPr="008910C3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x1" w:themeShade="FF"/>
                <w:lang w:val="sk-SK"/>
              </w:rPr>
            </w:pPr>
            <w:r w:rsidRPr="008910C3">
              <w:rPr>
                <w:rFonts w:ascii="Times New Roman" w:hAnsi="Times New Roman"/>
                <w:bCs/>
                <w:color w:val="000000" w:themeColor="tx1" w:themeShade="FF"/>
                <w:lang w:val="sk-SK"/>
              </w:rPr>
              <w:t>Aké sú  vplyvy na zamestnanosť ?</w:t>
            </w:r>
          </w:p>
          <w:p w:rsidR="004F3063" w:rsidRPr="008910C3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 w:themeColor="tx1" w:themeShade="FF"/>
                <w:lang w:val="sk-SK"/>
              </w:rPr>
            </w:pPr>
            <w:r w:rsidRPr="008910C3">
              <w:rPr>
                <w:rFonts w:ascii="Times New Roman" w:hAnsi="Times New Roman"/>
                <w:bCs/>
                <w:color w:val="000000" w:themeColor="tx1" w:themeShade="FF"/>
                <w:lang w:val="sk-SK"/>
              </w:rPr>
              <w:t>Ktoré skupiny zamestnancov budú ohrozené schválením predkladaného materiálu ?</w:t>
            </w:r>
          </w:p>
          <w:p w:rsidR="004F3063" w:rsidRPr="008910C3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x1" w:themeShade="FF"/>
                <w:lang w:val="sk-SK"/>
              </w:rPr>
            </w:pPr>
            <w:r w:rsidRPr="008910C3">
              <w:rPr>
                <w:rFonts w:ascii="Times New Roman" w:hAnsi="Times New Roman"/>
                <w:bCs/>
                <w:color w:val="000000" w:themeColor="tx1" w:themeShade="FF"/>
                <w:lang w:val="sk-SK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3063" w:rsidRPr="008910C3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</w:pPr>
            <w:r w:rsidRPr="008910C3"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  <w:t> </w:t>
            </w:r>
          </w:p>
          <w:p w:rsidR="004F3063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</w:pPr>
            <w:r w:rsidR="005056CB"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  <w:t>Materiál zlepšuje mobilitu na trhu práce v rámci Európskej únie.</w:t>
            </w:r>
          </w:p>
          <w:p w:rsidR="005056CB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</w:pPr>
          </w:p>
          <w:p w:rsidR="005056CB" w:rsidRPr="008910C3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</w:pPr>
            <w:r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  <w:t xml:space="preserve">Zároveň sa vytvára ochrana prostredia trhu práce tým, že odborná kvalifikácia sa neuzná, </w:t>
            </w:r>
            <w:r w:rsidRPr="005056CB"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  <w:t>ak by jej uznanie bolo na úkor všeobecného záujmu, najmä zdravia, bezpečnosti, ochrany spotrebiteľa alebo ochrany životného prostredia</w:t>
            </w:r>
            <w:r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  <w:t>.</w:t>
            </w:r>
          </w:p>
          <w:p w:rsidR="004F3063" w:rsidRPr="008910C3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</w:pPr>
          </w:p>
          <w:p w:rsidR="004F3063" w:rsidRPr="008910C3" w:rsidP="0078379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x1" w:themeShade="FF"/>
                <w:lang w:val="sk-SK"/>
              </w:rPr>
            </w:pPr>
          </w:p>
        </w:tc>
      </w:tr>
    </w:tbl>
    <w:p w:rsidR="00B822BC" w:rsidRPr="005056CB">
      <w:pPr>
        <w:bidi w:val="0"/>
        <w:rPr>
          <w:rFonts w:ascii="Times New Roman" w:hAnsi="Times New Roman"/>
          <w:lang w:val="sk-SK"/>
        </w:rPr>
      </w:pPr>
    </w:p>
    <w:sectPr w:rsidSect="00CA1489">
      <w:headerReference w:type="default" r:id="rId4"/>
      <w:footerReference w:type="even" r:id="rId5"/>
      <w:footerReference w:type="default" r:id="rId6"/>
      <w:headerReference w:type="firs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33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CE4C02">
      <w:rPr>
        <w:rStyle w:val="PageNumber"/>
        <w:rFonts w:ascii="Times New Roman" w:hAnsi="Times New Roman"/>
      </w:rPr>
      <w:fldChar w:fldCharType="begin"/>
    </w:r>
    <w:r w:rsidR="00CE4C02">
      <w:rPr>
        <w:rStyle w:val="PageNumber"/>
        <w:rFonts w:ascii="Times New Roman" w:hAnsi="Times New Roman"/>
      </w:rPr>
      <w:instrText xml:space="preserve">PAGE  </w:instrText>
    </w:r>
    <w:r w:rsidR="00CE4C02">
      <w:rPr>
        <w:rStyle w:val="PageNumber"/>
        <w:rFonts w:ascii="Times New Roman" w:hAnsi="Times New Roman"/>
      </w:rPr>
      <w:fldChar w:fldCharType="separate"/>
    </w:r>
    <w:r w:rsidR="00CE4C02">
      <w:rPr>
        <w:rStyle w:val="PageNumber"/>
        <w:rFonts w:ascii="Times New Roman" w:hAnsi="Times New Roman"/>
      </w:rPr>
      <w:fldChar w:fldCharType="end"/>
    </w:r>
  </w:p>
  <w:p w:rsidR="006A5336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46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D91EFF" w:rsidR="00D91EFF">
      <w:rPr>
        <w:rFonts w:ascii="Times New Roman" w:hAnsi="Times New Roman"/>
        <w:noProof/>
        <w:lang w:val="sk-SK"/>
      </w:rPr>
      <w:t>1</w:t>
    </w:r>
    <w:r>
      <w:rPr>
        <w:rFonts w:ascii="Times New Roman" w:hAnsi="Times New Roman"/>
      </w:rPr>
      <w:fldChar w:fldCharType="end"/>
    </w:r>
  </w:p>
  <w:p w:rsidR="006A5336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336" w:rsidRPr="00CA1489" w:rsidP="00CA1489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468">
    <w:pPr>
      <w:pStyle w:val="Header"/>
      <w:bidi w:val="0"/>
      <w:jc w:val="right"/>
      <w:rPr>
        <w:rFonts w:ascii="Times New Roman" w:hAnsi="Times New Roman"/>
      </w:rPr>
    </w:pPr>
  </w:p>
  <w:p w:rsidR="006A5336" w:rsidRPr="00CA1489" w:rsidP="00CA1489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F3063"/>
    <w:rsid w:val="00041940"/>
    <w:rsid w:val="00184932"/>
    <w:rsid w:val="0020203D"/>
    <w:rsid w:val="00206468"/>
    <w:rsid w:val="002C10DA"/>
    <w:rsid w:val="002C3C56"/>
    <w:rsid w:val="002E4097"/>
    <w:rsid w:val="003245D3"/>
    <w:rsid w:val="00336430"/>
    <w:rsid w:val="004F3063"/>
    <w:rsid w:val="005056CB"/>
    <w:rsid w:val="005C2108"/>
    <w:rsid w:val="00622A19"/>
    <w:rsid w:val="00652580"/>
    <w:rsid w:val="006A5336"/>
    <w:rsid w:val="0078379A"/>
    <w:rsid w:val="008910C3"/>
    <w:rsid w:val="0093087C"/>
    <w:rsid w:val="009A3038"/>
    <w:rsid w:val="00A13E52"/>
    <w:rsid w:val="00A40CE3"/>
    <w:rsid w:val="00AE0C2E"/>
    <w:rsid w:val="00B569ED"/>
    <w:rsid w:val="00B60935"/>
    <w:rsid w:val="00B65818"/>
    <w:rsid w:val="00B822BC"/>
    <w:rsid w:val="00C076D7"/>
    <w:rsid w:val="00C22ADF"/>
    <w:rsid w:val="00C71759"/>
    <w:rsid w:val="00CA1489"/>
    <w:rsid w:val="00CA1EB8"/>
    <w:rsid w:val="00CB2D05"/>
    <w:rsid w:val="00CE4C02"/>
    <w:rsid w:val="00D91EFF"/>
    <w:rsid w:val="00EF5340"/>
    <w:rsid w:val="00F86BCF"/>
    <w:rsid w:val="00FC591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06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4F3063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F3063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4F306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F3063"/>
    <w:rPr>
      <w:rFonts w:ascii="Times New Roman" w:hAnsi="Times New Roman" w:cs="Times New Roman"/>
      <w:sz w:val="24"/>
      <w:szCs w:val="24"/>
      <w:rtl w:val="0"/>
      <w:cs w:val="0"/>
      <w:lang w:val="en-US" w:eastAsia="sk-SK"/>
    </w:rPr>
  </w:style>
  <w:style w:type="character" w:styleId="PageNumber">
    <w:name w:val="page number"/>
    <w:basedOn w:val="DefaultParagraphFont"/>
    <w:uiPriority w:val="99"/>
    <w:rsid w:val="004F3063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4F306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F3063"/>
    <w:rPr>
      <w:rFonts w:ascii="Times New Roman" w:hAnsi="Times New Roman" w:cs="Times New Roman"/>
      <w:sz w:val="24"/>
      <w:szCs w:val="24"/>
      <w:rtl w:val="0"/>
      <w:cs w:val="0"/>
      <w:lang w:val="en-US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423</Words>
  <Characters>2416</Characters>
  <Application>Microsoft Office Word</Application>
  <DocSecurity>0</DocSecurity>
  <Lines>0</Lines>
  <Paragraphs>0</Paragraphs>
  <ScaleCrop>false</ScaleCrop>
  <Company>MSVVaSSR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Jurkovič</dc:creator>
  <cp:lastModifiedBy>Surmajová Žaneta</cp:lastModifiedBy>
  <cp:revision>2</cp:revision>
  <cp:lastPrinted>2015-06-24T14:46:00Z</cp:lastPrinted>
  <dcterms:created xsi:type="dcterms:W3CDTF">2015-08-05T07:22:00Z</dcterms:created>
  <dcterms:modified xsi:type="dcterms:W3CDTF">2015-08-05T07:22:00Z</dcterms:modified>
</cp:coreProperties>
</file>