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540"/>
        <w:gridCol w:w="1080"/>
        <w:gridCol w:w="5299"/>
        <w:gridCol w:w="567"/>
        <w:gridCol w:w="851"/>
        <w:gridCol w:w="850"/>
        <w:gridCol w:w="5245"/>
        <w:gridCol w:w="709"/>
        <w:gridCol w:w="1059"/>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936A79" w:rsidP="0078287E">
            <w:pPr>
              <w:pStyle w:val="Heading1"/>
              <w:bidi w:val="0"/>
              <w:spacing w:after="0" w:line="240" w:lineRule="auto"/>
              <w:rPr>
                <w:rFonts w:ascii="Times New Roman" w:hAnsi="Times New Roman"/>
                <w:sz w:val="22"/>
                <w:szCs w:val="22"/>
              </w:rPr>
            </w:pPr>
            <w:r w:rsidRPr="00936A79">
              <w:rPr>
                <w:rFonts w:ascii="Times New Roman" w:hAnsi="Times New Roman"/>
                <w:sz w:val="22"/>
                <w:szCs w:val="22"/>
              </w:rPr>
              <w:t>TABUĽKA  ZHODY</w:t>
            </w:r>
          </w:p>
          <w:p w:rsidR="008C54C3" w:rsidRPr="00936A79" w:rsidP="007B1B06">
            <w:pPr>
              <w:pStyle w:val="Zkladntext"/>
              <w:bidi w:val="0"/>
              <w:spacing w:after="0" w:line="240" w:lineRule="auto"/>
              <w:jc w:val="center"/>
              <w:rPr>
                <w:rFonts w:ascii="Times New Roman" w:hAnsi="Times New Roman"/>
                <w:b/>
                <w:sz w:val="22"/>
                <w:szCs w:val="22"/>
              </w:rPr>
            </w:pPr>
            <w:r w:rsidRPr="00936A79" w:rsidR="004577EC">
              <w:rPr>
                <w:rFonts w:ascii="Times New Roman" w:hAnsi="Times New Roman"/>
                <w:b/>
                <w:sz w:val="22"/>
                <w:szCs w:val="22"/>
              </w:rPr>
              <w:t>k </w:t>
            </w:r>
            <w:r w:rsidRPr="00936A79" w:rsidR="0078287E">
              <w:rPr>
                <w:rFonts w:ascii="Times New Roman" w:hAnsi="Times New Roman"/>
                <w:b/>
                <w:sz w:val="22"/>
                <w:szCs w:val="22"/>
              </w:rPr>
              <w:t>n</w:t>
            </w:r>
            <w:r w:rsidRPr="00936A79" w:rsidR="0091636B">
              <w:rPr>
                <w:rFonts w:ascii="Times New Roman" w:hAnsi="Times New Roman"/>
                <w:b/>
                <w:sz w:val="22"/>
                <w:szCs w:val="22"/>
              </w:rPr>
              <w:t>ávrh</w:t>
            </w:r>
            <w:r w:rsidRPr="00936A79" w:rsidR="00662137">
              <w:rPr>
                <w:rFonts w:ascii="Times New Roman" w:hAnsi="Times New Roman"/>
                <w:b/>
                <w:sz w:val="22"/>
                <w:szCs w:val="22"/>
              </w:rPr>
              <w:t>u</w:t>
            </w:r>
            <w:r w:rsidRPr="00936A79" w:rsidR="0091636B">
              <w:rPr>
                <w:rFonts w:ascii="Times New Roman" w:hAnsi="Times New Roman"/>
                <w:b/>
                <w:sz w:val="22"/>
                <w:szCs w:val="22"/>
              </w:rPr>
              <w:t xml:space="preserve"> zákona</w:t>
            </w:r>
            <w:r w:rsidRPr="00936A79" w:rsidR="002E1D16">
              <w:rPr>
                <w:rFonts w:ascii="Times New Roman" w:hAnsi="Times New Roman"/>
                <w:b/>
                <w:sz w:val="22"/>
                <w:szCs w:val="22"/>
              </w:rPr>
              <w:t xml:space="preserve">, </w:t>
            </w:r>
            <w:r w:rsidRPr="00936A79" w:rsidR="008E2EDD">
              <w:rPr>
                <w:rFonts w:ascii="Times New Roman" w:hAnsi="Times New Roman"/>
                <w:b/>
                <w:sz w:val="22"/>
                <w:szCs w:val="22"/>
              </w:rPr>
              <w:t xml:space="preserve">ktorým sa mení a dopĺňa zákon č. </w:t>
            </w:r>
            <w:r w:rsidRPr="00936A79" w:rsidR="005B1AC6">
              <w:rPr>
                <w:rFonts w:ascii="Times New Roman" w:hAnsi="Times New Roman"/>
                <w:b/>
                <w:sz w:val="22"/>
                <w:szCs w:val="22"/>
              </w:rPr>
              <w:t>371/2014 Z. z. o riešení krízových situácií na finančnom trhu a o zmene a doplnení niektorých zákonov</w:t>
            </w:r>
            <w:r w:rsidRPr="00936A79" w:rsidR="00936A79">
              <w:rPr>
                <w:rFonts w:ascii="Times New Roman" w:hAnsi="Times New Roman"/>
                <w:b/>
                <w:sz w:val="22"/>
                <w:szCs w:val="22"/>
              </w:rPr>
              <w:t xml:space="preserve"> v znení zákona č. 39/2015 Z. z. a ktorým sa menia a dopĺňajú niektoré zákony</w:t>
            </w:r>
            <w:r w:rsidRPr="00936A79" w:rsidR="005B1AC6">
              <w:rPr>
                <w:rFonts w:ascii="Times New Roman" w:hAnsi="Times New Roman"/>
                <w:b/>
                <w:sz w:val="22"/>
                <w:szCs w:val="22"/>
              </w:rPr>
              <w:t xml:space="preserve"> </w:t>
            </w:r>
            <w:r w:rsidRPr="00936A79" w:rsidR="00127033">
              <w:rPr>
                <w:rFonts w:ascii="Times New Roman" w:hAnsi="Times New Roman"/>
                <w:b/>
                <w:sz w:val="22"/>
                <w:szCs w:val="22"/>
              </w:rPr>
              <w:t>s právom Európskej únie</w:t>
            </w:r>
          </w:p>
        </w:tc>
      </w:tr>
      <w:tr>
        <w:tblPrEx>
          <w:tblW w:w="1620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936A79">
            <w:pPr>
              <w:pStyle w:val="Heading4"/>
              <w:bidi w:val="0"/>
              <w:spacing w:after="0" w:line="240" w:lineRule="auto"/>
              <w:jc w:val="both"/>
              <w:rPr>
                <w:rFonts w:ascii="Times New Roman" w:hAnsi="Times New Roman"/>
              </w:rPr>
            </w:pPr>
            <w:r w:rsidRPr="00936A79">
              <w:rPr>
                <w:rFonts w:ascii="Times New Roman" w:hAnsi="Times New Roman"/>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936A79" w:rsidP="008E2EDD">
            <w:pPr>
              <w:pStyle w:val="Default"/>
              <w:bidi w:val="0"/>
              <w:spacing w:after="0" w:line="240" w:lineRule="auto"/>
              <w:rPr>
                <w:rFonts w:ascii="Times New Roman" w:hAnsi="Times New Roman" w:cs="Times New Roman"/>
                <w:b/>
                <w:bCs/>
                <w:sz w:val="22"/>
                <w:szCs w:val="22"/>
              </w:rPr>
            </w:pPr>
            <w:r w:rsidRPr="00936A79" w:rsidR="0078287E">
              <w:rPr>
                <w:rFonts w:ascii="Times New Roman" w:hAnsi="Times New Roman" w:cs="Times New Roman"/>
                <w:b/>
                <w:bCs/>
                <w:sz w:val="22"/>
                <w:szCs w:val="22"/>
              </w:rPr>
              <w:t xml:space="preserve">SMERNICA </w:t>
            </w:r>
            <w:r w:rsidRPr="00936A79" w:rsidR="008E2EDD">
              <w:rPr>
                <w:rFonts w:ascii="Times New Roman" w:hAnsi="Times New Roman" w:cs="Times New Roman"/>
                <w:b/>
                <w:bCs/>
                <w:sz w:val="22"/>
                <w:szCs w:val="22"/>
              </w:rPr>
              <w:t>RADY z 20. júna 1991 o vykonávaní dohody medzi Európskym hospodárskym spoločenstvom a Švajčiarskou konfederáciou o priamom poistení s výnimkou životného poistenia (</w:t>
            </w:r>
            <w:r w:rsidRPr="00936A79" w:rsidR="008E2EDD">
              <w:rPr>
                <w:rFonts w:ascii="Times New Roman" w:hAnsi="Times New Roman" w:cs="Times New Roman"/>
                <w:b/>
                <w:bCs/>
                <w:sz w:val="22"/>
                <w:szCs w:val="22"/>
                <w:u w:val="single"/>
              </w:rPr>
              <w:t>91/371/EHS</w:t>
            </w:r>
            <w:r w:rsidRPr="00936A79" w:rsidR="008E2EDD">
              <w:rPr>
                <w:rFonts w:ascii="Times New Roman" w:hAnsi="Times New Roman" w:cs="Times New Roman"/>
                <w:b/>
                <w:bCs/>
                <w:sz w:val="22"/>
                <w:szCs w:val="22"/>
              </w:rPr>
              <w:t>)</w:t>
            </w:r>
          </w:p>
        </w:tc>
      </w:tr>
      <w:tr>
        <w:tblPrEx>
          <w:tblW w:w="16200" w:type="dxa"/>
          <w:tblInd w:w="-497" w:type="dxa"/>
          <w:tblLayout w:type="fixed"/>
          <w:tblCellMar>
            <w:left w:w="43" w:type="dxa"/>
            <w:right w:w="43" w:type="dxa"/>
          </w:tblCellMar>
        </w:tblPrEx>
        <w:trPr>
          <w:trHeight w:val="567"/>
        </w:trPr>
        <w:tc>
          <w:tcPr>
            <w:tcW w:w="7486"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936A79">
            <w:pPr>
              <w:pStyle w:val="Heading4"/>
              <w:bidi w:val="0"/>
              <w:spacing w:before="120" w:after="0" w:line="240" w:lineRule="auto"/>
              <w:rPr>
                <w:rFonts w:ascii="Times New Roman" w:hAnsi="Times New Roman"/>
              </w:rPr>
            </w:pPr>
            <w:r w:rsidRPr="00936A79" w:rsidR="00DE0F85">
              <w:rPr>
                <w:rFonts w:ascii="Times New Roman" w:hAnsi="Times New Roman"/>
              </w:rPr>
              <w:t>Smernica EÚ</w:t>
            </w:r>
          </w:p>
          <w:p w:rsidR="00EE7DD6" w:rsidRPr="00936A79" w:rsidP="008E2EDD">
            <w:pPr>
              <w:pStyle w:val="BodyText3"/>
              <w:bidi w:val="0"/>
              <w:spacing w:after="0" w:line="240" w:lineRule="exact"/>
              <w:rPr>
                <w:rFonts w:ascii="Times New Roman" w:hAnsi="Times New Roman"/>
                <w:sz w:val="22"/>
                <w:szCs w:val="22"/>
              </w:rPr>
            </w:pPr>
            <w:r w:rsidRPr="00936A79" w:rsidR="002E1D16">
              <w:rPr>
                <w:rFonts w:ascii="Times New Roman" w:hAnsi="Times New Roman"/>
                <w:b/>
                <w:bCs/>
                <w:color w:val="000000"/>
                <w:sz w:val="22"/>
                <w:szCs w:val="22"/>
              </w:rPr>
              <w:t>SMERNICA RADY</w:t>
            </w:r>
            <w:r w:rsidRPr="00936A79" w:rsidR="008E2EDD">
              <w:rPr>
                <w:rFonts w:ascii="Times New Roman" w:hAnsi="Times New Roman"/>
                <w:b/>
                <w:bCs/>
                <w:color w:val="000000"/>
                <w:sz w:val="22"/>
                <w:szCs w:val="22"/>
              </w:rPr>
              <w:t xml:space="preserve"> z 20. júna 1991 o vykonávaní dohody medzi Európskym hospodárskym spoločenstvom a Švajčiarskou konfederáciou o priamom poistení s výnimkou životného poistenia (</w:t>
            </w:r>
            <w:r w:rsidRPr="00936A79" w:rsidR="008E2EDD">
              <w:rPr>
                <w:rFonts w:ascii="Times New Roman" w:hAnsi="Times New Roman"/>
                <w:b/>
                <w:bCs/>
                <w:color w:val="000000"/>
                <w:sz w:val="22"/>
                <w:szCs w:val="22"/>
                <w:u w:val="single"/>
              </w:rPr>
              <w:t>91/371/EHS</w:t>
            </w:r>
            <w:r w:rsidRPr="00936A79" w:rsidR="008E2EDD">
              <w:rPr>
                <w:rFonts w:ascii="Times New Roman" w:hAnsi="Times New Roman"/>
                <w:b/>
                <w:bCs/>
                <w:color w:val="000000"/>
                <w:sz w:val="22"/>
                <w:szCs w:val="22"/>
              </w:rPr>
              <w:t>)</w:t>
            </w:r>
            <w:r w:rsidRPr="00936A79" w:rsidR="002E1D16">
              <w:rPr>
                <w:rFonts w:ascii="Times New Roman" w:hAnsi="Times New Roman"/>
                <w:b/>
                <w:bCs/>
                <w:color w:val="000000"/>
                <w:sz w:val="22"/>
                <w:szCs w:val="22"/>
              </w:rPr>
              <w:t xml:space="preserve">  </w:t>
            </w:r>
          </w:p>
        </w:tc>
        <w:tc>
          <w:tcPr>
            <w:tcW w:w="8714" w:type="dxa"/>
            <w:gridSpan w:val="5"/>
            <w:tcBorders>
              <w:top w:val="single" w:sz="4" w:space="0" w:color="auto"/>
              <w:left w:val="nil"/>
              <w:bottom w:val="single" w:sz="4" w:space="0" w:color="auto"/>
              <w:right w:val="single" w:sz="12" w:space="0" w:color="auto"/>
            </w:tcBorders>
            <w:textDirection w:val="lrTb"/>
            <w:vAlign w:val="top"/>
          </w:tcPr>
          <w:p w:rsidR="008C54C3" w:rsidRPr="00936A79">
            <w:pPr>
              <w:pStyle w:val="Heading4"/>
              <w:bidi w:val="0"/>
              <w:spacing w:before="120" w:after="0" w:line="240" w:lineRule="auto"/>
              <w:rPr>
                <w:rFonts w:ascii="Times New Roman" w:hAnsi="Times New Roman"/>
              </w:rPr>
            </w:pPr>
            <w:r w:rsidRPr="00936A79">
              <w:rPr>
                <w:rFonts w:ascii="Times New Roman" w:hAnsi="Times New Roman"/>
              </w:rPr>
              <w:t>Všeobecne záväzné právne predpisy Slovenskej republiky</w:t>
            </w:r>
          </w:p>
          <w:p w:rsidR="00217BF4" w:rsidRPr="00936A79" w:rsidP="00217BF4">
            <w:pPr>
              <w:pStyle w:val="Zkladntext"/>
              <w:bidi w:val="0"/>
              <w:spacing w:after="0" w:line="240" w:lineRule="auto"/>
              <w:jc w:val="both"/>
              <w:rPr>
                <w:rFonts w:ascii="Times New Roman" w:hAnsi="Times New Roman"/>
                <w:b/>
                <w:bCs/>
                <w:sz w:val="22"/>
                <w:szCs w:val="22"/>
              </w:rPr>
            </w:pPr>
            <w:r w:rsidRPr="00936A79" w:rsidR="005B1AC6">
              <w:rPr>
                <w:rFonts w:ascii="Times New Roman" w:hAnsi="Times New Roman"/>
                <w:b/>
                <w:sz w:val="22"/>
                <w:szCs w:val="22"/>
              </w:rPr>
              <w:t xml:space="preserve">Návrh zákona, ktorým sa mení a dopĺňa zákon č. 371/2014 Z. z. o riešení krízových situácií na finančnom trhu a o zmene a doplnení niektorých zákonov </w:t>
            </w:r>
            <w:r w:rsidRPr="00936A79" w:rsidR="00936A79">
              <w:rPr>
                <w:rFonts w:ascii="Times New Roman" w:hAnsi="Times New Roman"/>
                <w:b/>
                <w:sz w:val="22"/>
                <w:szCs w:val="22"/>
              </w:rPr>
              <w:t xml:space="preserve">v znení zákona č. 39/2015 Z. z. a ktorým sa menia a dopĺňajú niektoré zákony </w:t>
            </w:r>
            <w:r w:rsidRPr="00936A79" w:rsidR="00115AC8">
              <w:rPr>
                <w:rFonts w:ascii="Times New Roman" w:hAnsi="Times New Roman"/>
                <w:b/>
                <w:sz w:val="22"/>
                <w:szCs w:val="22"/>
              </w:rPr>
              <w:t>(ďalej „návrh zákona“)</w:t>
            </w:r>
            <w:r w:rsidRPr="00936A79" w:rsidR="00115AC8">
              <w:rPr>
                <w:rFonts w:ascii="Times New Roman" w:hAnsi="Times New Roman"/>
                <w:b/>
                <w:bCs/>
                <w:sz w:val="22"/>
                <w:szCs w:val="22"/>
              </w:rPr>
              <w:t xml:space="preserve"> </w:t>
            </w:r>
          </w:p>
          <w:p w:rsidR="00115AC8" w:rsidRPr="00936A79" w:rsidP="00217BF4">
            <w:pPr>
              <w:pStyle w:val="Zkladntext"/>
              <w:bidi w:val="0"/>
              <w:spacing w:after="0" w:line="240" w:lineRule="auto"/>
              <w:jc w:val="both"/>
              <w:rPr>
                <w:rFonts w:ascii="Times New Roman" w:hAnsi="Times New Roman"/>
                <w:b/>
                <w:bCs/>
                <w:sz w:val="22"/>
                <w:szCs w:val="22"/>
              </w:rPr>
            </w:pPr>
          </w:p>
          <w:p w:rsidR="00115AC8" w:rsidRPr="00936A79" w:rsidP="00217BF4">
            <w:pPr>
              <w:pStyle w:val="Zkladntext"/>
              <w:bidi w:val="0"/>
              <w:spacing w:after="0" w:line="240" w:lineRule="auto"/>
              <w:jc w:val="both"/>
              <w:rPr>
                <w:rFonts w:ascii="Times New Roman" w:hAnsi="Times New Roman"/>
                <w:sz w:val="22"/>
                <w:szCs w:val="22"/>
              </w:rPr>
            </w:pPr>
            <w:r w:rsidRPr="00936A79">
              <w:rPr>
                <w:rFonts w:ascii="Times New Roman" w:hAnsi="Times New Roman"/>
                <w:sz w:val="22"/>
                <w:szCs w:val="22"/>
              </w:rPr>
              <w:t>Zákon č. 39/2015 Z.</w:t>
            </w:r>
            <w:r w:rsidRPr="00936A79" w:rsidR="005F342F">
              <w:rPr>
                <w:rFonts w:ascii="Times New Roman" w:hAnsi="Times New Roman"/>
                <w:sz w:val="22"/>
                <w:szCs w:val="22"/>
              </w:rPr>
              <w:t xml:space="preserve"> </w:t>
            </w:r>
            <w:r w:rsidRPr="00936A79">
              <w:rPr>
                <w:rFonts w:ascii="Times New Roman" w:hAnsi="Times New Roman"/>
                <w:sz w:val="22"/>
                <w:szCs w:val="22"/>
              </w:rPr>
              <w:t>z.</w:t>
            </w:r>
            <w:r w:rsidRPr="00936A79" w:rsidR="009B6D84">
              <w:rPr>
                <w:rFonts w:ascii="Times New Roman" w:hAnsi="Times New Roman"/>
                <w:sz w:val="22"/>
                <w:szCs w:val="22"/>
              </w:rPr>
              <w:t xml:space="preserve"> </w:t>
            </w:r>
            <w:r w:rsidRPr="00936A79">
              <w:rPr>
                <w:rFonts w:ascii="Times New Roman" w:hAnsi="Times New Roman"/>
                <w:sz w:val="22"/>
                <w:szCs w:val="22"/>
              </w:rPr>
              <w:t>o poisťovníctve a o zmene a doplnení niektorých zákonov (ďalej „39/2015“)</w:t>
            </w:r>
          </w:p>
          <w:p w:rsidR="002E1D16" w:rsidRPr="00936A79" w:rsidP="002E1D16">
            <w:pPr>
              <w:pStyle w:val="Zkladntext"/>
              <w:bidi w:val="0"/>
              <w:spacing w:after="0" w:line="240" w:lineRule="auto"/>
              <w:jc w:val="both"/>
              <w:rPr>
                <w:rFonts w:ascii="Times New Roman" w:hAnsi="Times New Roman"/>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Pr>
                <w:rFonts w:ascii="Times New Roman" w:hAnsi="Times New Roman"/>
                <w:sz w:val="22"/>
                <w:szCs w:val="22"/>
              </w:rPr>
              <w:t>1</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Pr>
                <w:rFonts w:ascii="Times New Roman" w:hAnsi="Times New Roman"/>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Pr>
                <w:rFonts w:ascii="Times New Roman" w:hAnsi="Times New Roman"/>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Pr>
                <w:rFonts w:ascii="Times New Roman" w:hAnsi="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pPr>
              <w:pStyle w:val="BodyText2"/>
              <w:bidi w:val="0"/>
              <w:spacing w:after="0" w:line="240" w:lineRule="exact"/>
              <w:rPr>
                <w:rFonts w:ascii="Times New Roman" w:hAnsi="Times New Roman"/>
                <w:sz w:val="22"/>
                <w:szCs w:val="22"/>
              </w:rPr>
            </w:pPr>
            <w:r w:rsidRPr="00936A79">
              <w:rPr>
                <w:rFonts w:ascii="Times New Roman" w:hAnsi="Times New Roman"/>
                <w:sz w:val="22"/>
                <w:szCs w:val="22"/>
              </w:rPr>
              <w:t>5</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pPr>
              <w:pStyle w:val="BodyText2"/>
              <w:bidi w:val="0"/>
              <w:spacing w:after="0" w:line="240" w:lineRule="exact"/>
              <w:rPr>
                <w:rFonts w:ascii="Times New Roman" w:hAnsi="Times New Roman"/>
                <w:sz w:val="22"/>
                <w:szCs w:val="22"/>
              </w:rPr>
            </w:pPr>
            <w:r w:rsidRPr="00936A79">
              <w:rPr>
                <w:rFonts w:ascii="Times New Roman" w:hAnsi="Times New Roman"/>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Pr>
                <w:rFonts w:ascii="Times New Roman" w:hAnsi="Times New Roman"/>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sidR="005170A9">
              <w:rPr>
                <w:rFonts w:ascii="Times New Roman" w:hAnsi="Times New Roman"/>
                <w:sz w:val="22"/>
                <w:szCs w:val="22"/>
              </w:rPr>
              <w:t>8</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Článok</w:t>
            </w:r>
          </w:p>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(Č, O,</w:t>
            </w:r>
          </w:p>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V, P)</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Spôsob transp.</w:t>
            </w:r>
          </w:p>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Číslo</w:t>
            </w:r>
          </w:p>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Článok (Č, §, O, V, P)</w:t>
            </w: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Poznámky</w:t>
            </w: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936A79" w:rsidP="002E1D16">
            <w:pPr>
              <w:bidi w:val="0"/>
              <w:spacing w:after="0" w:line="240" w:lineRule="auto"/>
              <w:jc w:val="center"/>
              <w:rPr>
                <w:rFonts w:ascii="Times New Roman" w:hAnsi="Times New Roman"/>
                <w:sz w:val="22"/>
                <w:szCs w:val="22"/>
              </w:rPr>
            </w:pPr>
            <w:r w:rsidRPr="00936A79" w:rsidR="0078287E">
              <w:rPr>
                <w:rFonts w:ascii="Times New Roman" w:hAnsi="Times New Roman"/>
                <w:sz w:val="22"/>
                <w:szCs w:val="22"/>
              </w:rPr>
              <w:t xml:space="preserve">Čl. 1 </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8E2EDD" w:rsidRPr="00936A79" w:rsidP="00217BF4">
            <w:pPr>
              <w:pStyle w:val="CM4"/>
              <w:bidi w:val="0"/>
              <w:spacing w:before="60" w:after="60" w:line="240" w:lineRule="auto"/>
              <w:rPr>
                <w:rFonts w:ascii="Times New Roman" w:hAnsi="Times New Roman"/>
                <w:sz w:val="22"/>
                <w:szCs w:val="22"/>
              </w:rPr>
            </w:pPr>
            <w:r w:rsidRPr="00936A79">
              <w:rPr>
                <w:rFonts w:ascii="Times New Roman" w:hAnsi="Times New Roman"/>
                <w:sz w:val="22"/>
                <w:szCs w:val="22"/>
              </w:rPr>
              <w:t xml:space="preserve">Členské štáty zmenia a doplnia svoje vnútroštátne právne predpisy tak, aby dosiahli súlad s dohodou medzi Európskym hospodárskym spoločenstvom a Švajčiarskou konfederáciou do 24 mesiacov nasledujúcich po oznámení tejto smernice. Bezodkladne o tom informujú Komisiu. </w:t>
            </w: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8E2EDD" w:rsidRPr="00936A79" w:rsidP="00217BF4">
            <w:pPr>
              <w:pStyle w:val="CM4"/>
              <w:bidi w:val="0"/>
              <w:spacing w:before="60" w:after="60" w:line="240" w:lineRule="auto"/>
              <w:rPr>
                <w:rFonts w:ascii="Times New Roman" w:hAnsi="Times New Roman"/>
                <w:sz w:val="22"/>
                <w:szCs w:val="22"/>
              </w:rPr>
            </w:pPr>
          </w:p>
          <w:p w:rsidR="002E1D16" w:rsidRPr="00936A79" w:rsidP="00217BF4">
            <w:pPr>
              <w:pStyle w:val="CM4"/>
              <w:bidi w:val="0"/>
              <w:spacing w:before="60" w:after="60" w:line="240" w:lineRule="auto"/>
              <w:rPr>
                <w:rFonts w:ascii="Times New Roman" w:hAnsi="Times New Roman"/>
                <w:sz w:val="22"/>
                <w:szCs w:val="22"/>
              </w:rPr>
            </w:pPr>
            <w:r w:rsidRPr="00936A79" w:rsidR="008E2EDD">
              <w:rPr>
                <w:rFonts w:ascii="Times New Roman" w:hAnsi="Times New Roman"/>
                <w:sz w:val="22"/>
                <w:szCs w:val="22"/>
              </w:rPr>
              <w:t>Členské štáty uvedú priamo v prijatých ustanoveniach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sidR="0078287E">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b/>
                <w:sz w:val="22"/>
                <w:szCs w:val="22"/>
              </w:rPr>
            </w:pPr>
            <w:r w:rsidRPr="00936A79" w:rsidR="00115AC8">
              <w:rPr>
                <w:rFonts w:ascii="Times New Roman" w:hAnsi="Times New Roman"/>
                <w:b/>
                <w:sz w:val="22"/>
                <w:szCs w:val="22"/>
              </w:rPr>
              <w:t>návrh zákona čl.</w:t>
            </w:r>
            <w:r w:rsidRPr="00936A79" w:rsidR="00674AA3">
              <w:rPr>
                <w:rFonts w:ascii="Times New Roman" w:hAnsi="Times New Roman"/>
                <w:b/>
                <w:sz w:val="22"/>
                <w:szCs w:val="22"/>
              </w:rPr>
              <w:t xml:space="preserve"> </w:t>
            </w:r>
            <w:r w:rsidRPr="00936A79" w:rsidR="005F342F">
              <w:rPr>
                <w:rFonts w:ascii="Times New Roman" w:hAnsi="Times New Roman"/>
                <w:b/>
                <w:sz w:val="22"/>
                <w:szCs w:val="22"/>
              </w:rPr>
              <w:t>X</w:t>
            </w: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875997" w:rsidRPr="00936A79">
            <w:pPr>
              <w:bidi w:val="0"/>
              <w:spacing w:after="0" w:line="240" w:lineRule="auto"/>
              <w:jc w:val="center"/>
              <w:rPr>
                <w:rFonts w:ascii="Times New Roman" w:hAnsi="Times New Roman"/>
                <w:sz w:val="22"/>
                <w:szCs w:val="22"/>
              </w:rPr>
            </w:pPr>
          </w:p>
          <w:p w:rsidR="00115AC8" w:rsidRPr="00936A79">
            <w:pPr>
              <w:bidi w:val="0"/>
              <w:spacing w:after="0" w:line="240" w:lineRule="auto"/>
              <w:jc w:val="center"/>
              <w:rPr>
                <w:rFonts w:ascii="Times New Roman" w:hAnsi="Times New Roman"/>
                <w:sz w:val="22"/>
                <w:szCs w:val="22"/>
              </w:rPr>
            </w:pPr>
            <w:r w:rsidRPr="00936A79">
              <w:rPr>
                <w:rFonts w:ascii="Times New Roman" w:hAnsi="Times New Roman"/>
                <w:sz w:val="22"/>
                <w:szCs w:val="22"/>
              </w:rPr>
              <w:t>39/2015</w:t>
            </w: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pPr>
              <w:bidi w:val="0"/>
              <w:spacing w:after="0" w:line="240" w:lineRule="auto"/>
              <w:jc w:val="center"/>
              <w:rPr>
                <w:rFonts w:ascii="Times New Roman" w:hAnsi="Times New Roman"/>
                <w:b/>
                <w:sz w:val="22"/>
                <w:szCs w:val="22"/>
              </w:rPr>
            </w:pPr>
          </w:p>
          <w:p w:rsidR="00115AC8" w:rsidRPr="00936A79" w:rsidP="005F342F">
            <w:pPr>
              <w:bidi w:val="0"/>
              <w:spacing w:after="0" w:line="240" w:lineRule="auto"/>
              <w:jc w:val="center"/>
              <w:rPr>
                <w:rFonts w:ascii="Times New Roman" w:hAnsi="Times New Roman"/>
                <w:b/>
                <w:sz w:val="22"/>
                <w:szCs w:val="22"/>
              </w:rPr>
            </w:pPr>
            <w:r w:rsidRPr="00936A79">
              <w:rPr>
                <w:rFonts w:ascii="Times New Roman" w:hAnsi="Times New Roman"/>
                <w:b/>
                <w:sz w:val="22"/>
                <w:szCs w:val="22"/>
              </w:rPr>
              <w:t>návrh zákona čl.</w:t>
            </w:r>
            <w:r w:rsidRPr="00936A79" w:rsidR="00674AA3">
              <w:rPr>
                <w:rFonts w:ascii="Times New Roman" w:hAnsi="Times New Roman"/>
                <w:b/>
                <w:sz w:val="22"/>
                <w:szCs w:val="22"/>
              </w:rPr>
              <w:t xml:space="preserve"> </w:t>
            </w:r>
            <w:r w:rsidRPr="00936A79" w:rsidR="005F342F">
              <w:rPr>
                <w:rFonts w:ascii="Times New Roman" w:hAnsi="Times New Roman"/>
                <w:b/>
                <w:sz w:val="22"/>
                <w:szCs w:val="22"/>
              </w:rPr>
              <w:t>X</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rsidP="0091636B">
            <w:pPr>
              <w:pStyle w:val="Normlny"/>
              <w:bidi w:val="0"/>
              <w:spacing w:after="0" w:line="240" w:lineRule="auto"/>
              <w:jc w:val="center"/>
              <w:rPr>
                <w:rFonts w:ascii="Times New Roman" w:hAnsi="Times New Roman"/>
                <w:sz w:val="22"/>
                <w:szCs w:val="22"/>
              </w:rPr>
            </w:pPr>
            <w:r w:rsidRPr="00936A79" w:rsidR="008E2EDD">
              <w:rPr>
                <w:rFonts w:ascii="Times New Roman" w:hAnsi="Times New Roman"/>
                <w:sz w:val="22"/>
                <w:szCs w:val="22"/>
              </w:rPr>
              <w:t>§ 15 ods.4</w:t>
            </w:r>
          </w:p>
          <w:p w:rsidR="008E2EDD" w:rsidRPr="00936A79" w:rsidP="0091636B">
            <w:pPr>
              <w:pStyle w:val="Normlny"/>
              <w:bidi w:val="0"/>
              <w:spacing w:after="0" w:line="240" w:lineRule="auto"/>
              <w:jc w:val="center"/>
              <w:rPr>
                <w:rFonts w:ascii="Times New Roman" w:hAnsi="Times New Roman"/>
                <w:sz w:val="22"/>
                <w:szCs w:val="22"/>
              </w:rPr>
            </w:pPr>
          </w:p>
          <w:p w:rsidR="008E2EDD" w:rsidRPr="00936A79" w:rsidP="0091636B">
            <w:pPr>
              <w:pStyle w:val="Normlny"/>
              <w:bidi w:val="0"/>
              <w:spacing w:after="0" w:line="240" w:lineRule="auto"/>
              <w:jc w:val="center"/>
              <w:rPr>
                <w:rFonts w:ascii="Times New Roman" w:hAnsi="Times New Roman"/>
                <w:sz w:val="22"/>
                <w:szCs w:val="22"/>
              </w:rPr>
            </w:pPr>
          </w:p>
          <w:p w:rsidR="008E2EDD" w:rsidRPr="00936A79" w:rsidP="0091636B">
            <w:pPr>
              <w:pStyle w:val="Normlny"/>
              <w:bidi w:val="0"/>
              <w:spacing w:after="0" w:line="240" w:lineRule="auto"/>
              <w:jc w:val="center"/>
              <w:rPr>
                <w:rFonts w:ascii="Times New Roman" w:hAnsi="Times New Roman"/>
                <w:sz w:val="22"/>
                <w:szCs w:val="22"/>
              </w:rPr>
            </w:pPr>
          </w:p>
          <w:p w:rsidR="008E2EDD" w:rsidRPr="00936A79" w:rsidP="0091636B">
            <w:pPr>
              <w:pStyle w:val="Normlny"/>
              <w:bidi w:val="0"/>
              <w:spacing w:after="0" w:line="240" w:lineRule="auto"/>
              <w:jc w:val="center"/>
              <w:rPr>
                <w:rFonts w:ascii="Times New Roman" w:hAnsi="Times New Roman"/>
                <w:sz w:val="22"/>
                <w:szCs w:val="22"/>
              </w:rPr>
            </w:pPr>
          </w:p>
          <w:p w:rsidR="008E2EDD" w:rsidRPr="00936A79" w:rsidP="0091636B">
            <w:pPr>
              <w:pStyle w:val="Normlny"/>
              <w:bidi w:val="0"/>
              <w:spacing w:after="0" w:line="240" w:lineRule="auto"/>
              <w:jc w:val="center"/>
              <w:rPr>
                <w:rFonts w:ascii="Times New Roman" w:hAnsi="Times New Roman"/>
                <w:sz w:val="22"/>
                <w:szCs w:val="22"/>
              </w:rPr>
            </w:pPr>
          </w:p>
          <w:p w:rsidR="008E2EDD" w:rsidRPr="00936A79" w:rsidP="0091636B">
            <w:pPr>
              <w:pStyle w:val="Normlny"/>
              <w:bidi w:val="0"/>
              <w:spacing w:after="0" w:line="240" w:lineRule="auto"/>
              <w:jc w:val="center"/>
              <w:rPr>
                <w:rFonts w:ascii="Times New Roman" w:hAnsi="Times New Roman"/>
                <w:sz w:val="22"/>
                <w:szCs w:val="22"/>
              </w:rPr>
            </w:pPr>
          </w:p>
          <w:p w:rsidR="00115AC8" w:rsidRPr="00936A79" w:rsidP="0091636B">
            <w:pPr>
              <w:pStyle w:val="Normlny"/>
              <w:bidi w:val="0"/>
              <w:spacing w:after="0" w:line="240" w:lineRule="auto"/>
              <w:jc w:val="center"/>
              <w:rPr>
                <w:rFonts w:ascii="Times New Roman" w:hAnsi="Times New Roman"/>
                <w:sz w:val="22"/>
                <w:szCs w:val="22"/>
              </w:rPr>
            </w:pPr>
          </w:p>
          <w:p w:rsidR="00875997" w:rsidRPr="00936A79" w:rsidP="0091636B">
            <w:pPr>
              <w:pStyle w:val="Normlny"/>
              <w:bidi w:val="0"/>
              <w:spacing w:after="0" w:line="240" w:lineRule="auto"/>
              <w:jc w:val="center"/>
              <w:rPr>
                <w:rFonts w:ascii="Times New Roman" w:hAnsi="Times New Roman"/>
                <w:sz w:val="22"/>
                <w:szCs w:val="22"/>
              </w:rPr>
            </w:pPr>
          </w:p>
          <w:p w:rsidR="008E2EDD" w:rsidRPr="00936A79" w:rsidP="0091636B">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 10 ods.18</w:t>
            </w:r>
          </w:p>
          <w:p w:rsidR="00653191"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p>
          <w:p w:rsidR="00115AC8"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 206</w:t>
            </w:r>
          </w:p>
          <w:p w:rsidR="00653191"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Príloha č.2</w:t>
            </w:r>
          </w:p>
          <w:p w:rsidR="00653191" w:rsidRPr="00936A79" w:rsidP="0091636B">
            <w:pPr>
              <w:pStyle w:val="Normlny"/>
              <w:bidi w:val="0"/>
              <w:spacing w:after="0" w:line="240" w:lineRule="auto"/>
              <w:jc w:val="center"/>
              <w:rPr>
                <w:rFonts w:ascii="Times New Roman" w:hAnsi="Times New Roman"/>
                <w:sz w:val="22"/>
                <w:szCs w:val="22"/>
              </w:rPr>
            </w:pPr>
          </w:p>
          <w:p w:rsidR="00653191" w:rsidRPr="00936A79" w:rsidP="0091636B">
            <w:pPr>
              <w:pStyle w:val="Normlny"/>
              <w:bidi w:val="0"/>
              <w:spacing w:after="0" w:line="240" w:lineRule="auto"/>
              <w:jc w:val="center"/>
              <w:rPr>
                <w:rFonts w:ascii="Times New Roman" w:hAnsi="Times New Roman"/>
                <w:sz w:val="22"/>
                <w:szCs w:val="22"/>
              </w:rPr>
            </w:pPr>
            <w:r w:rsidRPr="00936A79">
              <w:rPr>
                <w:rFonts w:ascii="Times New Roman" w:hAnsi="Times New Roman"/>
                <w:sz w:val="22"/>
                <w:szCs w:val="22"/>
              </w:rPr>
              <w:t>bod 3</w:t>
            </w:r>
          </w:p>
          <w:p w:rsidR="008E2EDD" w:rsidRPr="00936A79" w:rsidP="0091636B">
            <w:pPr>
              <w:pStyle w:val="Normlny"/>
              <w:bidi w:val="0"/>
              <w:spacing w:after="0" w:line="240" w:lineRule="auto"/>
              <w:jc w:val="center"/>
              <w:rPr>
                <w:rFonts w:ascii="Times New Roman" w:hAnsi="Times New Roman"/>
                <w:sz w:val="22"/>
                <w:szCs w:val="22"/>
              </w:rPr>
            </w:pPr>
          </w:p>
          <w:p w:rsidR="008E2EDD" w:rsidRPr="00936A79" w:rsidP="0091636B">
            <w:pPr>
              <w:pStyle w:val="Normlny"/>
              <w:bidi w:val="0"/>
              <w:spacing w:after="0" w:line="240" w:lineRule="auto"/>
              <w:jc w:val="center"/>
              <w:rPr>
                <w:rFonts w:ascii="Times New Roman" w:hAnsi="Times New Roman"/>
                <w:sz w:val="22"/>
                <w:szCs w:val="22"/>
              </w:rPr>
            </w:pPr>
          </w:p>
          <w:p w:rsidR="008E2EDD" w:rsidRPr="00936A79" w:rsidP="0091636B">
            <w:pPr>
              <w:pStyle w:val="Normlny"/>
              <w:bidi w:val="0"/>
              <w:spacing w:after="0" w:line="240" w:lineRule="auto"/>
              <w:jc w:val="center"/>
              <w:rPr>
                <w:rFonts w:ascii="Times New Roman" w:hAnsi="Times New Roman"/>
                <w:sz w:val="22"/>
                <w:szCs w:val="22"/>
              </w:rPr>
            </w:pPr>
          </w:p>
          <w:p w:rsidR="008E2EDD" w:rsidRPr="00936A79" w:rsidP="009B6D84">
            <w:pPr>
              <w:pStyle w:val="Normlny"/>
              <w:bidi w:val="0"/>
              <w:spacing w:after="0" w:line="240" w:lineRule="auto"/>
              <w:rPr>
                <w:rFonts w:ascii="Times New Roman" w:hAnsi="Times New Roman"/>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rsidP="002E1D16">
            <w:pPr>
              <w:pStyle w:val="Normlny"/>
              <w:bidi w:val="0"/>
              <w:spacing w:after="0" w:line="240" w:lineRule="auto"/>
              <w:rPr>
                <w:rFonts w:ascii="Times New Roman" w:hAnsi="Times New Roman"/>
                <w:b/>
                <w:sz w:val="22"/>
                <w:szCs w:val="22"/>
              </w:rPr>
            </w:pPr>
            <w:r w:rsidRPr="00936A79" w:rsidR="008E2EDD">
              <w:rPr>
                <w:rFonts w:ascii="Times New Roman" w:hAnsi="Times New Roman"/>
                <w:b/>
                <w:sz w:val="22"/>
                <w:szCs w:val="22"/>
              </w:rPr>
              <w:t>Na poisťovňu, ktorá sa rozhodla vykonávať poisťovaciu činnosť na území Švajčiarskej konfederácie prostredníctvom pobočky alebo už vykonáva poisťovaciu činnosť prostredníctvom pobočky na území Švajčiarskej konfederácie pre poistný druh iný ako životné poistenie, sa uplatňujú ustanovenia tohto zákona upravujúce činnosť poisťovne v inom ako členskom štáte, ak nie je v medzinárodnej dohode</w:t>
            </w:r>
            <w:r w:rsidRPr="00936A79" w:rsidR="00875997">
              <w:rPr>
                <w:rFonts w:ascii="Times New Roman" w:hAnsi="Times New Roman"/>
                <w:b/>
                <w:sz w:val="22"/>
                <w:szCs w:val="22"/>
              </w:rPr>
              <w:t>, ktorou je Slovenská republika viazaná</w:t>
            </w:r>
            <w:r w:rsidRPr="00936A79" w:rsidR="008E2EDD">
              <w:rPr>
                <w:rFonts w:ascii="Times New Roman" w:hAnsi="Times New Roman"/>
                <w:b/>
                <w:sz w:val="22"/>
                <w:szCs w:val="22"/>
                <w:vertAlign w:val="superscript"/>
              </w:rPr>
              <w:t>20a</w:t>
            </w:r>
            <w:r w:rsidRPr="00936A79" w:rsidR="008E2EDD">
              <w:rPr>
                <w:rFonts w:ascii="Times New Roman" w:hAnsi="Times New Roman"/>
                <w:b/>
                <w:sz w:val="22"/>
                <w:szCs w:val="22"/>
              </w:rPr>
              <w:t>) uvedené inak.</w:t>
            </w:r>
          </w:p>
          <w:p w:rsidR="008E2EDD" w:rsidRPr="00936A79" w:rsidP="002E1D16">
            <w:pPr>
              <w:pStyle w:val="Normlny"/>
              <w:bidi w:val="0"/>
              <w:spacing w:after="0" w:line="240" w:lineRule="auto"/>
              <w:rPr>
                <w:rFonts w:ascii="Times New Roman" w:hAnsi="Times New Roman"/>
                <w:b/>
                <w:sz w:val="22"/>
                <w:szCs w:val="22"/>
              </w:rPr>
            </w:pPr>
          </w:p>
          <w:p w:rsidR="008E2EDD" w:rsidRPr="00936A79" w:rsidP="002E1D16">
            <w:pPr>
              <w:pStyle w:val="Normlny"/>
              <w:bidi w:val="0"/>
              <w:spacing w:after="0" w:line="240" w:lineRule="auto"/>
              <w:rPr>
                <w:rFonts w:ascii="Times New Roman" w:hAnsi="Times New Roman"/>
                <w:b/>
                <w:sz w:val="22"/>
                <w:szCs w:val="22"/>
              </w:rPr>
            </w:pPr>
            <w:r w:rsidRPr="00936A79">
              <w:rPr>
                <w:rFonts w:ascii="Times New Roman" w:hAnsi="Times New Roman"/>
                <w:b/>
                <w:sz w:val="22"/>
                <w:szCs w:val="22"/>
              </w:rPr>
              <w:t>Na zahraničnú poisťovňu so sídlom na území Švajčiarskej konfederácie, ktorá sa rozhodla vykonávať poisťovaciu činnosť prostredníctvom pobočky na území Slovenskej republiky alebo už vykonáva poisťovaciu činnosť prostredníctvom pobočky na území Slovenskej republiky pre poistný druh iný ako životné poistenie, sa uplatňujú ustanovenia tohto zákona upravujúce pôsobenie zahraničnej poisťovne, ak nie je v medzinárodnej dohode</w:t>
            </w:r>
            <w:r w:rsidRPr="00936A79" w:rsidR="00875997">
              <w:rPr>
                <w:rFonts w:ascii="Times New Roman" w:hAnsi="Times New Roman"/>
                <w:b/>
                <w:sz w:val="22"/>
                <w:szCs w:val="22"/>
              </w:rPr>
              <w:t>, ktorou je Slovenská republika viazavá</w:t>
            </w:r>
            <w:r w:rsidRPr="00936A79">
              <w:rPr>
                <w:rFonts w:ascii="Times New Roman" w:hAnsi="Times New Roman"/>
                <w:b/>
                <w:sz w:val="22"/>
                <w:szCs w:val="22"/>
                <w:vertAlign w:val="superscript"/>
              </w:rPr>
              <w:t>20a</w:t>
            </w:r>
            <w:r w:rsidRPr="00936A79">
              <w:rPr>
                <w:rFonts w:ascii="Times New Roman" w:hAnsi="Times New Roman"/>
                <w:b/>
                <w:sz w:val="22"/>
                <w:szCs w:val="22"/>
              </w:rPr>
              <w:t>) uvedené inak.</w:t>
            </w:r>
          </w:p>
          <w:p w:rsidR="00115AC8" w:rsidRPr="00936A79" w:rsidP="002E1D16">
            <w:pPr>
              <w:pStyle w:val="Normlny"/>
              <w:bidi w:val="0"/>
              <w:spacing w:after="0" w:line="240" w:lineRule="auto"/>
              <w:rPr>
                <w:rFonts w:ascii="Times New Roman" w:hAnsi="Times New Roman"/>
                <w:sz w:val="22"/>
                <w:szCs w:val="22"/>
              </w:rPr>
            </w:pPr>
          </w:p>
          <w:p w:rsidR="00653191" w:rsidRPr="00936A79" w:rsidP="002E1D16">
            <w:pPr>
              <w:pStyle w:val="Normlny"/>
              <w:bidi w:val="0"/>
              <w:spacing w:after="0" w:line="240" w:lineRule="auto"/>
              <w:rPr>
                <w:rFonts w:ascii="Times New Roman" w:hAnsi="Times New Roman"/>
                <w:sz w:val="22"/>
                <w:szCs w:val="22"/>
              </w:rPr>
            </w:pPr>
            <w:r w:rsidRPr="00936A79">
              <w:rPr>
                <w:rFonts w:ascii="Times New Roman" w:hAnsi="Times New Roman"/>
                <w:sz w:val="22"/>
                <w:szCs w:val="22"/>
              </w:rPr>
              <w:t>Týmto zákonom sa preberajú právne záväzné akty Európskej únie uvedené v prílohe č. 2.</w:t>
            </w:r>
          </w:p>
          <w:p w:rsidR="00653191" w:rsidRPr="00936A79" w:rsidP="002E1D16">
            <w:pPr>
              <w:pStyle w:val="Normlny"/>
              <w:bidi w:val="0"/>
              <w:spacing w:after="0" w:line="240" w:lineRule="auto"/>
              <w:rPr>
                <w:rFonts w:ascii="Times New Roman" w:hAnsi="Times New Roman"/>
                <w:sz w:val="22"/>
                <w:szCs w:val="22"/>
              </w:rPr>
            </w:pPr>
          </w:p>
          <w:p w:rsidR="008E2EDD" w:rsidRPr="00936A79" w:rsidP="002E1D16">
            <w:pPr>
              <w:pStyle w:val="Normlny"/>
              <w:bidi w:val="0"/>
              <w:spacing w:after="0" w:line="240" w:lineRule="auto"/>
              <w:rPr>
                <w:rFonts w:ascii="Times New Roman" w:hAnsi="Times New Roman"/>
                <w:sz w:val="22"/>
                <w:szCs w:val="22"/>
              </w:rPr>
            </w:pPr>
            <w:r w:rsidRPr="00936A79">
              <w:rPr>
                <w:rFonts w:ascii="Times New Roman" w:hAnsi="Times New Roman"/>
                <w:sz w:val="22"/>
                <w:szCs w:val="22"/>
              </w:rPr>
              <w:t>ZOZNAM PREBERANÝCH PRÁVNE ZÁVÄZNÝCH AKTOV EURÓPSKEJ ÚNIE</w:t>
            </w:r>
          </w:p>
          <w:p w:rsidR="00653191" w:rsidRPr="00936A79" w:rsidP="002E1D16">
            <w:pPr>
              <w:pStyle w:val="Normlny"/>
              <w:bidi w:val="0"/>
              <w:spacing w:after="0" w:line="240" w:lineRule="auto"/>
              <w:rPr>
                <w:rFonts w:ascii="Times New Roman" w:hAnsi="Times New Roman"/>
                <w:sz w:val="22"/>
                <w:szCs w:val="22"/>
              </w:rPr>
            </w:pPr>
          </w:p>
          <w:p w:rsidR="00653191" w:rsidRPr="00936A79" w:rsidP="00653191">
            <w:pPr>
              <w:pStyle w:val="Normlny"/>
              <w:bidi w:val="0"/>
              <w:spacing w:after="0" w:line="240" w:lineRule="auto"/>
              <w:rPr>
                <w:rFonts w:ascii="Times New Roman" w:hAnsi="Times New Roman"/>
                <w:b/>
                <w:sz w:val="22"/>
                <w:szCs w:val="22"/>
              </w:rPr>
            </w:pPr>
            <w:r w:rsidRPr="00936A79">
              <w:rPr>
                <w:rFonts w:ascii="Times New Roman" w:hAnsi="Times New Roman"/>
                <w:b/>
                <w:sz w:val="22"/>
                <w:szCs w:val="22"/>
              </w:rPr>
              <w:t>3. Smernica Rady 91/371/EHS z 20. júna 1991 o vykonávaní dohody medzi Európskym hospodárskym spoločenstvom a Švajčiarskou konfederáciou o priamom poistení s výnimkou životného poistenia (Ú. v. ES L 205, 27. 7. 1991, Mimoriadne vydanie Ú. v. EÚ kap.6/zv. 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sidR="0078287E">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936A79" w:rsidP="004577EC">
            <w:pPr>
              <w:bidi w:val="0"/>
              <w:spacing w:after="0" w:line="240" w:lineRule="auto"/>
              <w:jc w:val="center"/>
              <w:rPr>
                <w:rFonts w:ascii="Times New Roman" w:hAnsi="Times New Roman"/>
                <w:sz w:val="22"/>
                <w:szCs w:val="22"/>
              </w:rPr>
            </w:pPr>
            <w:r w:rsidRPr="00936A79" w:rsidR="002E1D16">
              <w:rPr>
                <w:rFonts w:ascii="Times New Roman" w:hAnsi="Times New Roman"/>
                <w:sz w:val="22"/>
                <w:szCs w:val="22"/>
              </w:rPr>
              <w:t>Čl. 2</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CB2E5D" w:rsidRPr="00936A79" w:rsidP="002E1D16">
            <w:pPr>
              <w:pStyle w:val="Normlny"/>
              <w:bidi w:val="0"/>
              <w:spacing w:after="0" w:line="240" w:lineRule="auto"/>
              <w:rPr>
                <w:rFonts w:ascii="Times New Roman" w:hAnsi="Times New Roman"/>
                <w:sz w:val="22"/>
                <w:szCs w:val="22"/>
              </w:rPr>
            </w:pPr>
            <w:r w:rsidRPr="00936A79" w:rsidR="008E2EDD">
              <w:rPr>
                <w:rFonts w:ascii="Times New Roman" w:hAnsi="Times New Roman"/>
                <w:sz w:val="22"/>
                <w:szCs w:val="22"/>
              </w:rPr>
              <w:t>Členské štáty vo svojich vnútroštátnych právnych predpisoch stanovia, že ich zmeny a doplnenia vykonané podľa dohody nenadobudnú účinnosť až do dátumu nadobudnutia platnosti dohody.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sidR="00115AC8">
              <w:rPr>
                <w:rFonts w:ascii="Times New Roman" w:hAnsi="Times New Roman"/>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rsidP="004577EC">
            <w:pPr>
              <w:bidi w:val="0"/>
              <w:spacing w:after="0" w:line="240" w:lineRule="auto"/>
              <w:jc w:val="center"/>
              <w:rPr>
                <w:rFonts w:ascii="Times New Roman" w:hAnsi="Times New Roman"/>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rsidP="00B64B09">
            <w:pPr>
              <w:pStyle w:val="BodyText2"/>
              <w:bidi w:val="0"/>
              <w:spacing w:after="0" w:line="240" w:lineRule="exact"/>
              <w:jc w:val="left"/>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sidR="00115AC8">
              <w:rPr>
                <w:rFonts w:ascii="Times New Roman" w:hAnsi="Times New Roman"/>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pStyle w:val="Heading1"/>
              <w:bidi w:val="0"/>
              <w:spacing w:after="0" w:line="240" w:lineRule="auto"/>
              <w:rPr>
                <w:rFonts w:ascii="Times New Roman" w:hAnsi="Times New Roman"/>
                <w:b w:val="0"/>
                <w:bCs w:val="0"/>
                <w:sz w:val="22"/>
                <w:szCs w:val="22"/>
              </w:rPr>
            </w:pPr>
          </w:p>
        </w:tc>
      </w:tr>
      <w:tr>
        <w:tblPrEx>
          <w:tblW w:w="16200" w:type="dxa"/>
          <w:tblInd w:w="-497" w:type="dxa"/>
          <w:tblLayout w:type="fixed"/>
          <w:tblCellMar>
            <w:left w:w="43" w:type="dxa"/>
            <w:right w:w="43" w:type="dxa"/>
          </w:tblCellMar>
        </w:tblPrEx>
        <w:tc>
          <w:tcPr>
            <w:tcW w:w="540" w:type="dxa"/>
            <w:tcBorders>
              <w:top w:val="single" w:sz="4" w:space="0" w:color="auto"/>
              <w:left w:val="single" w:sz="12" w:space="0" w:color="auto"/>
              <w:bottom w:val="single" w:sz="4" w:space="0" w:color="auto"/>
              <w:right w:val="single" w:sz="4" w:space="0" w:color="auto"/>
            </w:tcBorders>
            <w:textDirection w:val="lrTb"/>
            <w:vAlign w:val="top"/>
          </w:tcPr>
          <w:p w:rsidR="00A9063F" w:rsidRPr="00936A79" w:rsidP="004577EC">
            <w:pPr>
              <w:bidi w:val="0"/>
              <w:spacing w:after="0" w:line="240" w:lineRule="auto"/>
              <w:jc w:val="center"/>
              <w:rPr>
                <w:rFonts w:ascii="Times New Roman" w:hAnsi="Times New Roman"/>
                <w:sz w:val="22"/>
                <w:szCs w:val="22"/>
              </w:rPr>
            </w:pPr>
            <w:r w:rsidRPr="00936A79" w:rsidR="002E1D16">
              <w:rPr>
                <w:rFonts w:ascii="Times New Roman" w:hAnsi="Times New Roman"/>
                <w:sz w:val="22"/>
                <w:szCs w:val="22"/>
              </w:rPr>
              <w:t>Čl. 3</w:t>
            </w:r>
          </w:p>
        </w:tc>
        <w:tc>
          <w:tcPr>
            <w:tcW w:w="6379"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936A79" w:rsidP="002E1D16">
            <w:pPr>
              <w:pStyle w:val="Normlny"/>
              <w:bidi w:val="0"/>
              <w:spacing w:after="0" w:line="240" w:lineRule="auto"/>
              <w:jc w:val="both"/>
              <w:rPr>
                <w:rFonts w:ascii="Times New Roman" w:hAnsi="Times New Roman"/>
                <w:sz w:val="22"/>
                <w:szCs w:val="22"/>
              </w:rPr>
            </w:pPr>
            <w:r w:rsidRPr="00936A79" w:rsidR="008E2EDD">
              <w:rPr>
                <w:rFonts w:ascii="Times New Roman" w:hAnsi="Times New Roman"/>
                <w:sz w:val="22"/>
                <w:szCs w:val="22"/>
              </w:rPr>
              <w:t>Táto smernica je adresovaná členským štátom. V Luxemburgu 20. júna 1991 Za Radu predseda R. GOEBBELS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sidR="00115AC8">
              <w:rPr>
                <w:rFonts w:ascii="Times New Roman" w:hAnsi="Times New Roman"/>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rsidP="004577EC">
            <w:pPr>
              <w:pStyle w:val="Normlny"/>
              <w:bidi w:val="0"/>
              <w:spacing w:after="0" w:line="240" w:lineRule="auto"/>
              <w:jc w:val="center"/>
              <w:rPr>
                <w:rFonts w:ascii="Times New Roman" w:hAnsi="Times New Roman"/>
                <w:sz w:val="22"/>
                <w:szCs w:val="22"/>
              </w:rPr>
            </w:pPr>
          </w:p>
        </w:tc>
        <w:tc>
          <w:tcPr>
            <w:tcW w:w="5245"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rsidP="004577EC">
            <w:pPr>
              <w:tabs>
                <w:tab w:val="left" w:pos="1425"/>
              </w:tabs>
              <w:bidi w:val="0"/>
              <w:spacing w:after="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936A79">
            <w:pPr>
              <w:bidi w:val="0"/>
              <w:spacing w:after="0" w:line="240" w:lineRule="auto"/>
              <w:jc w:val="center"/>
              <w:rPr>
                <w:rFonts w:ascii="Times New Roman" w:hAnsi="Times New Roman"/>
                <w:sz w:val="22"/>
                <w:szCs w:val="22"/>
              </w:rPr>
            </w:pPr>
            <w:r w:rsidRPr="00936A79" w:rsidR="00115AC8">
              <w:rPr>
                <w:rFonts w:ascii="Times New Roman" w:hAnsi="Times New Roman"/>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936A79">
            <w:pPr>
              <w:pStyle w:val="Heading1"/>
              <w:bidi w:val="0"/>
              <w:spacing w:after="0" w:line="240" w:lineRule="auto"/>
              <w:rPr>
                <w:rFonts w:ascii="Times New Roman" w:hAnsi="Times New Roman"/>
                <w:b w:val="0"/>
                <w:bCs w:val="0"/>
                <w:sz w:val="22"/>
                <w:szCs w:val="22"/>
              </w:rPr>
            </w:pPr>
          </w:p>
        </w:tc>
      </w:tr>
    </w:tbl>
    <w:p w:rsidR="008C54C3" w:rsidRPr="00936A79">
      <w:pPr>
        <w:autoSpaceDE/>
        <w:autoSpaceDN/>
        <w:bidi w:val="0"/>
        <w:ind w:left="360"/>
        <w:rPr>
          <w:rFonts w:ascii="Times New Roman" w:hAnsi="Times New Roman"/>
          <w:sz w:val="22"/>
          <w:szCs w:val="22"/>
        </w:rPr>
      </w:pPr>
    </w:p>
    <w:p w:rsidR="008C54C3" w:rsidRPr="00936A79">
      <w:pPr>
        <w:autoSpaceDE/>
        <w:autoSpaceDN/>
        <w:bidi w:val="0"/>
        <w:rPr>
          <w:rFonts w:ascii="Times New Roman" w:hAnsi="Times New Roman"/>
          <w:sz w:val="22"/>
          <w:szCs w:val="22"/>
        </w:rPr>
      </w:pPr>
    </w:p>
    <w:p w:rsidR="008C54C3" w:rsidRPr="00936A79">
      <w:pPr>
        <w:autoSpaceDE/>
        <w:autoSpaceDN/>
        <w:bidi w:val="0"/>
        <w:rPr>
          <w:rFonts w:ascii="Times New Roman" w:hAnsi="Times New Roman"/>
          <w:sz w:val="22"/>
          <w:szCs w:val="22"/>
        </w:rPr>
      </w:pPr>
      <w:r w:rsidRPr="00936A79">
        <w:rPr>
          <w:rFonts w:ascii="Times New Roman" w:hAnsi="Times New Roman"/>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936A79">
            <w:pPr>
              <w:pStyle w:val="Normlny"/>
              <w:autoSpaceDE/>
              <w:autoSpaceDN/>
              <w:bidi w:val="0"/>
              <w:spacing w:after="60" w:line="240" w:lineRule="auto"/>
              <w:rPr>
                <w:rFonts w:ascii="Times New Roman" w:hAnsi="Times New Roman"/>
                <w:sz w:val="22"/>
                <w:szCs w:val="22"/>
                <w:lang w:eastAsia="sk-SK"/>
              </w:rPr>
            </w:pPr>
            <w:r w:rsidRPr="00936A79">
              <w:rPr>
                <w:rFonts w:ascii="Times New Roman" w:hAnsi="Times New Roman"/>
                <w:sz w:val="22"/>
                <w:szCs w:val="22"/>
                <w:lang w:eastAsia="sk-SK"/>
              </w:rPr>
              <w:t>V stĺpci (1):</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Č – článok</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O – odsek</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V – veta</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 xml:space="preserve">P – </w:t>
            </w:r>
            <w:r w:rsidRPr="00936A79" w:rsidR="00DA0F6C">
              <w:rPr>
                <w:rFonts w:ascii="Times New Roman" w:hAnsi="Times New Roman"/>
                <w:sz w:val="22"/>
                <w:szCs w:val="22"/>
              </w:rPr>
              <w:t>číslo</w:t>
            </w:r>
            <w:r w:rsidRPr="00936A79">
              <w:rPr>
                <w:rFonts w:ascii="Times New Roman" w:hAnsi="Times New Roman"/>
                <w:sz w:val="22"/>
                <w:szCs w:val="22"/>
              </w:rPr>
              <w:t xml:space="preserve"> (</w:t>
            </w:r>
            <w:r w:rsidRPr="00936A79" w:rsidR="00DA0F6C">
              <w:rPr>
                <w:rFonts w:ascii="Times New Roman" w:hAnsi="Times New Roman"/>
                <w:sz w:val="22"/>
                <w:szCs w:val="22"/>
              </w:rPr>
              <w:t>písmeno</w:t>
            </w:r>
            <w:r w:rsidRPr="00936A79">
              <w:rPr>
                <w:rFonts w:ascii="Times New Roman" w:hAnsi="Times New Roman"/>
                <w:sz w:val="22"/>
                <w:szCs w:val="22"/>
              </w:rPr>
              <w:t>)</w:t>
            </w:r>
          </w:p>
          <w:p w:rsidR="008C54C3" w:rsidRPr="00936A79">
            <w:pPr>
              <w:autoSpaceDE/>
              <w:autoSpaceDN/>
              <w:bidi w:val="0"/>
              <w:spacing w:after="0" w:line="240" w:lineRule="auto"/>
              <w:rPr>
                <w:rFonts w:ascii="Times New Roman" w:hAnsi="Times New Roman"/>
                <w:sz w:val="22"/>
                <w:szCs w:val="22"/>
              </w:rPr>
            </w:pPr>
          </w:p>
        </w:tc>
        <w:tc>
          <w:tcPr>
            <w:tcW w:w="3780" w:type="dxa"/>
            <w:tcBorders>
              <w:top w:val="nil"/>
              <w:left w:val="nil"/>
              <w:bottom w:val="nil"/>
              <w:right w:val="nil"/>
            </w:tcBorders>
            <w:textDirection w:val="lrTb"/>
            <w:vAlign w:val="top"/>
          </w:tcPr>
          <w:p w:rsidR="008C54C3" w:rsidRPr="00936A79">
            <w:pPr>
              <w:pStyle w:val="Normlny"/>
              <w:autoSpaceDE/>
              <w:autoSpaceDN/>
              <w:bidi w:val="0"/>
              <w:spacing w:after="60" w:line="240" w:lineRule="auto"/>
              <w:rPr>
                <w:rFonts w:ascii="Times New Roman" w:hAnsi="Times New Roman"/>
                <w:sz w:val="22"/>
                <w:szCs w:val="22"/>
                <w:lang w:eastAsia="sk-SK"/>
              </w:rPr>
            </w:pPr>
            <w:r w:rsidRPr="00936A79">
              <w:rPr>
                <w:rFonts w:ascii="Times New Roman" w:hAnsi="Times New Roman"/>
                <w:sz w:val="22"/>
                <w:szCs w:val="22"/>
                <w:lang w:eastAsia="sk-SK"/>
              </w:rPr>
              <w:t>V stĺpci (3):</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N – bežná transpozícia</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O – transpozícia s možnosťou voľby</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D – transpozícia podľa úvahy (dobrovoľná)</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8C54C3" w:rsidRPr="00936A79">
            <w:pPr>
              <w:pStyle w:val="Normlny"/>
              <w:autoSpaceDE/>
              <w:autoSpaceDN/>
              <w:bidi w:val="0"/>
              <w:spacing w:after="60" w:line="240" w:lineRule="auto"/>
              <w:rPr>
                <w:rFonts w:ascii="Times New Roman" w:hAnsi="Times New Roman"/>
                <w:sz w:val="22"/>
                <w:szCs w:val="22"/>
                <w:lang w:eastAsia="sk-SK"/>
              </w:rPr>
            </w:pPr>
            <w:r w:rsidRPr="00936A79">
              <w:rPr>
                <w:rFonts w:ascii="Times New Roman" w:hAnsi="Times New Roman"/>
                <w:sz w:val="22"/>
                <w:szCs w:val="22"/>
                <w:lang w:eastAsia="sk-SK"/>
              </w:rPr>
              <w:t>V stĺpci (5):</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Č – článok</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 – paragraf</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O – odsek</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V – veta</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P – písmeno (číslo)</w:t>
            </w:r>
          </w:p>
        </w:tc>
        <w:tc>
          <w:tcPr>
            <w:tcW w:w="7200" w:type="dxa"/>
            <w:tcBorders>
              <w:top w:val="nil"/>
              <w:left w:val="nil"/>
              <w:bottom w:val="nil"/>
              <w:right w:val="nil"/>
            </w:tcBorders>
            <w:textDirection w:val="lrTb"/>
            <w:vAlign w:val="top"/>
          </w:tcPr>
          <w:p w:rsidR="008C54C3" w:rsidRPr="00936A79">
            <w:pPr>
              <w:pStyle w:val="Normlny"/>
              <w:autoSpaceDE/>
              <w:autoSpaceDN/>
              <w:bidi w:val="0"/>
              <w:spacing w:after="60" w:line="240" w:lineRule="auto"/>
              <w:rPr>
                <w:rFonts w:ascii="Times New Roman" w:hAnsi="Times New Roman"/>
                <w:sz w:val="22"/>
                <w:szCs w:val="22"/>
                <w:lang w:eastAsia="sk-SK"/>
              </w:rPr>
            </w:pPr>
            <w:r w:rsidRPr="00936A79">
              <w:rPr>
                <w:rFonts w:ascii="Times New Roman" w:hAnsi="Times New Roman"/>
                <w:sz w:val="22"/>
                <w:szCs w:val="22"/>
                <w:lang w:eastAsia="sk-SK"/>
              </w:rPr>
              <w:t>V stĺpci (7):</w:t>
            </w:r>
          </w:p>
          <w:p w:rsidR="008C54C3" w:rsidRPr="00936A79" w:rsidP="008C54C3">
            <w:pPr>
              <w:autoSpaceDE/>
              <w:autoSpaceDN/>
              <w:bidi w:val="0"/>
              <w:spacing w:after="0" w:line="240" w:lineRule="auto"/>
              <w:ind w:left="290" w:hanging="290"/>
              <w:rPr>
                <w:rFonts w:ascii="Times New Roman" w:hAnsi="Times New Roman"/>
                <w:sz w:val="22"/>
                <w:szCs w:val="22"/>
              </w:rPr>
            </w:pPr>
            <w:r w:rsidRPr="00936A79">
              <w:rPr>
                <w:rFonts w:ascii="Times New Roman" w:hAnsi="Times New Roman"/>
                <w:sz w:val="22"/>
                <w:szCs w:val="22"/>
              </w:rPr>
              <w:t>Ú – úplná zhoda (ak bolo ustanovenie smernice prebraté v celom rozsahu, správne, v príslušnej form</w:t>
            </w:r>
            <w:r w:rsidRPr="00936A79" w:rsidR="00391DC5">
              <w:rPr>
                <w:rFonts w:ascii="Times New Roman" w:hAnsi="Times New Roman"/>
                <w:sz w:val="22"/>
                <w:szCs w:val="22"/>
              </w:rPr>
              <w:t>e</w:t>
            </w:r>
            <w:r w:rsidRPr="00936A79">
              <w:rPr>
                <w:rFonts w:ascii="Times New Roman" w:hAnsi="Times New Roman"/>
                <w:sz w:val="22"/>
                <w:szCs w:val="22"/>
              </w:rPr>
              <w:t>, so zabezpečenou inštitucionálnou</w:t>
            </w:r>
            <w:r w:rsidRPr="00936A79" w:rsidR="000C2E53">
              <w:rPr>
                <w:rFonts w:ascii="Times New Roman" w:hAnsi="Times New Roman"/>
                <w:sz w:val="22"/>
                <w:szCs w:val="22"/>
              </w:rPr>
              <w:t xml:space="preserve"> </w:t>
            </w:r>
            <w:r w:rsidRPr="00936A79">
              <w:rPr>
                <w:rFonts w:ascii="Times New Roman" w:hAnsi="Times New Roman"/>
                <w:sz w:val="22"/>
                <w:szCs w:val="22"/>
              </w:rPr>
              <w:t xml:space="preserve"> </w:t>
            </w:r>
            <w:r w:rsidRPr="00936A79" w:rsidR="000C2E53">
              <w:rPr>
                <w:rFonts w:ascii="Times New Roman" w:hAnsi="Times New Roman"/>
                <w:sz w:val="22"/>
                <w:szCs w:val="22"/>
              </w:rPr>
              <w:t>i</w:t>
            </w:r>
            <w:r w:rsidRPr="00936A79">
              <w:rPr>
                <w:rFonts w:ascii="Times New Roman" w:hAnsi="Times New Roman"/>
                <w:sz w:val="22"/>
                <w:szCs w:val="22"/>
              </w:rPr>
              <w:t>nfraštruktúrou, s príslušnými sankciami a vo vzájomnej súvislosti)</w:t>
            </w:r>
          </w:p>
          <w:p w:rsidR="008C54C3" w:rsidRPr="00936A79">
            <w:pPr>
              <w:autoSpaceDE/>
              <w:autoSpaceDN/>
              <w:bidi w:val="0"/>
              <w:spacing w:after="0" w:line="240" w:lineRule="auto"/>
              <w:rPr>
                <w:rFonts w:ascii="Times New Roman" w:hAnsi="Times New Roman"/>
                <w:sz w:val="22"/>
                <w:szCs w:val="22"/>
              </w:rPr>
            </w:pPr>
            <w:r w:rsidRPr="00936A79">
              <w:rPr>
                <w:rFonts w:ascii="Times New Roman" w:hAnsi="Times New Roman"/>
                <w:sz w:val="22"/>
                <w:szCs w:val="22"/>
              </w:rPr>
              <w:t>Č – čiastočná zhoda (ak minimálne jedna z podmienok úplnej zhody nie je splnená)</w:t>
            </w:r>
          </w:p>
          <w:p w:rsidR="008C54C3" w:rsidRPr="00936A79">
            <w:pPr>
              <w:pStyle w:val="BodyTextIndent2"/>
              <w:bidi w:val="0"/>
              <w:spacing w:after="0" w:line="240" w:lineRule="auto"/>
              <w:rPr>
                <w:rFonts w:ascii="Times New Roman" w:hAnsi="Times New Roman"/>
                <w:sz w:val="22"/>
                <w:szCs w:val="22"/>
              </w:rPr>
            </w:pPr>
            <w:r w:rsidRPr="00936A79">
              <w:rPr>
                <w:rFonts w:ascii="Times New Roman" w:hAnsi="Times New Roman"/>
                <w:sz w:val="22"/>
                <w:szCs w:val="22"/>
              </w:rPr>
              <w:t>Ž – žiadna zhoda (ak nebola dosiahnutá ani úplná ani čiast. zhoda alebo k prebratiu dôjde v budúcnosti)</w:t>
            </w:r>
          </w:p>
          <w:p w:rsidR="008C54C3" w:rsidRPr="00936A79">
            <w:pPr>
              <w:autoSpaceDE/>
              <w:autoSpaceDN/>
              <w:bidi w:val="0"/>
              <w:spacing w:after="0" w:line="240" w:lineRule="auto"/>
              <w:ind w:left="290" w:hanging="290"/>
              <w:rPr>
                <w:rFonts w:ascii="Times New Roman" w:hAnsi="Times New Roman"/>
                <w:sz w:val="22"/>
                <w:szCs w:val="22"/>
              </w:rPr>
            </w:pPr>
            <w:r w:rsidRPr="00936A79">
              <w:rPr>
                <w:rFonts w:ascii="Times New Roman" w:hAnsi="Times New Roman"/>
                <w:sz w:val="22"/>
                <w:szCs w:val="22"/>
              </w:rPr>
              <w:t>n.a. – neaplikovateľnosť (ak sa ustanovenie smernice netýka SR alebo nie je potrebné ho prebrať)</w:t>
            </w:r>
          </w:p>
        </w:tc>
      </w:tr>
    </w:tbl>
    <w:p w:rsidR="008C54C3" w:rsidRPr="00936A79">
      <w:pPr>
        <w:autoSpaceDE/>
        <w:autoSpaceDN/>
        <w:bidi w:val="0"/>
        <w:rPr>
          <w:rFonts w:ascii="Times New Roman" w:hAnsi="Times New Roman"/>
          <w:sz w:val="22"/>
          <w:szCs w:val="22"/>
        </w:rPr>
      </w:pPr>
    </w:p>
    <w:p w:rsidR="008C54C3" w:rsidRPr="00936A79">
      <w:pPr>
        <w:pStyle w:val="Header"/>
        <w:tabs>
          <w:tab w:val="clear" w:pos="4536"/>
          <w:tab w:val="clear" w:pos="9072"/>
        </w:tabs>
        <w:autoSpaceDE/>
        <w:autoSpaceDN/>
        <w:bidi w:val="0"/>
        <w:rPr>
          <w:rFonts w:ascii="Times New Roman" w:hAnsi="Times New Roman"/>
          <w:sz w:val="22"/>
          <w:szCs w:val="22"/>
        </w:rPr>
      </w:pPr>
    </w:p>
    <w:sectPr>
      <w:footerReference w:type="default" r:id="rId4"/>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Arial"/>
    <w:panose1 w:val="00000000000000000000"/>
    <w:charset w:val="EE"/>
    <w:family w:val="swiss"/>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F553B6">
      <w:rPr>
        <w:rStyle w:val="PageNumber"/>
        <w:rFonts w:ascii="Times New Roman" w:hAnsi="Times New Roman"/>
        <w:noProof/>
      </w:rPr>
      <w:t>1</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4">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5">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7">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10"/>
  </w:num>
  <w:num w:numId="12">
    <w:abstractNumId w:val="2"/>
  </w:num>
  <w:num w:numId="13">
    <w:abstractNumId w:val="9"/>
  </w:num>
  <w:num w:numId="14">
    <w:abstractNumId w:val="1"/>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C2E53"/>
    <w:rsid w:val="00115AC8"/>
    <w:rsid w:val="00127033"/>
    <w:rsid w:val="00153B33"/>
    <w:rsid w:val="00177AAD"/>
    <w:rsid w:val="001A02E3"/>
    <w:rsid w:val="001C7257"/>
    <w:rsid w:val="001E4C24"/>
    <w:rsid w:val="00210B2D"/>
    <w:rsid w:val="00217BF4"/>
    <w:rsid w:val="00270E65"/>
    <w:rsid w:val="002B0DAC"/>
    <w:rsid w:val="002E1D16"/>
    <w:rsid w:val="00391DC5"/>
    <w:rsid w:val="003E7B78"/>
    <w:rsid w:val="00424270"/>
    <w:rsid w:val="00440A2A"/>
    <w:rsid w:val="004577EC"/>
    <w:rsid w:val="004E16E2"/>
    <w:rsid w:val="005170A9"/>
    <w:rsid w:val="005947B8"/>
    <w:rsid w:val="005B1AC6"/>
    <w:rsid w:val="005E147F"/>
    <w:rsid w:val="005F342F"/>
    <w:rsid w:val="006323A1"/>
    <w:rsid w:val="0064397E"/>
    <w:rsid w:val="00653191"/>
    <w:rsid w:val="00662137"/>
    <w:rsid w:val="00674AA3"/>
    <w:rsid w:val="00683A6B"/>
    <w:rsid w:val="006D7094"/>
    <w:rsid w:val="006E689D"/>
    <w:rsid w:val="0078287E"/>
    <w:rsid w:val="007B1B06"/>
    <w:rsid w:val="00875997"/>
    <w:rsid w:val="008A5161"/>
    <w:rsid w:val="008C54C3"/>
    <w:rsid w:val="008E2EDD"/>
    <w:rsid w:val="0091636B"/>
    <w:rsid w:val="00921B49"/>
    <w:rsid w:val="00936A79"/>
    <w:rsid w:val="009612CE"/>
    <w:rsid w:val="00973D20"/>
    <w:rsid w:val="009826E3"/>
    <w:rsid w:val="009B6D84"/>
    <w:rsid w:val="00A9063F"/>
    <w:rsid w:val="00A91B17"/>
    <w:rsid w:val="00B64B09"/>
    <w:rsid w:val="00B8620A"/>
    <w:rsid w:val="00C139A5"/>
    <w:rsid w:val="00C21CEF"/>
    <w:rsid w:val="00C34EF5"/>
    <w:rsid w:val="00CB2E5D"/>
    <w:rsid w:val="00CD2CC6"/>
    <w:rsid w:val="00D22A7B"/>
    <w:rsid w:val="00DA0F6C"/>
    <w:rsid w:val="00DE0F85"/>
    <w:rsid w:val="00E7203C"/>
    <w:rsid w:val="00EE7DD6"/>
    <w:rsid w:val="00F047A8"/>
    <w:rsid w:val="00F4080C"/>
    <w:rsid w:val="00F553B6"/>
    <w:rsid w:val="00FC29E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BalloonText">
    <w:name w:val="Balloon Text"/>
    <w:basedOn w:val="Normal"/>
    <w:link w:val="TextbublinyChar"/>
    <w:uiPriority w:val="99"/>
    <w:semiHidden/>
    <w:unhideWhenUsed/>
    <w:rsid w:val="001A02E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1A02E3"/>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634</Words>
  <Characters>3618</Characters>
  <Application>Microsoft Office Word</Application>
  <DocSecurity>0</DocSecurity>
  <Lines>0</Lines>
  <Paragraphs>0</Paragraphs>
  <ScaleCrop>false</ScaleCrop>
  <Company>ÚV SR</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Cirakova Lucia</cp:lastModifiedBy>
  <cp:revision>2</cp:revision>
  <cp:lastPrinted>2015-08-19T18:38:00Z</cp:lastPrinted>
  <dcterms:created xsi:type="dcterms:W3CDTF">2015-08-27T10:57:00Z</dcterms:created>
  <dcterms:modified xsi:type="dcterms:W3CDTF">2015-08-27T10:57:00Z</dcterms:modified>
</cp:coreProperties>
</file>