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D6F91" w:rsidRPr="006A2DE6" w:rsidP="00ED6F91">
      <w:pPr>
        <w:pStyle w:val="Title"/>
        <w:bidi w:val="0"/>
        <w:rPr>
          <w:rFonts w:ascii="Times New Roman" w:hAnsi="Times New Roman"/>
          <w:szCs w:val="22"/>
        </w:rPr>
      </w:pPr>
      <w:r w:rsidRPr="006A2DE6">
        <w:rPr>
          <w:rFonts w:ascii="Times New Roman" w:hAnsi="Times New Roman"/>
          <w:szCs w:val="22"/>
        </w:rPr>
        <w:t>DOLOŽKA ZLUČITEĽNOSTI</w:t>
      </w:r>
    </w:p>
    <w:p w:rsidR="00ED6F91" w:rsidRPr="006A2DE6" w:rsidP="00F01F9B">
      <w:pPr>
        <w:pBdr>
          <w:bottom w:val="single" w:sz="4" w:space="1" w:color="auto"/>
        </w:pBdr>
        <w:bidi w:val="0"/>
        <w:jc w:val="center"/>
        <w:rPr>
          <w:rFonts w:ascii="Times New Roman" w:hAnsi="Times New Roman" w:cs="Times New Roman"/>
          <w:b/>
          <w:bCs/>
          <w:szCs w:val="22"/>
        </w:rPr>
      </w:pPr>
      <w:r w:rsidRPr="006A2DE6" w:rsidR="00963388">
        <w:rPr>
          <w:rFonts w:ascii="Times New Roman" w:hAnsi="Times New Roman" w:cs="Times New Roman"/>
          <w:b/>
          <w:szCs w:val="22"/>
        </w:rPr>
        <w:t>n</w:t>
      </w:r>
      <w:r w:rsidRPr="006A2DE6" w:rsidR="00403FCA">
        <w:rPr>
          <w:rFonts w:ascii="Times New Roman" w:hAnsi="Times New Roman" w:cs="Times New Roman"/>
          <w:b/>
          <w:szCs w:val="22"/>
        </w:rPr>
        <w:t>ávrhu</w:t>
      </w:r>
      <w:r w:rsidRPr="006A2DE6" w:rsidR="00B64526">
        <w:rPr>
          <w:rFonts w:ascii="Times New Roman" w:hAnsi="Times New Roman" w:cs="Times New Roman"/>
          <w:b/>
          <w:szCs w:val="22"/>
        </w:rPr>
        <w:t xml:space="preserve"> </w:t>
      </w:r>
      <w:r w:rsidRPr="006A2DE6" w:rsidR="00CF50BD">
        <w:rPr>
          <w:rFonts w:ascii="Times New Roman" w:hAnsi="Times New Roman" w:cs="Times New Roman"/>
          <w:b/>
          <w:szCs w:val="22"/>
        </w:rPr>
        <w:t>zákona</w:t>
      </w:r>
      <w:r w:rsidRPr="006A2DE6" w:rsidR="00F01F9B">
        <w:rPr>
          <w:rFonts w:ascii="Times New Roman" w:hAnsi="Times New Roman" w:cs="Times New Roman"/>
          <w:b/>
          <w:szCs w:val="22"/>
        </w:rPr>
        <w:t>, ktorým sa mení a dopĺňa zákon č.371/2014 Z. z. o riešení krízových situácií na finančnom trhu a o zmene a doplnení niektorých zákonov</w:t>
      </w:r>
      <w:r w:rsidRPr="006A2DE6" w:rsidR="006A2DE6">
        <w:rPr>
          <w:rFonts w:ascii="Times New Roman" w:hAnsi="Times New Roman" w:cs="Times New Roman"/>
          <w:b/>
          <w:szCs w:val="22"/>
        </w:rPr>
        <w:t xml:space="preserve"> </w:t>
      </w:r>
      <w:r w:rsidRPr="006A2DE6" w:rsidR="006A2DE6">
        <w:rPr>
          <w:rFonts w:ascii="Times New Roman" w:hAnsi="Times New Roman" w:cs="Times New Roman"/>
          <w:b/>
        </w:rPr>
        <w:t>v znení zákona č. 39/2015 Z. z. a ktorým sa menia a dopĺňajú niektoré zákony</w:t>
      </w:r>
      <w:r w:rsidRPr="006A2DE6" w:rsidR="00023AA9">
        <w:rPr>
          <w:rFonts w:ascii="Times New Roman" w:hAnsi="Times New Roman" w:cs="Times New Roman"/>
          <w:bCs/>
          <w:szCs w:val="22"/>
        </w:rPr>
        <w:t xml:space="preserve"> </w:t>
      </w:r>
      <w:r w:rsidRPr="006A2DE6">
        <w:rPr>
          <w:rFonts w:ascii="Times New Roman" w:hAnsi="Times New Roman" w:cs="Times New Roman"/>
          <w:b/>
          <w:bCs/>
          <w:szCs w:val="22"/>
        </w:rPr>
        <w:t>s právom Európskej únie</w:t>
      </w:r>
    </w:p>
    <w:p w:rsidR="00484FCE" w:rsidRPr="0076606E" w:rsidP="00484FCE">
      <w:pPr>
        <w:bidi w:val="0"/>
        <w:jc w:val="center"/>
        <w:rPr>
          <w:rFonts w:ascii="Times New Roman" w:hAnsi="Times New Roman" w:cs="Times New Roman"/>
          <w:bCs/>
          <w:szCs w:val="22"/>
        </w:rPr>
      </w:pPr>
    </w:p>
    <w:p w:rsidR="00990E1A" w:rsidRPr="00990E1A" w:rsidP="00990E1A">
      <w:pPr>
        <w:bidi w:val="0"/>
        <w:spacing w:after="120"/>
        <w:ind w:left="425"/>
        <w:jc w:val="both"/>
        <w:rPr>
          <w:rFonts w:ascii="Times New Roman" w:hAnsi="Times New Roman" w:cs="Times New Roman"/>
          <w:szCs w:val="22"/>
        </w:rPr>
      </w:pPr>
    </w:p>
    <w:p w:rsidR="00ED6F91" w:rsidRPr="0076606E" w:rsidP="00ED6F91">
      <w:pPr>
        <w:numPr>
          <w:numId w:val="1"/>
        </w:numPr>
        <w:bidi w:val="0"/>
        <w:spacing w:after="120"/>
        <w:jc w:val="both"/>
        <w:rPr>
          <w:rFonts w:ascii="Times New Roman" w:hAnsi="Times New Roman" w:cs="Times New Roman"/>
          <w:szCs w:val="22"/>
        </w:rPr>
      </w:pPr>
      <w:r w:rsidRPr="0076606E">
        <w:rPr>
          <w:rFonts w:ascii="Times New Roman" w:hAnsi="Times New Roman" w:cs="Times New Roman"/>
          <w:b/>
          <w:bCs/>
          <w:szCs w:val="22"/>
        </w:rPr>
        <w:t xml:space="preserve">Predkladateľ </w:t>
      </w:r>
      <w:r w:rsidRPr="0076606E" w:rsidR="00963388">
        <w:rPr>
          <w:rFonts w:ascii="Times New Roman" w:hAnsi="Times New Roman" w:cs="Times New Roman"/>
          <w:b/>
          <w:bCs/>
          <w:szCs w:val="22"/>
        </w:rPr>
        <w:t>zákona</w:t>
      </w:r>
      <w:r w:rsidRPr="0076606E">
        <w:rPr>
          <w:rFonts w:ascii="Times New Roman" w:hAnsi="Times New Roman" w:cs="Times New Roman"/>
          <w:b/>
          <w:bCs/>
          <w:szCs w:val="22"/>
        </w:rPr>
        <w:t>:</w:t>
      </w:r>
    </w:p>
    <w:p w:rsidR="00ED6F91" w:rsidRPr="0076606E" w:rsidP="00ED6F91">
      <w:pPr>
        <w:bidi w:val="0"/>
        <w:ind w:firstLine="425"/>
        <w:jc w:val="both"/>
        <w:rPr>
          <w:rFonts w:ascii="Times New Roman" w:hAnsi="Times New Roman" w:cs="Times New Roman"/>
          <w:szCs w:val="22"/>
        </w:rPr>
      </w:pPr>
      <w:r w:rsidRPr="0076606E" w:rsidR="00230BB4">
        <w:rPr>
          <w:rFonts w:ascii="Times New Roman" w:hAnsi="Times New Roman" w:cs="Times New Roman"/>
          <w:szCs w:val="22"/>
        </w:rPr>
        <w:t>Vláda</w:t>
      </w:r>
      <w:r w:rsidRPr="0076606E" w:rsidR="006A71BF">
        <w:rPr>
          <w:rFonts w:ascii="Times New Roman" w:hAnsi="Times New Roman" w:cs="Times New Roman"/>
          <w:szCs w:val="22"/>
        </w:rPr>
        <w:t xml:space="preserve"> Slovenskej republiky</w:t>
      </w:r>
      <w:r w:rsidRPr="0076606E" w:rsidR="00BD1184">
        <w:rPr>
          <w:rFonts w:ascii="Times New Roman" w:hAnsi="Times New Roman" w:cs="Times New Roman"/>
          <w:szCs w:val="22"/>
        </w:rPr>
        <w:t>.</w:t>
      </w:r>
    </w:p>
    <w:p w:rsidR="00ED6F91" w:rsidP="00ED6F91">
      <w:pPr>
        <w:bidi w:val="0"/>
        <w:jc w:val="both"/>
        <w:rPr>
          <w:rFonts w:ascii="Times New Roman" w:hAnsi="Times New Roman" w:cs="Times New Roman"/>
          <w:bCs/>
          <w:szCs w:val="22"/>
        </w:rPr>
      </w:pPr>
    </w:p>
    <w:p w:rsidR="00990E1A" w:rsidRPr="0076606E" w:rsidP="00ED6F91">
      <w:pPr>
        <w:bidi w:val="0"/>
        <w:jc w:val="both"/>
        <w:rPr>
          <w:rFonts w:ascii="Times New Roman" w:hAnsi="Times New Roman" w:cs="Times New Roman"/>
          <w:bCs/>
          <w:szCs w:val="22"/>
        </w:rPr>
      </w:pPr>
    </w:p>
    <w:p w:rsidR="00ED6F91" w:rsidRPr="0076606E" w:rsidP="00ED6F91">
      <w:pPr>
        <w:numPr>
          <w:numId w:val="1"/>
        </w:numPr>
        <w:bidi w:val="0"/>
        <w:spacing w:after="120"/>
        <w:jc w:val="both"/>
        <w:rPr>
          <w:rFonts w:ascii="Times New Roman" w:hAnsi="Times New Roman" w:cs="Times New Roman"/>
          <w:b/>
          <w:bCs/>
          <w:szCs w:val="22"/>
        </w:rPr>
      </w:pPr>
      <w:r w:rsidRPr="0076606E">
        <w:rPr>
          <w:rFonts w:ascii="Times New Roman" w:hAnsi="Times New Roman" w:cs="Times New Roman"/>
          <w:b/>
          <w:bCs/>
          <w:szCs w:val="22"/>
        </w:rPr>
        <w:t xml:space="preserve">Názov návrhu </w:t>
      </w:r>
      <w:r w:rsidRPr="0076606E" w:rsidR="00963388">
        <w:rPr>
          <w:rFonts w:ascii="Times New Roman" w:hAnsi="Times New Roman" w:cs="Times New Roman"/>
          <w:b/>
          <w:bCs/>
          <w:szCs w:val="22"/>
        </w:rPr>
        <w:t>zákona</w:t>
      </w:r>
      <w:r w:rsidRPr="0076606E">
        <w:rPr>
          <w:rFonts w:ascii="Times New Roman" w:hAnsi="Times New Roman" w:cs="Times New Roman"/>
          <w:b/>
          <w:bCs/>
          <w:szCs w:val="22"/>
        </w:rPr>
        <w:t>:</w:t>
      </w:r>
    </w:p>
    <w:p w:rsidR="009F6AEA" w:rsidRPr="001434B6" w:rsidP="001434B6">
      <w:pPr>
        <w:tabs>
          <w:tab w:val="left" w:pos="426"/>
        </w:tabs>
        <w:autoSpaceDE w:val="0"/>
        <w:bidi w:val="0"/>
        <w:ind w:left="426"/>
        <w:jc w:val="both"/>
        <w:rPr>
          <w:rFonts w:ascii="Times New Roman" w:hAnsi="Times New Roman" w:cs="Times New Roman"/>
          <w:bCs/>
          <w:szCs w:val="22"/>
        </w:rPr>
      </w:pPr>
      <w:r w:rsidRPr="0076606E" w:rsidR="00F84AD1">
        <w:rPr>
          <w:rFonts w:ascii="Times New Roman" w:hAnsi="Times New Roman" w:cs="Times New Roman"/>
          <w:szCs w:val="22"/>
        </w:rPr>
        <w:t xml:space="preserve">Návrh </w:t>
      </w:r>
      <w:r w:rsidRPr="0076606E">
        <w:rPr>
          <w:rFonts w:ascii="Times New Roman" w:hAnsi="Times New Roman" w:cs="Times New Roman"/>
          <w:szCs w:val="22"/>
        </w:rPr>
        <w:t>zákona</w:t>
      </w:r>
      <w:r w:rsidRPr="0076606E" w:rsidR="00B86C07">
        <w:rPr>
          <w:rFonts w:ascii="Times New Roman" w:hAnsi="Times New Roman" w:cs="Times New Roman"/>
          <w:szCs w:val="22"/>
        </w:rPr>
        <w:t>, ktorým sa mení a dopĺňa zákon č.371/2014 Z. z. o riešení krízových situácií na finančnom trhu a o zmene a doplnení niektorých zákonov</w:t>
      </w:r>
      <w:r w:rsidRPr="001434B6" w:rsidR="001434B6">
        <w:rPr>
          <w:rFonts w:ascii="Times New Roman" w:hAnsi="Times New Roman" w:cs="Times New Roman"/>
          <w:b/>
        </w:rPr>
        <w:t xml:space="preserve"> </w:t>
      </w:r>
      <w:r w:rsidRPr="001434B6" w:rsidR="001434B6">
        <w:rPr>
          <w:rFonts w:ascii="Times New Roman" w:hAnsi="Times New Roman" w:cs="Times New Roman"/>
        </w:rPr>
        <w:t>v znení zákona č. 39/2015 Z. z. a ktorým sa menia a dopĺňajú niektoré zákony</w:t>
      </w:r>
      <w:r w:rsidRPr="001434B6" w:rsidR="00B86C07">
        <w:rPr>
          <w:rFonts w:ascii="Times New Roman" w:hAnsi="Times New Roman" w:cs="Times New Roman"/>
          <w:szCs w:val="22"/>
        </w:rPr>
        <w:t>.</w:t>
      </w:r>
    </w:p>
    <w:p w:rsidR="00023AA9" w:rsidP="00023AA9">
      <w:pPr>
        <w:tabs>
          <w:tab w:val="left" w:pos="426"/>
        </w:tabs>
        <w:autoSpaceDE w:val="0"/>
        <w:bidi w:val="0"/>
        <w:ind w:left="426"/>
        <w:rPr>
          <w:rFonts w:ascii="Times New Roman" w:hAnsi="Times New Roman" w:cs="Times New Roman"/>
          <w:szCs w:val="22"/>
        </w:rPr>
      </w:pPr>
    </w:p>
    <w:p w:rsidR="00990E1A" w:rsidRPr="0076606E" w:rsidP="00023AA9">
      <w:pPr>
        <w:tabs>
          <w:tab w:val="left" w:pos="426"/>
        </w:tabs>
        <w:autoSpaceDE w:val="0"/>
        <w:bidi w:val="0"/>
        <w:ind w:left="426"/>
        <w:rPr>
          <w:rFonts w:ascii="Times New Roman" w:hAnsi="Times New Roman" w:cs="Times New Roman"/>
          <w:szCs w:val="22"/>
        </w:rPr>
      </w:pPr>
    </w:p>
    <w:p w:rsidR="00ED6F91" w:rsidRPr="0076606E" w:rsidP="00ED6F91">
      <w:pPr>
        <w:numPr>
          <w:numId w:val="1"/>
        </w:numPr>
        <w:bidi w:val="0"/>
        <w:spacing w:after="120"/>
        <w:jc w:val="both"/>
        <w:rPr>
          <w:rFonts w:ascii="Times New Roman" w:hAnsi="Times New Roman" w:cs="Times New Roman"/>
          <w:b/>
          <w:bCs/>
          <w:szCs w:val="22"/>
        </w:rPr>
      </w:pPr>
      <w:r w:rsidRPr="0076606E">
        <w:rPr>
          <w:rFonts w:ascii="Times New Roman" w:hAnsi="Times New Roman" w:cs="Times New Roman"/>
          <w:b/>
          <w:bCs/>
          <w:szCs w:val="22"/>
        </w:rPr>
        <w:t xml:space="preserve">Problematika návrhu </w:t>
      </w:r>
      <w:r w:rsidRPr="0076606E" w:rsidR="009F6AEA">
        <w:rPr>
          <w:rFonts w:ascii="Times New Roman" w:hAnsi="Times New Roman" w:cs="Times New Roman"/>
          <w:b/>
          <w:bCs/>
          <w:szCs w:val="22"/>
        </w:rPr>
        <w:t>zákona</w:t>
      </w:r>
      <w:r w:rsidRPr="0076606E">
        <w:rPr>
          <w:rFonts w:ascii="Times New Roman" w:hAnsi="Times New Roman" w:cs="Times New Roman"/>
          <w:b/>
          <w:bCs/>
          <w:szCs w:val="22"/>
        </w:rPr>
        <w:t xml:space="preserve">: </w:t>
      </w:r>
    </w:p>
    <w:p w:rsidR="00ED6F91" w:rsidRPr="0076606E" w:rsidP="00DA21A6">
      <w:pPr>
        <w:pStyle w:val="BodyText"/>
        <w:numPr>
          <w:ilvl w:val="1"/>
          <w:numId w:val="1"/>
        </w:numPr>
        <w:bidi w:val="0"/>
        <w:spacing w:after="240"/>
        <w:rPr>
          <w:rFonts w:ascii="Times New Roman" w:hAnsi="Times New Roman"/>
          <w:szCs w:val="22"/>
        </w:rPr>
      </w:pPr>
      <w:r w:rsidRPr="0076606E">
        <w:rPr>
          <w:rFonts w:ascii="Times New Roman" w:hAnsi="Times New Roman"/>
          <w:szCs w:val="22"/>
        </w:rPr>
        <w:t>je upravená v práve Európsk</w:t>
      </w:r>
      <w:r w:rsidRPr="0076606E" w:rsidR="00AE4E5E">
        <w:rPr>
          <w:rFonts w:ascii="Times New Roman" w:hAnsi="Times New Roman"/>
          <w:szCs w:val="22"/>
        </w:rPr>
        <w:t>ej únie</w:t>
      </w:r>
      <w:r w:rsidRPr="0076606E">
        <w:rPr>
          <w:rFonts w:ascii="Times New Roman" w:hAnsi="Times New Roman"/>
          <w:szCs w:val="22"/>
        </w:rPr>
        <w:t>:</w:t>
      </w:r>
    </w:p>
    <w:p w:rsidR="000D4666" w:rsidRPr="0076606E" w:rsidP="000D4666">
      <w:pPr>
        <w:pStyle w:val="BodyTextIndent"/>
        <w:bidi w:val="0"/>
        <w:spacing w:before="60" w:after="60" w:line="276" w:lineRule="auto"/>
        <w:ind w:firstLine="0"/>
        <w:rPr>
          <w:rFonts w:ascii="Times New Roman" w:hAnsi="Times New Roman"/>
          <w:b/>
          <w:bCs/>
          <w:i/>
          <w:iCs/>
          <w:szCs w:val="22"/>
        </w:rPr>
      </w:pPr>
      <w:r w:rsidRPr="0076606E">
        <w:rPr>
          <w:rFonts w:ascii="Times New Roman" w:hAnsi="Times New Roman"/>
          <w:b/>
          <w:bCs/>
          <w:i/>
          <w:iCs/>
          <w:szCs w:val="22"/>
        </w:rPr>
        <w:t xml:space="preserve">        Primárne právo:</w:t>
      </w:r>
    </w:p>
    <w:p w:rsidR="00230BB4" w:rsidRPr="0076606E" w:rsidP="00DA21A6">
      <w:pPr>
        <w:pStyle w:val="BodyTextIndent"/>
        <w:numPr>
          <w:numId w:val="2"/>
        </w:numPr>
        <w:autoSpaceDE w:val="0"/>
        <w:autoSpaceDN w:val="0"/>
        <w:bidi w:val="0"/>
        <w:adjustRightInd w:val="0"/>
        <w:spacing w:after="240"/>
        <w:ind w:left="896" w:hanging="470"/>
        <w:rPr>
          <w:rFonts w:ascii="Times New Roman" w:hAnsi="Times New Roman"/>
          <w:i/>
          <w:szCs w:val="22"/>
        </w:rPr>
      </w:pPr>
      <w:r w:rsidRPr="0076606E">
        <w:rPr>
          <w:rFonts w:ascii="Times New Roman" w:hAnsi="Times New Roman"/>
          <w:szCs w:val="22"/>
        </w:rPr>
        <w:t xml:space="preserve">čl. 4, čl. </w:t>
      </w:r>
      <w:r w:rsidRPr="0076606E" w:rsidR="00FE074C">
        <w:rPr>
          <w:rFonts w:ascii="Times New Roman" w:hAnsi="Times New Roman"/>
          <w:szCs w:val="22"/>
        </w:rPr>
        <w:t>26</w:t>
      </w:r>
      <w:r w:rsidRPr="0076606E">
        <w:rPr>
          <w:rFonts w:ascii="Times New Roman" w:hAnsi="Times New Roman"/>
          <w:szCs w:val="22"/>
        </w:rPr>
        <w:t xml:space="preserve"> ods. 2, čl. </w:t>
      </w:r>
      <w:r w:rsidRPr="0076606E" w:rsidR="00FE074C">
        <w:rPr>
          <w:rFonts w:ascii="Times New Roman" w:hAnsi="Times New Roman"/>
          <w:szCs w:val="22"/>
        </w:rPr>
        <w:t>56</w:t>
      </w:r>
      <w:r w:rsidRPr="0076606E">
        <w:rPr>
          <w:rFonts w:ascii="Times New Roman" w:hAnsi="Times New Roman"/>
          <w:szCs w:val="22"/>
        </w:rPr>
        <w:t xml:space="preserve"> až 6</w:t>
      </w:r>
      <w:r w:rsidRPr="0076606E" w:rsidR="00FE074C">
        <w:rPr>
          <w:rFonts w:ascii="Times New Roman" w:hAnsi="Times New Roman"/>
          <w:szCs w:val="22"/>
        </w:rPr>
        <w:t>6</w:t>
      </w:r>
      <w:r w:rsidRPr="0076606E" w:rsidR="00023AA9">
        <w:rPr>
          <w:rFonts w:ascii="Times New Roman" w:hAnsi="Times New Roman"/>
          <w:szCs w:val="22"/>
        </w:rPr>
        <w:t>, čl. 107 až 109, čl. 114</w:t>
      </w:r>
      <w:r w:rsidRPr="0076606E">
        <w:rPr>
          <w:rFonts w:ascii="Times New Roman" w:hAnsi="Times New Roman"/>
          <w:szCs w:val="22"/>
        </w:rPr>
        <w:t xml:space="preserve"> </w:t>
      </w:r>
      <w:r w:rsidRPr="0076606E" w:rsidR="00D9086B">
        <w:rPr>
          <w:rFonts w:ascii="Times New Roman" w:hAnsi="Times New Roman"/>
          <w:szCs w:val="22"/>
        </w:rPr>
        <w:t>Zmluvy o fungovaní Európskej únie</w:t>
      </w:r>
      <w:r w:rsidRPr="0076606E" w:rsidR="003B497E">
        <w:rPr>
          <w:rFonts w:ascii="Times New Roman" w:hAnsi="Times New Roman"/>
          <w:szCs w:val="22"/>
        </w:rPr>
        <w:t>.</w:t>
      </w:r>
    </w:p>
    <w:p w:rsidR="007228E1" w:rsidRPr="0076606E" w:rsidP="00DA21A6">
      <w:pPr>
        <w:pStyle w:val="BodyTextIndent"/>
        <w:tabs>
          <w:tab w:val="left" w:pos="426"/>
        </w:tabs>
        <w:bidi w:val="0"/>
        <w:spacing w:after="240" w:line="276" w:lineRule="auto"/>
        <w:ind w:left="425" w:firstLine="0"/>
        <w:rPr>
          <w:rFonts w:ascii="Times New Roman" w:hAnsi="Times New Roman"/>
          <w:szCs w:val="22"/>
        </w:rPr>
      </w:pPr>
      <w:r w:rsidRPr="0076606E">
        <w:rPr>
          <w:rFonts w:ascii="Times New Roman" w:hAnsi="Times New Roman"/>
          <w:b/>
          <w:bCs/>
          <w:i/>
          <w:iCs/>
          <w:szCs w:val="22"/>
        </w:rPr>
        <w:t xml:space="preserve">Sekundárne právo </w:t>
      </w:r>
      <w:r w:rsidRPr="0076606E">
        <w:rPr>
          <w:rFonts w:ascii="Times New Roman" w:hAnsi="Times New Roman"/>
          <w:szCs w:val="22"/>
        </w:rPr>
        <w:t xml:space="preserve">(prijaté po nadobudnutí platnosti </w:t>
      </w:r>
      <w:r w:rsidRPr="0076606E" w:rsidR="009F355C">
        <w:rPr>
          <w:rFonts w:ascii="Times New Roman" w:hAnsi="Times New Roman"/>
          <w:szCs w:val="22"/>
        </w:rPr>
        <w:t xml:space="preserve">Lisabonskej zmluvy, ktorou sa mení a dopĺňa Zmluva o Európskej únii a Zmluva o založení Európskeho spoločenstva </w:t>
      </w:r>
      <w:r w:rsidRPr="0076606E">
        <w:rPr>
          <w:rFonts w:ascii="Times New Roman" w:hAnsi="Times New Roman"/>
          <w:szCs w:val="22"/>
        </w:rPr>
        <w:t>- po 30. novembri 2009):</w:t>
      </w:r>
    </w:p>
    <w:p w:rsidR="007228E1" w:rsidRPr="0076606E" w:rsidP="000D710F">
      <w:pPr>
        <w:numPr>
          <w:numId w:val="5"/>
        </w:numPr>
        <w:tabs>
          <w:tab w:val="left" w:pos="993"/>
        </w:tabs>
        <w:autoSpaceDE w:val="0"/>
        <w:autoSpaceDN w:val="0"/>
        <w:bidi w:val="0"/>
        <w:adjustRightInd w:val="0"/>
        <w:spacing w:before="120"/>
        <w:ind w:hanging="153"/>
        <w:jc w:val="both"/>
        <w:rPr>
          <w:rFonts w:ascii="Times New Roman" w:hAnsi="Times New Roman" w:cs="Times New Roman"/>
          <w:bCs/>
          <w:iCs/>
          <w:szCs w:val="22"/>
          <w:u w:val="single"/>
        </w:rPr>
      </w:pPr>
      <w:r w:rsidRPr="0076606E">
        <w:rPr>
          <w:rFonts w:ascii="Times New Roman" w:hAnsi="Times New Roman" w:cs="Times New Roman"/>
          <w:bCs/>
          <w:iCs/>
          <w:szCs w:val="22"/>
          <w:u w:val="single"/>
        </w:rPr>
        <w:t>legislatívne akty:</w:t>
      </w:r>
    </w:p>
    <w:p w:rsidR="003E2BEC" w:rsidRPr="0076606E" w:rsidP="002643C1">
      <w:pPr>
        <w:pStyle w:val="ListParagraph"/>
        <w:widowControl/>
        <w:bidi w:val="0"/>
        <w:adjustRightInd/>
        <w:ind w:left="709"/>
        <w:jc w:val="both"/>
        <w:rPr>
          <w:rFonts w:ascii="Times New Roman" w:hAnsi="Times New Roman"/>
          <w:szCs w:val="22"/>
        </w:rPr>
      </w:pPr>
    </w:p>
    <w:p w:rsidR="00023AA9" w:rsidRPr="0076606E" w:rsidP="0039151C">
      <w:pPr>
        <w:pStyle w:val="ListParagraph"/>
        <w:widowControl/>
        <w:numPr>
          <w:numId w:val="10"/>
        </w:numPr>
        <w:bidi w:val="0"/>
        <w:adjustRightInd/>
        <w:spacing w:after="120"/>
        <w:contextualSpacing w:val="0"/>
        <w:jc w:val="both"/>
        <w:rPr>
          <w:rFonts w:ascii="Times New Roman" w:hAnsi="Times New Roman"/>
          <w:szCs w:val="22"/>
        </w:rPr>
      </w:pPr>
      <w:r w:rsidRPr="0076606E">
        <w:rPr>
          <w:rFonts w:ascii="Times New Roman" w:hAnsi="Times New Roman"/>
          <w:szCs w:val="22"/>
        </w:rPr>
        <w:t xml:space="preserve">smernica </w:t>
      </w:r>
      <w:r w:rsidRPr="0076606E">
        <w:rPr>
          <w:rFonts w:ascii="Times New Roman" w:hAnsi="Times New Roman"/>
          <w:bCs/>
          <w:szCs w:val="22"/>
        </w:rPr>
        <w:t xml:space="preserve">Európskeho parlamentu a Rady </w:t>
      </w:r>
      <w:r w:rsidRPr="0076606E">
        <w:rPr>
          <w:rFonts w:ascii="Times New Roman" w:hAnsi="Times New Roman"/>
          <w:bCs/>
          <w:szCs w:val="22"/>
          <w:u w:val="single"/>
        </w:rPr>
        <w:t>2014/59/EÚ</w:t>
      </w:r>
      <w:r w:rsidRPr="0076606E">
        <w:rPr>
          <w:rFonts w:ascii="Times New Roman" w:hAnsi="Times New Roman"/>
          <w:bCs/>
          <w:szCs w:val="22"/>
        </w:rPr>
        <w:t xml:space="preserve"> z  15. mája 2014, ktorou sa stanovuje rámec pre ozdravenie a riešenie krízových situácií úverových inštitúcií a investičných spoločností a ktorou sa mení smernica Rady 82/891/EHS a smernice Európskeho parlamentu a Rady 2001/24/ES, 2002/47/ES, 2004/25/ES, 2005/56/ES, 2007/36/ES, 2011/35/EÚ, 2012/30/EÚ a 2013/36/EÚ a nariadenia Európskeho parlamentu a Rady (EÚ) č. 1093/2010 a (EÚ) č. 648/2012</w:t>
      </w:r>
      <w:r w:rsidRPr="0076606E" w:rsidR="0034130F">
        <w:rPr>
          <w:rFonts w:ascii="Times New Roman" w:hAnsi="Times New Roman"/>
          <w:bCs/>
          <w:szCs w:val="22"/>
        </w:rPr>
        <w:t xml:space="preserve"> (</w:t>
      </w:r>
      <w:r w:rsidRPr="0076606E" w:rsidR="0034130F">
        <w:rPr>
          <w:rFonts w:ascii="Times New Roman" w:hAnsi="Times New Roman"/>
          <w:bCs/>
          <w:iCs/>
          <w:szCs w:val="22"/>
        </w:rPr>
        <w:t>Ú. v. EÚ L 173, 12.6.2014),</w:t>
      </w:r>
    </w:p>
    <w:p w:rsidR="0039151C" w:rsidRPr="0076606E" w:rsidP="0039151C">
      <w:pPr>
        <w:numPr>
          <w:numId w:val="10"/>
        </w:numPr>
        <w:tabs>
          <w:tab w:val="left" w:pos="709"/>
        </w:tabs>
        <w:autoSpaceDE w:val="0"/>
        <w:autoSpaceDN w:val="0"/>
        <w:bidi w:val="0"/>
        <w:spacing w:after="120"/>
        <w:jc w:val="both"/>
        <w:rPr>
          <w:rFonts w:ascii="Times New Roman" w:hAnsi="Times New Roman" w:cs="Times New Roman"/>
          <w:bCs/>
          <w:iCs/>
          <w:szCs w:val="22"/>
        </w:rPr>
      </w:pPr>
      <w:r w:rsidRPr="0076606E">
        <w:rPr>
          <w:rFonts w:ascii="Times New Roman" w:hAnsi="Times New Roman" w:cs="Times New Roman"/>
          <w:bCs/>
          <w:iCs/>
          <w:szCs w:val="22"/>
        </w:rPr>
        <w:t xml:space="preserve">nariadenie Európskeho parlamentu a Rady (EÚ) č. </w:t>
      </w:r>
      <w:r w:rsidRPr="00442827">
        <w:rPr>
          <w:rFonts w:ascii="Times New Roman" w:hAnsi="Times New Roman" w:cs="Times New Roman"/>
          <w:bCs/>
          <w:iCs/>
          <w:szCs w:val="22"/>
          <w:u w:val="single"/>
        </w:rPr>
        <w:t>806/2014</w:t>
      </w:r>
      <w:r w:rsidRPr="0076606E">
        <w:rPr>
          <w:rFonts w:ascii="Times New Roman" w:hAnsi="Times New Roman" w:cs="Times New Roman"/>
          <w:bCs/>
          <w:iCs/>
          <w:szCs w:val="22"/>
        </w:rPr>
        <w:t xml:space="preserve"> z 15. júla 2014, ktorým sa stanovujú jednotné pravidlá a jednotný postup riešenia krízových situácií úverových inštitúcií a určitých investičných spoločností v rámci jednotného mechanizmu riešenia krízových situácií a jednotného fondu na riešenie krízových situácií a ktorým sa mení nariadenie (EÚ) č. 1093/2010 (Ú. v. EÚ L 225, 30. 7. 2014),</w:t>
      </w:r>
    </w:p>
    <w:p w:rsidR="007228E1" w:rsidRPr="0076606E" w:rsidP="0039151C">
      <w:pPr>
        <w:numPr>
          <w:numId w:val="10"/>
        </w:numPr>
        <w:tabs>
          <w:tab w:val="left" w:pos="709"/>
        </w:tabs>
        <w:autoSpaceDE w:val="0"/>
        <w:autoSpaceDN w:val="0"/>
        <w:bidi w:val="0"/>
        <w:spacing w:after="120"/>
        <w:jc w:val="both"/>
        <w:rPr>
          <w:rFonts w:ascii="Times New Roman" w:hAnsi="Times New Roman" w:cs="Times New Roman"/>
          <w:bCs/>
          <w:iCs/>
          <w:szCs w:val="22"/>
        </w:rPr>
      </w:pPr>
      <w:r w:rsidRPr="0076606E">
        <w:rPr>
          <w:rFonts w:ascii="Times New Roman" w:hAnsi="Times New Roman" w:cs="Times New Roman"/>
          <w:bCs/>
          <w:iCs/>
          <w:szCs w:val="22"/>
        </w:rPr>
        <w:t xml:space="preserve">nariadenie </w:t>
      </w:r>
      <w:r w:rsidRPr="0076606E">
        <w:rPr>
          <w:rFonts w:ascii="Times New Roman" w:hAnsi="Times New Roman" w:cs="Times New Roman"/>
          <w:szCs w:val="22"/>
        </w:rPr>
        <w:t xml:space="preserve">Európskeho parlamentu a Rady (EÚ) č. </w:t>
      </w:r>
      <w:r w:rsidRPr="0076606E">
        <w:rPr>
          <w:rFonts w:ascii="Times New Roman" w:hAnsi="Times New Roman" w:cs="Times New Roman"/>
          <w:szCs w:val="22"/>
          <w:u w:val="single"/>
        </w:rPr>
        <w:t>1092/2010</w:t>
      </w:r>
      <w:r w:rsidRPr="0076606E">
        <w:rPr>
          <w:rFonts w:ascii="Times New Roman" w:hAnsi="Times New Roman" w:cs="Times New Roman"/>
          <w:szCs w:val="22"/>
        </w:rPr>
        <w:t xml:space="preserve"> z  24. nov</w:t>
      </w:r>
      <w:r w:rsidRPr="0076606E" w:rsidR="0039151C">
        <w:rPr>
          <w:rFonts w:ascii="Times New Roman" w:hAnsi="Times New Roman" w:cs="Times New Roman"/>
          <w:szCs w:val="22"/>
        </w:rPr>
        <w:t>embra 2010 o makro-prudenciálnom  do</w:t>
      </w:r>
      <w:r w:rsidRPr="0076606E">
        <w:rPr>
          <w:rFonts w:ascii="Times New Roman" w:hAnsi="Times New Roman" w:cs="Times New Roman"/>
          <w:szCs w:val="22"/>
        </w:rPr>
        <w:t>hľade Európskej únie nad finančným systémom a o zriadení Európskeho výboru pre systémové riziká (</w:t>
      </w:r>
      <w:r w:rsidRPr="0076606E">
        <w:rPr>
          <w:rFonts w:ascii="Times New Roman" w:hAnsi="Times New Roman" w:cs="Times New Roman"/>
          <w:iCs/>
          <w:szCs w:val="22"/>
        </w:rPr>
        <w:t>Ú. v. EÚ L 331, 15.12.2010),</w:t>
      </w:r>
    </w:p>
    <w:p w:rsidR="007228E1" w:rsidRPr="0076606E" w:rsidP="0039151C">
      <w:pPr>
        <w:numPr>
          <w:numId w:val="10"/>
        </w:numPr>
        <w:autoSpaceDE w:val="0"/>
        <w:autoSpaceDN w:val="0"/>
        <w:bidi w:val="0"/>
        <w:spacing w:after="120"/>
        <w:jc w:val="both"/>
        <w:rPr>
          <w:rFonts w:ascii="Times New Roman" w:hAnsi="Times New Roman" w:cs="Times New Roman"/>
          <w:iCs/>
          <w:szCs w:val="22"/>
        </w:rPr>
      </w:pPr>
      <w:r w:rsidRPr="0076606E">
        <w:rPr>
          <w:rFonts w:ascii="Times New Roman" w:hAnsi="Times New Roman" w:cs="Times New Roman"/>
          <w:iCs/>
          <w:szCs w:val="22"/>
        </w:rPr>
        <w:t xml:space="preserve">nariadenie </w:t>
      </w:r>
      <w:r w:rsidRPr="0076606E">
        <w:rPr>
          <w:rFonts w:ascii="Times New Roman" w:hAnsi="Times New Roman" w:cs="Times New Roman"/>
          <w:szCs w:val="22"/>
        </w:rPr>
        <w:t xml:space="preserve">Európskeho parlamentu a Rady (EÚ) č. </w:t>
      </w:r>
      <w:r w:rsidRPr="0076606E">
        <w:rPr>
          <w:rFonts w:ascii="Times New Roman" w:hAnsi="Times New Roman" w:cs="Times New Roman"/>
          <w:szCs w:val="22"/>
          <w:u w:val="single"/>
        </w:rPr>
        <w:t>1093/2010</w:t>
      </w:r>
      <w:r w:rsidRPr="0076606E">
        <w:rPr>
          <w:rFonts w:ascii="Times New Roman" w:hAnsi="Times New Roman" w:cs="Times New Roman"/>
          <w:szCs w:val="22"/>
        </w:rPr>
        <w:t xml:space="preserve"> z  24. novembra 2010, ktorým sa zriaďuje Európsky orgán dohľadu (Európsky orgán pre bankovníctvo) a ktorým sa mení a dopĺňa rozhodnutie č. 716/2009/ES a zrušuje rozhodnutie Komisie 2009/78/ES (</w:t>
      </w:r>
      <w:r w:rsidRPr="0076606E">
        <w:rPr>
          <w:rFonts w:ascii="Times New Roman" w:hAnsi="Times New Roman" w:cs="Times New Roman"/>
          <w:iCs/>
          <w:szCs w:val="22"/>
        </w:rPr>
        <w:t>Ú. v. EÚ L 331, 15.12.2010)</w:t>
      </w:r>
      <w:r w:rsidRPr="0076606E" w:rsidR="0034130F">
        <w:rPr>
          <w:rFonts w:ascii="Times New Roman" w:hAnsi="Times New Roman" w:cs="Times New Roman"/>
          <w:iCs/>
          <w:szCs w:val="22"/>
        </w:rPr>
        <w:t xml:space="preserve"> v platnom znení</w:t>
      </w:r>
      <w:r w:rsidRPr="0076606E">
        <w:rPr>
          <w:rFonts w:ascii="Times New Roman" w:hAnsi="Times New Roman" w:cs="Times New Roman"/>
          <w:iCs/>
          <w:szCs w:val="22"/>
        </w:rPr>
        <w:t>,</w:t>
      </w:r>
    </w:p>
    <w:p w:rsidR="007228E1" w:rsidRPr="0076606E" w:rsidP="0039151C">
      <w:pPr>
        <w:numPr>
          <w:numId w:val="10"/>
        </w:numPr>
        <w:autoSpaceDE w:val="0"/>
        <w:autoSpaceDN w:val="0"/>
        <w:bidi w:val="0"/>
        <w:spacing w:after="120"/>
        <w:jc w:val="both"/>
        <w:rPr>
          <w:rFonts w:ascii="Times New Roman" w:hAnsi="Times New Roman" w:cs="Times New Roman"/>
          <w:iCs/>
          <w:szCs w:val="22"/>
        </w:rPr>
      </w:pPr>
      <w:r w:rsidRPr="0076606E">
        <w:rPr>
          <w:rFonts w:ascii="Times New Roman" w:hAnsi="Times New Roman" w:cs="Times New Roman"/>
          <w:iCs/>
          <w:szCs w:val="22"/>
        </w:rPr>
        <w:t xml:space="preserve">nariadenie </w:t>
      </w:r>
      <w:r w:rsidRPr="0076606E">
        <w:rPr>
          <w:rFonts w:ascii="Times New Roman" w:hAnsi="Times New Roman" w:cs="Times New Roman"/>
          <w:szCs w:val="22"/>
        </w:rPr>
        <w:t xml:space="preserve">Európskeho parlamentu a Rady (EÚ) č. </w:t>
      </w:r>
      <w:r w:rsidRPr="0076606E">
        <w:rPr>
          <w:rFonts w:ascii="Times New Roman" w:hAnsi="Times New Roman" w:cs="Times New Roman"/>
          <w:szCs w:val="22"/>
          <w:u w:val="single"/>
        </w:rPr>
        <w:t>1094/2010</w:t>
      </w:r>
      <w:r w:rsidRPr="0076606E">
        <w:rPr>
          <w:rFonts w:ascii="Times New Roman" w:hAnsi="Times New Roman" w:cs="Times New Roman"/>
          <w:szCs w:val="22"/>
        </w:rPr>
        <w:t xml:space="preserve"> z  24. novembra 2010, ktorým sa zriaďuje Európsky orgán dohľadu (Európsky orgán pre poisťovníctvo a dôchodkové poistenie zamestnancov), a ktorým sa mení a dopĺňa rozhodnutie č. 716/2009/ES a zrušuje rozhodnutie Komisie 2009/79/ES (</w:t>
      </w:r>
      <w:r w:rsidRPr="0076606E">
        <w:rPr>
          <w:rFonts w:ascii="Times New Roman" w:hAnsi="Times New Roman" w:cs="Times New Roman"/>
          <w:iCs/>
          <w:szCs w:val="22"/>
        </w:rPr>
        <w:t>Ú. v. EÚ L 331, 15.12.2010)</w:t>
      </w:r>
      <w:r w:rsidRPr="0076606E" w:rsidR="002F4E99">
        <w:rPr>
          <w:rFonts w:ascii="Times New Roman" w:hAnsi="Times New Roman" w:cs="Times New Roman"/>
          <w:iCs/>
          <w:szCs w:val="22"/>
        </w:rPr>
        <w:t xml:space="preserve"> v platnom znení</w:t>
      </w:r>
      <w:r w:rsidRPr="0076606E">
        <w:rPr>
          <w:rFonts w:ascii="Times New Roman" w:hAnsi="Times New Roman" w:cs="Times New Roman"/>
          <w:iCs/>
          <w:szCs w:val="22"/>
        </w:rPr>
        <w:t>,</w:t>
      </w:r>
    </w:p>
    <w:p w:rsidR="00B41BBD" w:rsidRPr="0076606E" w:rsidP="0039151C">
      <w:pPr>
        <w:numPr>
          <w:numId w:val="10"/>
        </w:numPr>
        <w:autoSpaceDE w:val="0"/>
        <w:autoSpaceDN w:val="0"/>
        <w:bidi w:val="0"/>
        <w:spacing w:after="120"/>
        <w:jc w:val="both"/>
        <w:rPr>
          <w:rFonts w:ascii="Times New Roman" w:hAnsi="Times New Roman" w:cs="Times New Roman"/>
          <w:iCs/>
          <w:szCs w:val="22"/>
        </w:rPr>
      </w:pPr>
      <w:r w:rsidRPr="0076606E" w:rsidR="007228E1">
        <w:rPr>
          <w:rFonts w:ascii="Times New Roman" w:hAnsi="Times New Roman" w:cs="Times New Roman"/>
          <w:iCs/>
          <w:szCs w:val="22"/>
        </w:rPr>
        <w:t xml:space="preserve">nariadenie </w:t>
      </w:r>
      <w:r w:rsidRPr="0076606E" w:rsidR="007228E1">
        <w:rPr>
          <w:rFonts w:ascii="Times New Roman" w:hAnsi="Times New Roman" w:cs="Times New Roman"/>
          <w:bCs/>
          <w:szCs w:val="22"/>
        </w:rPr>
        <w:t xml:space="preserve">Európskeho parlamentu a Rady (EÚ) č. </w:t>
      </w:r>
      <w:r w:rsidRPr="0076606E" w:rsidR="007228E1">
        <w:rPr>
          <w:rFonts w:ascii="Times New Roman" w:hAnsi="Times New Roman" w:cs="Times New Roman"/>
          <w:bCs/>
          <w:szCs w:val="22"/>
          <w:u w:val="single"/>
        </w:rPr>
        <w:t>1095/2010</w:t>
      </w:r>
      <w:r w:rsidRPr="0076606E" w:rsidR="007228E1">
        <w:rPr>
          <w:rFonts w:ascii="Times New Roman" w:hAnsi="Times New Roman" w:cs="Times New Roman"/>
          <w:bCs/>
          <w:szCs w:val="22"/>
        </w:rPr>
        <w:t xml:space="preserve"> z  24. novembra 2010, ktorým sa zriaďuje Európsky orgán dohľadu (Európsky orgán pre cenné papiere a trhy) a ktorým sa mení a dopĺňa rozhodnutie č. 716/2009/ES a zrušuje rozhodnutie Komisie 2009/77/ES (</w:t>
      </w:r>
      <w:r w:rsidRPr="0076606E" w:rsidR="007228E1">
        <w:rPr>
          <w:rFonts w:ascii="Times New Roman" w:hAnsi="Times New Roman" w:cs="Times New Roman"/>
          <w:iCs/>
          <w:szCs w:val="22"/>
        </w:rPr>
        <w:t>Ú. v. EÚ L 331, 15.12.2010)</w:t>
      </w:r>
      <w:r w:rsidRPr="0076606E" w:rsidR="00EC08FE">
        <w:rPr>
          <w:rFonts w:ascii="Times New Roman" w:hAnsi="Times New Roman" w:cs="Times New Roman"/>
          <w:iCs/>
          <w:szCs w:val="22"/>
        </w:rPr>
        <w:t xml:space="preserve"> v platnom znení</w:t>
      </w:r>
      <w:r w:rsidRPr="0076606E" w:rsidR="00EE75C6">
        <w:rPr>
          <w:rFonts w:ascii="Times New Roman" w:hAnsi="Times New Roman" w:cs="Times New Roman"/>
          <w:iCs/>
          <w:szCs w:val="22"/>
        </w:rPr>
        <w:t>,</w:t>
      </w:r>
    </w:p>
    <w:p w:rsidR="00EE75C6" w:rsidRPr="0076606E" w:rsidP="0039151C">
      <w:pPr>
        <w:numPr>
          <w:numId w:val="10"/>
        </w:numPr>
        <w:autoSpaceDE w:val="0"/>
        <w:autoSpaceDN w:val="0"/>
        <w:bidi w:val="0"/>
        <w:spacing w:before="120" w:after="120"/>
        <w:jc w:val="both"/>
        <w:rPr>
          <w:rFonts w:ascii="Times New Roman" w:hAnsi="Times New Roman" w:cs="Times New Roman"/>
          <w:bCs/>
          <w:iCs/>
          <w:szCs w:val="22"/>
        </w:rPr>
      </w:pPr>
      <w:r w:rsidRPr="0076606E">
        <w:rPr>
          <w:rFonts w:ascii="Times New Roman" w:hAnsi="Times New Roman" w:cs="Times New Roman"/>
          <w:iCs/>
          <w:szCs w:val="22"/>
        </w:rPr>
        <w:t xml:space="preserve">nariadenie </w:t>
      </w:r>
      <w:r w:rsidRPr="0076606E">
        <w:rPr>
          <w:rFonts w:ascii="Times New Roman" w:hAnsi="Times New Roman" w:cs="Times New Roman"/>
          <w:bCs/>
          <w:iCs/>
          <w:szCs w:val="22"/>
        </w:rPr>
        <w:t xml:space="preserve">Európskeho parlamentu a Rady (EÚ) č. </w:t>
      </w:r>
      <w:r w:rsidRPr="0076606E">
        <w:rPr>
          <w:rFonts w:ascii="Times New Roman" w:hAnsi="Times New Roman" w:cs="Times New Roman"/>
          <w:bCs/>
          <w:iCs/>
          <w:szCs w:val="22"/>
          <w:u w:val="single"/>
        </w:rPr>
        <w:t>648/2012</w:t>
      </w:r>
      <w:r w:rsidRPr="0076606E">
        <w:rPr>
          <w:rFonts w:ascii="Times New Roman" w:hAnsi="Times New Roman" w:cs="Times New Roman"/>
          <w:bCs/>
          <w:iCs/>
          <w:szCs w:val="22"/>
        </w:rPr>
        <w:t xml:space="preserve"> zo 4. júla 2012 o mimoburzových derivátoch, centrálnych protistranách a archívoch obchodných údajov </w:t>
      </w:r>
      <w:r w:rsidRPr="0076606E" w:rsidR="00B41BBD">
        <w:rPr>
          <w:rFonts w:ascii="Times New Roman" w:hAnsi="Times New Roman" w:cs="Times New Roman"/>
          <w:bCs/>
          <w:iCs/>
          <w:szCs w:val="22"/>
        </w:rPr>
        <w:t>(</w:t>
      </w:r>
      <w:r w:rsidRPr="0076606E">
        <w:rPr>
          <w:rFonts w:ascii="Times New Roman" w:hAnsi="Times New Roman" w:cs="Times New Roman"/>
          <w:bCs/>
          <w:iCs/>
          <w:szCs w:val="22"/>
        </w:rPr>
        <w:t>Ú. v. EÚ L 201, 27.7.2012</w:t>
      </w:r>
      <w:r w:rsidRPr="0076606E" w:rsidR="00EC08FE">
        <w:rPr>
          <w:rFonts w:ascii="Times New Roman" w:hAnsi="Times New Roman" w:cs="Times New Roman"/>
          <w:bCs/>
          <w:iCs/>
          <w:szCs w:val="22"/>
        </w:rPr>
        <w:t>)</w:t>
      </w:r>
      <w:r w:rsidRPr="0076606E" w:rsidR="00F45BAB">
        <w:rPr>
          <w:rFonts w:ascii="Times New Roman" w:hAnsi="Times New Roman" w:cs="Times New Roman"/>
          <w:bCs/>
          <w:iCs/>
          <w:szCs w:val="22"/>
        </w:rPr>
        <w:t xml:space="preserve"> v platnom znení</w:t>
      </w:r>
      <w:r w:rsidRPr="0076606E" w:rsidR="00EC08FE">
        <w:rPr>
          <w:rFonts w:ascii="Times New Roman" w:hAnsi="Times New Roman" w:cs="Times New Roman"/>
          <w:bCs/>
          <w:iCs/>
          <w:szCs w:val="22"/>
        </w:rPr>
        <w:t>,</w:t>
      </w:r>
    </w:p>
    <w:p w:rsidR="00EC08FE" w:rsidRPr="0076606E" w:rsidP="0039151C">
      <w:pPr>
        <w:pStyle w:val="ListParagraph"/>
        <w:widowControl/>
        <w:numPr>
          <w:numId w:val="10"/>
        </w:numPr>
        <w:bidi w:val="0"/>
        <w:adjustRightInd/>
        <w:jc w:val="both"/>
        <w:rPr>
          <w:rFonts w:ascii="Times New Roman" w:hAnsi="Times New Roman"/>
          <w:szCs w:val="22"/>
        </w:rPr>
      </w:pPr>
      <w:r w:rsidRPr="0076606E">
        <w:rPr>
          <w:rFonts w:ascii="Times New Roman" w:hAnsi="Times New Roman"/>
          <w:szCs w:val="22"/>
        </w:rPr>
        <w:t xml:space="preserve">nariadenie Európskeho parlamentu a Rady (EÚ) č. </w:t>
      </w:r>
      <w:r w:rsidRPr="0076606E">
        <w:rPr>
          <w:rFonts w:ascii="Times New Roman" w:hAnsi="Times New Roman"/>
          <w:szCs w:val="22"/>
          <w:u w:val="single"/>
        </w:rPr>
        <w:t>575/2013</w:t>
      </w:r>
      <w:r w:rsidRPr="0076606E">
        <w:rPr>
          <w:rFonts w:ascii="Times New Roman" w:hAnsi="Times New Roman"/>
          <w:szCs w:val="22"/>
        </w:rPr>
        <w:t xml:space="preserve"> z 26. júna 2013 o prudenciálnych požiadavkách na úverové inštitúcie a investičné spoločnosti a o zmene nariadenia (EÚ) č. 648/2012 (</w:t>
      </w:r>
      <w:r w:rsidRPr="0076606E">
        <w:rPr>
          <w:rFonts w:ascii="Times New Roman" w:hAnsi="Times New Roman"/>
          <w:iCs/>
          <w:szCs w:val="22"/>
        </w:rPr>
        <w:t>Ú. v. EÚ L 176, 27.6.2013)</w:t>
      </w:r>
      <w:r w:rsidRPr="0076606E" w:rsidR="002F4E99">
        <w:rPr>
          <w:rFonts w:ascii="Times New Roman" w:hAnsi="Times New Roman"/>
          <w:iCs/>
          <w:szCs w:val="22"/>
        </w:rPr>
        <w:t xml:space="preserve"> v platnom znení,</w:t>
      </w:r>
    </w:p>
    <w:p w:rsidR="002F4E99" w:rsidRPr="0076606E" w:rsidP="00EE34AD">
      <w:pPr>
        <w:pStyle w:val="ListParagraph"/>
        <w:widowControl/>
        <w:bidi w:val="0"/>
        <w:adjustRightInd/>
        <w:ind w:left="709"/>
        <w:jc w:val="both"/>
        <w:rPr>
          <w:rFonts w:ascii="Times New Roman" w:hAnsi="Times New Roman"/>
          <w:szCs w:val="22"/>
        </w:rPr>
      </w:pPr>
    </w:p>
    <w:p w:rsidR="002F4E99" w:rsidRPr="0076606E" w:rsidP="0039151C">
      <w:pPr>
        <w:pStyle w:val="ListParagraph"/>
        <w:widowControl/>
        <w:numPr>
          <w:numId w:val="10"/>
        </w:numPr>
        <w:bidi w:val="0"/>
        <w:adjustRightInd/>
        <w:jc w:val="both"/>
        <w:rPr>
          <w:rFonts w:ascii="Times New Roman" w:hAnsi="Times New Roman"/>
          <w:szCs w:val="22"/>
        </w:rPr>
      </w:pPr>
      <w:r w:rsidRPr="0076606E">
        <w:rPr>
          <w:rFonts w:ascii="Times New Roman" w:hAnsi="Times New Roman"/>
          <w:iCs/>
          <w:szCs w:val="22"/>
        </w:rPr>
        <w:t xml:space="preserve">nariadenie </w:t>
      </w:r>
      <w:r w:rsidRPr="0076606E">
        <w:rPr>
          <w:rFonts w:ascii="Times New Roman" w:hAnsi="Times New Roman"/>
          <w:bCs/>
          <w:iCs/>
          <w:szCs w:val="22"/>
        </w:rPr>
        <w:t>Rady (EÚ) č. </w:t>
      </w:r>
      <w:r w:rsidRPr="0076606E">
        <w:rPr>
          <w:rFonts w:ascii="Times New Roman" w:hAnsi="Times New Roman"/>
          <w:bCs/>
          <w:iCs/>
          <w:szCs w:val="22"/>
          <w:u w:val="single"/>
        </w:rPr>
        <w:t>1024/2013</w:t>
      </w:r>
      <w:r w:rsidRPr="0076606E">
        <w:rPr>
          <w:rFonts w:ascii="Times New Roman" w:hAnsi="Times New Roman"/>
          <w:bCs/>
          <w:iCs/>
          <w:szCs w:val="22"/>
        </w:rPr>
        <w:t xml:space="preserve"> z  15. októbra 2013, ktorým sa Európska centrálna banka poveruje osobitnými úlohami, pokiaľ ide o politiky týkajúce sa prudenciálneho dohľadu nad úverovými inštitúciami (Ú. v. EÚ L 287, 29.10.2013)</w:t>
      </w:r>
      <w:r w:rsidRPr="0076606E" w:rsidR="00EE34AD">
        <w:rPr>
          <w:rFonts w:ascii="Times New Roman" w:hAnsi="Times New Roman"/>
          <w:bCs/>
          <w:iCs/>
          <w:szCs w:val="22"/>
        </w:rPr>
        <w:t>,</w:t>
      </w:r>
    </w:p>
    <w:p w:rsidR="0034130F" w:rsidRPr="0076606E" w:rsidP="0034130F">
      <w:pPr>
        <w:pStyle w:val="ListParagraph"/>
        <w:widowControl/>
        <w:bidi w:val="0"/>
        <w:adjustRightInd/>
        <w:spacing w:after="120"/>
        <w:ind w:left="709"/>
        <w:jc w:val="both"/>
        <w:rPr>
          <w:rFonts w:ascii="Times New Roman" w:hAnsi="Times New Roman"/>
          <w:iCs/>
          <w:szCs w:val="22"/>
        </w:rPr>
      </w:pPr>
    </w:p>
    <w:p w:rsidR="0034130F" w:rsidRPr="0076606E" w:rsidP="0034130F">
      <w:pPr>
        <w:numPr>
          <w:numId w:val="5"/>
        </w:numPr>
        <w:tabs>
          <w:tab w:val="left" w:pos="993"/>
        </w:tabs>
        <w:autoSpaceDE w:val="0"/>
        <w:autoSpaceDN w:val="0"/>
        <w:bidi w:val="0"/>
        <w:adjustRightInd w:val="0"/>
        <w:spacing w:before="120"/>
        <w:ind w:hanging="153"/>
        <w:jc w:val="both"/>
        <w:rPr>
          <w:rFonts w:ascii="Times New Roman" w:hAnsi="Times New Roman" w:cs="Times New Roman"/>
          <w:bCs/>
          <w:iCs/>
          <w:szCs w:val="22"/>
          <w:u w:val="single"/>
        </w:rPr>
      </w:pPr>
      <w:r w:rsidRPr="0076606E">
        <w:rPr>
          <w:rFonts w:ascii="Times New Roman" w:hAnsi="Times New Roman" w:cs="Times New Roman"/>
          <w:bCs/>
          <w:iCs/>
          <w:szCs w:val="22"/>
          <w:u w:val="single"/>
        </w:rPr>
        <w:t>nelegislatívne akty:</w:t>
      </w:r>
    </w:p>
    <w:p w:rsidR="0034130F" w:rsidRPr="0076606E" w:rsidP="0034130F">
      <w:pPr>
        <w:pStyle w:val="ListParagraph"/>
        <w:widowControl/>
        <w:bidi w:val="0"/>
        <w:adjustRightInd/>
        <w:ind w:left="709"/>
        <w:jc w:val="both"/>
        <w:rPr>
          <w:rFonts w:ascii="Times New Roman" w:hAnsi="Times New Roman"/>
          <w:szCs w:val="22"/>
        </w:rPr>
      </w:pPr>
    </w:p>
    <w:p w:rsidR="0034130F" w:rsidRPr="00442827" w:rsidP="00EC08FE">
      <w:pPr>
        <w:pStyle w:val="ListParagraph"/>
        <w:widowControl/>
        <w:numPr>
          <w:numId w:val="7"/>
        </w:numPr>
        <w:bidi w:val="0"/>
        <w:adjustRightInd/>
        <w:spacing w:after="120"/>
        <w:ind w:left="709" w:hanging="283"/>
        <w:jc w:val="both"/>
        <w:rPr>
          <w:rFonts w:ascii="Times New Roman" w:hAnsi="Times New Roman"/>
          <w:szCs w:val="22"/>
        </w:rPr>
      </w:pPr>
      <w:r w:rsidRPr="0076606E">
        <w:rPr>
          <w:rFonts w:ascii="Times New Roman" w:hAnsi="Times New Roman"/>
          <w:szCs w:val="22"/>
        </w:rPr>
        <w:t>nariadenie Rady (</w:t>
      </w:r>
      <w:r w:rsidRPr="0076606E">
        <w:rPr>
          <w:rFonts w:ascii="Times New Roman" w:hAnsi="Times New Roman"/>
          <w:bCs/>
          <w:szCs w:val="22"/>
        </w:rPr>
        <w:t xml:space="preserve">EÚ) č. </w:t>
      </w:r>
      <w:r w:rsidRPr="0076606E">
        <w:rPr>
          <w:rFonts w:ascii="Times New Roman" w:hAnsi="Times New Roman"/>
          <w:bCs/>
          <w:szCs w:val="22"/>
          <w:u w:val="single"/>
        </w:rPr>
        <w:t>1096/2010</w:t>
      </w:r>
      <w:r w:rsidRPr="0076606E">
        <w:rPr>
          <w:rFonts w:ascii="Times New Roman" w:hAnsi="Times New Roman"/>
          <w:bCs/>
          <w:szCs w:val="22"/>
        </w:rPr>
        <w:t xml:space="preserve"> zo 17. novembra 2010, ktorým sa Európskej centrálnej banke udeľujú osobitné úlohy týkajúce sa fungovania Európskeho výboru pre systémové riziká (</w:t>
      </w:r>
      <w:r w:rsidRPr="0076606E">
        <w:rPr>
          <w:rFonts w:ascii="Times New Roman" w:hAnsi="Times New Roman"/>
          <w:bCs/>
          <w:iCs/>
          <w:szCs w:val="22"/>
        </w:rPr>
        <w:t>Ú. v. EÚ L 331, 15.12.2010).</w:t>
      </w:r>
    </w:p>
    <w:p w:rsidR="00442827" w:rsidP="00442827">
      <w:pPr>
        <w:pStyle w:val="ListParagraph"/>
        <w:widowControl/>
        <w:bidi w:val="0"/>
        <w:adjustRightInd/>
        <w:spacing w:after="120"/>
        <w:jc w:val="both"/>
        <w:rPr>
          <w:rFonts w:ascii="Times New Roman" w:hAnsi="Times New Roman"/>
          <w:bCs/>
          <w:iCs/>
          <w:szCs w:val="22"/>
        </w:rPr>
      </w:pPr>
    </w:p>
    <w:p w:rsidR="00442827" w:rsidRPr="00442827" w:rsidP="00442827">
      <w:pPr>
        <w:autoSpaceDE w:val="0"/>
        <w:autoSpaceDN w:val="0"/>
        <w:bidi w:val="0"/>
        <w:spacing w:before="120" w:after="120" w:line="276" w:lineRule="auto"/>
        <w:ind w:left="425"/>
        <w:jc w:val="both"/>
        <w:rPr>
          <w:rFonts w:ascii="Times New Roman" w:hAnsi="Times New Roman" w:cs="Times New Roman"/>
          <w:bCs/>
          <w:iCs/>
        </w:rPr>
      </w:pPr>
      <w:r w:rsidRPr="00442827">
        <w:rPr>
          <w:rFonts w:ascii="Times New Roman" w:hAnsi="Times New Roman" w:cs="Times New Roman"/>
          <w:b/>
          <w:bCs/>
          <w:iCs/>
        </w:rPr>
        <w:t>Sekundárne právo</w:t>
      </w:r>
      <w:r w:rsidRPr="00442827">
        <w:rPr>
          <w:rFonts w:ascii="Times New Roman" w:hAnsi="Times New Roman" w:cs="Times New Roman"/>
          <w:b/>
          <w:bCs/>
          <w:i/>
          <w:iCs/>
        </w:rPr>
        <w:t xml:space="preserve">  </w:t>
      </w:r>
      <w:r w:rsidRPr="00442827">
        <w:rPr>
          <w:rFonts w:ascii="Times New Roman" w:hAnsi="Times New Roman" w:cs="Times New Roman"/>
        </w:rPr>
        <w:t>(prijaté pred nadobudnutím platnosti Lisabonskej zmluvy, ktorou sa mení a dopĺňa Zmluva o Európskej únii a Zmluva o založení Európskeho spoločenstva - do 30. novembra 2009)</w:t>
      </w:r>
      <w:r w:rsidRPr="00442827">
        <w:rPr>
          <w:rFonts w:ascii="Times New Roman" w:hAnsi="Times New Roman" w:cs="Times New Roman"/>
          <w:bCs/>
          <w:iCs/>
        </w:rPr>
        <w:t>:</w:t>
      </w:r>
    </w:p>
    <w:p w:rsidR="00442827" w:rsidRPr="00442827" w:rsidP="00442827">
      <w:pPr>
        <w:numPr>
          <w:numId w:val="11"/>
        </w:numPr>
        <w:tabs>
          <w:tab w:val="left" w:pos="-180"/>
          <w:tab w:val="left" w:pos="360"/>
          <w:tab w:val="left" w:pos="437"/>
          <w:tab w:val="num" w:pos="709"/>
          <w:tab w:val="clear" w:pos="900"/>
          <w:tab w:val="left" w:pos="1620"/>
        </w:tabs>
        <w:bidi w:val="0"/>
        <w:spacing w:after="120"/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442827">
        <w:rPr>
          <w:rFonts w:ascii="Times New Roman" w:hAnsi="Times New Roman" w:cs="Times New Roman"/>
          <w:bCs/>
          <w:color w:val="000000"/>
        </w:rPr>
        <w:t>rozhodnutie Rady z 20. júna 1991 o uzavretí dohody medzi Európskym hospodárskym spoločenstvom a Švajčiarskou konfederáciou o priamom poistení s výnimkou životného poistenia (</w:t>
      </w:r>
      <w:r w:rsidRPr="00442827">
        <w:rPr>
          <w:rFonts w:ascii="Times New Roman" w:hAnsi="Times New Roman" w:cs="Times New Roman"/>
          <w:bCs/>
          <w:color w:val="000000"/>
          <w:u w:val="single"/>
        </w:rPr>
        <w:t>91/370/EHS</w:t>
      </w:r>
      <w:r w:rsidRPr="00442827">
        <w:rPr>
          <w:rFonts w:ascii="Times New Roman" w:hAnsi="Times New Roman" w:cs="Times New Roman"/>
          <w:bCs/>
          <w:color w:val="000000"/>
        </w:rPr>
        <w:t>) (</w:t>
      </w:r>
      <w:r w:rsidRPr="00442827">
        <w:rPr>
          <w:rFonts w:ascii="Times New Roman" w:hAnsi="Times New Roman" w:cs="Times New Roman"/>
          <w:iCs/>
        </w:rPr>
        <w:t xml:space="preserve">Mimoriadne vydanie </w:t>
      </w:r>
      <w:r w:rsidRPr="00442827">
        <w:rPr>
          <w:rFonts w:ascii="Times New Roman" w:hAnsi="Times New Roman" w:cs="Times New Roman"/>
          <w:color w:val="000000"/>
        </w:rPr>
        <w:t>Ú.v.</w:t>
      </w:r>
      <w:r w:rsidRPr="00442827">
        <w:rPr>
          <w:rFonts w:ascii="Times New Roman" w:hAnsi="Times New Roman" w:cs="Times New Roman"/>
          <w:i/>
          <w:color w:val="000000"/>
        </w:rPr>
        <w:t xml:space="preserve"> </w:t>
      </w:r>
      <w:r w:rsidRPr="00442827">
        <w:rPr>
          <w:rFonts w:ascii="Times New Roman" w:hAnsi="Times New Roman" w:cs="Times New Roman"/>
          <w:iCs/>
        </w:rPr>
        <w:t>EÚ kap.6/ zv. 1),</w:t>
      </w:r>
    </w:p>
    <w:p w:rsidR="00442827" w:rsidRPr="00442827" w:rsidP="00442827">
      <w:pPr>
        <w:numPr>
          <w:numId w:val="11"/>
        </w:numPr>
        <w:tabs>
          <w:tab w:val="left" w:pos="-180"/>
          <w:tab w:val="left" w:pos="360"/>
          <w:tab w:val="left" w:pos="437"/>
          <w:tab w:val="num" w:pos="709"/>
          <w:tab w:val="clear" w:pos="900"/>
          <w:tab w:val="left" w:pos="1620"/>
        </w:tabs>
        <w:bidi w:val="0"/>
        <w:spacing w:after="120"/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442827">
        <w:rPr>
          <w:rFonts w:ascii="Times New Roman" w:hAnsi="Times New Roman" w:cs="Times New Roman"/>
        </w:rPr>
        <w:t xml:space="preserve">smernica </w:t>
      </w:r>
      <w:r w:rsidRPr="00442827">
        <w:rPr>
          <w:rFonts w:ascii="Times New Roman" w:hAnsi="Times New Roman" w:cs="Times New Roman"/>
          <w:bCs/>
        </w:rPr>
        <w:t>Rady z 20. júna 1991 o vykonávaní dohody medzi Európskym hospodárskym spoločenstvom a Švajčiarskou konfederáciou o priamom poistení s výnimkou životného poistenia (</w:t>
      </w:r>
      <w:r w:rsidRPr="00442827">
        <w:rPr>
          <w:rFonts w:ascii="Times New Roman" w:hAnsi="Times New Roman" w:cs="Times New Roman"/>
          <w:bCs/>
          <w:u w:val="single"/>
        </w:rPr>
        <w:t>91/371/EHS</w:t>
      </w:r>
      <w:r w:rsidRPr="00442827">
        <w:rPr>
          <w:rFonts w:ascii="Times New Roman" w:hAnsi="Times New Roman" w:cs="Times New Roman"/>
          <w:bCs/>
        </w:rPr>
        <w:t>)  (</w:t>
      </w:r>
      <w:r w:rsidRPr="00442827">
        <w:rPr>
          <w:rFonts w:ascii="Times New Roman" w:hAnsi="Times New Roman" w:cs="Times New Roman"/>
          <w:iCs/>
        </w:rPr>
        <w:t xml:space="preserve">Mimoriadne vydanie </w:t>
      </w:r>
      <w:r w:rsidRPr="00442827">
        <w:rPr>
          <w:rFonts w:ascii="Times New Roman" w:hAnsi="Times New Roman" w:cs="Times New Roman"/>
          <w:color w:val="000000"/>
        </w:rPr>
        <w:t>Ú.v.</w:t>
      </w:r>
      <w:r w:rsidRPr="00442827">
        <w:rPr>
          <w:rFonts w:ascii="Times New Roman" w:hAnsi="Times New Roman" w:cs="Times New Roman"/>
          <w:i/>
          <w:color w:val="000000"/>
        </w:rPr>
        <w:t xml:space="preserve"> </w:t>
      </w:r>
      <w:r w:rsidRPr="00442827">
        <w:rPr>
          <w:rFonts w:ascii="Times New Roman" w:hAnsi="Times New Roman" w:cs="Times New Roman"/>
          <w:iCs/>
        </w:rPr>
        <w:t>EÚ kap.6/ zv. 1)</w:t>
      </w:r>
      <w:r w:rsidR="00E25350">
        <w:rPr>
          <w:rFonts w:ascii="Times New Roman" w:hAnsi="Times New Roman" w:cs="Times New Roman"/>
          <w:iCs/>
        </w:rPr>
        <w:t>.</w:t>
      </w:r>
    </w:p>
    <w:p w:rsidR="00442827" w:rsidP="00442827">
      <w:pPr>
        <w:pStyle w:val="ListParagraph"/>
        <w:widowControl/>
        <w:bidi w:val="0"/>
        <w:adjustRightInd/>
        <w:spacing w:after="120"/>
        <w:jc w:val="both"/>
        <w:rPr>
          <w:rFonts w:ascii="Times New Roman" w:hAnsi="Times New Roman"/>
          <w:bCs/>
          <w:iCs/>
          <w:szCs w:val="22"/>
        </w:rPr>
      </w:pPr>
    </w:p>
    <w:p w:rsidR="002865EC" w:rsidP="002865EC">
      <w:pPr>
        <w:pStyle w:val="BodyText"/>
        <w:numPr>
          <w:ilvl w:val="1"/>
          <w:numId w:val="1"/>
        </w:numPr>
        <w:bidi w:val="0"/>
        <w:jc w:val="both"/>
        <w:rPr>
          <w:rFonts w:ascii="Times New Roman" w:hAnsi="Times New Roman"/>
          <w:szCs w:val="22"/>
        </w:rPr>
      </w:pPr>
      <w:r w:rsidRPr="0076606E" w:rsidR="000271E0">
        <w:rPr>
          <w:rFonts w:ascii="Times New Roman" w:hAnsi="Times New Roman"/>
          <w:szCs w:val="22"/>
        </w:rPr>
        <w:t xml:space="preserve">nie </w:t>
      </w:r>
      <w:r w:rsidRPr="0076606E">
        <w:rPr>
          <w:rFonts w:ascii="Times New Roman" w:hAnsi="Times New Roman"/>
          <w:szCs w:val="22"/>
        </w:rPr>
        <w:t>je obsiahnutá v judikatúre Súdneho dvora Európsk</w:t>
      </w:r>
      <w:r w:rsidRPr="0076606E" w:rsidR="00AE4E5E">
        <w:rPr>
          <w:rFonts w:ascii="Times New Roman" w:hAnsi="Times New Roman"/>
          <w:szCs w:val="22"/>
        </w:rPr>
        <w:t>ej únie</w:t>
      </w:r>
      <w:r w:rsidRPr="0076606E" w:rsidR="000271E0">
        <w:rPr>
          <w:rFonts w:ascii="Times New Roman" w:hAnsi="Times New Roman"/>
          <w:szCs w:val="22"/>
        </w:rPr>
        <w:t>.</w:t>
      </w:r>
    </w:p>
    <w:p w:rsidR="00990E1A" w:rsidRPr="0076606E" w:rsidP="00990E1A">
      <w:pPr>
        <w:pStyle w:val="BodyText"/>
        <w:bidi w:val="0"/>
        <w:ind w:left="850"/>
        <w:jc w:val="both"/>
        <w:rPr>
          <w:rFonts w:ascii="Times New Roman" w:hAnsi="Times New Roman"/>
          <w:szCs w:val="22"/>
        </w:rPr>
      </w:pPr>
    </w:p>
    <w:p w:rsidR="00ED6F91" w:rsidRPr="0076606E" w:rsidP="00DA21A6">
      <w:pPr>
        <w:numPr>
          <w:numId w:val="1"/>
        </w:numPr>
        <w:tabs>
          <w:tab w:val="left" w:pos="340"/>
        </w:tabs>
        <w:bidi w:val="0"/>
        <w:spacing w:after="360"/>
        <w:jc w:val="both"/>
        <w:rPr>
          <w:rFonts w:ascii="Times New Roman" w:hAnsi="Times New Roman" w:cs="Times New Roman"/>
          <w:b/>
          <w:bCs/>
          <w:szCs w:val="22"/>
        </w:rPr>
      </w:pPr>
      <w:r w:rsidRPr="0076606E">
        <w:rPr>
          <w:rFonts w:ascii="Times New Roman" w:hAnsi="Times New Roman" w:cs="Times New Roman"/>
          <w:b/>
          <w:bCs/>
          <w:szCs w:val="22"/>
        </w:rPr>
        <w:t>Záväzky Slovenskej republiky vo vzťahu k Európskej únii:</w:t>
      </w:r>
    </w:p>
    <w:p w:rsidR="00AE4E5E" w:rsidRPr="0076606E" w:rsidP="002B49D7">
      <w:pPr>
        <w:pStyle w:val="BodyText"/>
        <w:numPr>
          <w:ilvl w:val="1"/>
          <w:numId w:val="1"/>
        </w:numPr>
        <w:tabs>
          <w:tab w:val="left" w:pos="360"/>
        </w:tabs>
        <w:bidi w:val="0"/>
        <w:jc w:val="both"/>
        <w:rPr>
          <w:rFonts w:ascii="Times New Roman" w:hAnsi="Times New Roman"/>
          <w:szCs w:val="22"/>
        </w:rPr>
      </w:pPr>
      <w:r w:rsidRPr="0076606E" w:rsidR="0005296C">
        <w:rPr>
          <w:rFonts w:ascii="Times New Roman" w:hAnsi="Times New Roman"/>
          <w:szCs w:val="22"/>
        </w:rPr>
        <w:t>L</w:t>
      </w:r>
      <w:r w:rsidRPr="0076606E" w:rsidR="00736F9A">
        <w:rPr>
          <w:rFonts w:ascii="Times New Roman" w:hAnsi="Times New Roman"/>
          <w:szCs w:val="22"/>
        </w:rPr>
        <w:t>ehota na prebratie smernice 201</w:t>
      </w:r>
      <w:r w:rsidRPr="0076606E" w:rsidR="00A70A96">
        <w:rPr>
          <w:rFonts w:ascii="Times New Roman" w:hAnsi="Times New Roman"/>
          <w:szCs w:val="22"/>
        </w:rPr>
        <w:t>4</w:t>
      </w:r>
      <w:r w:rsidRPr="0076606E" w:rsidR="00736F9A">
        <w:rPr>
          <w:rFonts w:ascii="Times New Roman" w:hAnsi="Times New Roman"/>
          <w:szCs w:val="22"/>
        </w:rPr>
        <w:t>/</w:t>
      </w:r>
      <w:r w:rsidRPr="0076606E" w:rsidR="00A70A96">
        <w:rPr>
          <w:rFonts w:ascii="Times New Roman" w:hAnsi="Times New Roman"/>
          <w:szCs w:val="22"/>
        </w:rPr>
        <w:t>59</w:t>
      </w:r>
      <w:r w:rsidRPr="0076606E" w:rsidR="0005296C">
        <w:rPr>
          <w:rFonts w:ascii="Times New Roman" w:hAnsi="Times New Roman"/>
          <w:szCs w:val="22"/>
        </w:rPr>
        <w:t xml:space="preserve">/EÚ </w:t>
      </w:r>
      <w:r w:rsidRPr="0076606E" w:rsidR="00B86C07">
        <w:rPr>
          <w:rFonts w:ascii="Times New Roman" w:hAnsi="Times New Roman"/>
          <w:szCs w:val="22"/>
        </w:rPr>
        <w:t>bola</w:t>
      </w:r>
      <w:r w:rsidRPr="0076606E" w:rsidR="0005296C">
        <w:rPr>
          <w:rFonts w:ascii="Times New Roman" w:hAnsi="Times New Roman"/>
          <w:szCs w:val="22"/>
        </w:rPr>
        <w:t xml:space="preserve"> stanovená do </w:t>
      </w:r>
      <w:r w:rsidRPr="0076606E" w:rsidR="00736F9A">
        <w:rPr>
          <w:rFonts w:ascii="Times New Roman" w:hAnsi="Times New Roman"/>
          <w:szCs w:val="22"/>
        </w:rPr>
        <w:t>31.12</w:t>
      </w:r>
      <w:r w:rsidRPr="0076606E" w:rsidR="0005296C">
        <w:rPr>
          <w:rFonts w:ascii="Times New Roman" w:hAnsi="Times New Roman"/>
          <w:szCs w:val="22"/>
        </w:rPr>
        <w:t>. 201</w:t>
      </w:r>
      <w:r w:rsidRPr="0076606E" w:rsidR="00A70A96">
        <w:rPr>
          <w:rFonts w:ascii="Times New Roman" w:hAnsi="Times New Roman"/>
          <w:szCs w:val="22"/>
        </w:rPr>
        <w:t xml:space="preserve">4. </w:t>
      </w:r>
    </w:p>
    <w:p w:rsidR="00E9338B" w:rsidRPr="0076606E" w:rsidP="00E9338B">
      <w:pPr>
        <w:pStyle w:val="BodyText"/>
        <w:numPr>
          <w:ilvl w:val="1"/>
          <w:numId w:val="1"/>
        </w:numPr>
        <w:tabs>
          <w:tab w:val="left" w:pos="360"/>
        </w:tabs>
        <w:bidi w:val="0"/>
        <w:jc w:val="both"/>
        <w:rPr>
          <w:rFonts w:ascii="Times New Roman" w:hAnsi="Times New Roman"/>
          <w:szCs w:val="22"/>
        </w:rPr>
      </w:pPr>
      <w:r w:rsidRPr="0076606E" w:rsidR="00606912">
        <w:rPr>
          <w:rFonts w:ascii="Times New Roman" w:hAnsi="Times New Roman"/>
          <w:szCs w:val="22"/>
        </w:rPr>
        <w:t xml:space="preserve">Lehota na predloženie návrhu právneho prepisu na </w:t>
      </w:r>
      <w:r w:rsidRPr="0076606E" w:rsidR="00736F9A">
        <w:rPr>
          <w:rFonts w:ascii="Times New Roman" w:hAnsi="Times New Roman"/>
          <w:szCs w:val="22"/>
        </w:rPr>
        <w:t xml:space="preserve">rokovanie vlády </w:t>
      </w:r>
      <w:r w:rsidRPr="0076606E" w:rsidR="00606912">
        <w:rPr>
          <w:rFonts w:ascii="Times New Roman" w:hAnsi="Times New Roman"/>
          <w:szCs w:val="22"/>
        </w:rPr>
        <w:t xml:space="preserve">podľa určenia gestorských ústredných orgánov štátnej správy zodpovedných za prebratie smerníc a vypracovanie tabuliek zhody k návrhom všeobecne záväzných </w:t>
      </w:r>
      <w:r w:rsidRPr="0076606E" w:rsidR="00833F6A">
        <w:rPr>
          <w:rFonts w:ascii="Times New Roman" w:hAnsi="Times New Roman"/>
          <w:szCs w:val="22"/>
        </w:rPr>
        <w:t>právnych predpisov</w:t>
      </w:r>
      <w:r w:rsidRPr="0076606E" w:rsidR="00736F9A">
        <w:rPr>
          <w:rFonts w:ascii="Times New Roman" w:hAnsi="Times New Roman"/>
          <w:szCs w:val="22"/>
        </w:rPr>
        <w:t>, ktorým sa zabezpečí prebratie smernice 201</w:t>
      </w:r>
      <w:r w:rsidRPr="0076606E" w:rsidR="00551244">
        <w:rPr>
          <w:rFonts w:ascii="Times New Roman" w:hAnsi="Times New Roman"/>
          <w:szCs w:val="22"/>
        </w:rPr>
        <w:t>4</w:t>
      </w:r>
      <w:r w:rsidRPr="0076606E" w:rsidR="00736F9A">
        <w:rPr>
          <w:rFonts w:ascii="Times New Roman" w:hAnsi="Times New Roman"/>
          <w:szCs w:val="22"/>
        </w:rPr>
        <w:t>/</w:t>
      </w:r>
      <w:r w:rsidRPr="0076606E" w:rsidR="00551244">
        <w:rPr>
          <w:rFonts w:ascii="Times New Roman" w:hAnsi="Times New Roman"/>
          <w:szCs w:val="22"/>
        </w:rPr>
        <w:t>59</w:t>
      </w:r>
      <w:r w:rsidRPr="0076606E" w:rsidR="00736F9A">
        <w:rPr>
          <w:rFonts w:ascii="Times New Roman" w:hAnsi="Times New Roman"/>
          <w:szCs w:val="22"/>
        </w:rPr>
        <w:t xml:space="preserve">/EÚ </w:t>
      </w:r>
      <w:r w:rsidR="00097B0A">
        <w:rPr>
          <w:rFonts w:ascii="Times New Roman" w:hAnsi="Times New Roman"/>
          <w:szCs w:val="22"/>
        </w:rPr>
        <w:t>bola stanovená bezodkladne</w:t>
      </w:r>
      <w:r w:rsidRPr="0076606E">
        <w:rPr>
          <w:rFonts w:ascii="Times New Roman" w:hAnsi="Times New Roman"/>
          <w:szCs w:val="22"/>
        </w:rPr>
        <w:t>.</w:t>
      </w:r>
    </w:p>
    <w:p w:rsidR="002B49D7" w:rsidRPr="0076606E" w:rsidP="00E9338B">
      <w:pPr>
        <w:pStyle w:val="BodyText"/>
        <w:numPr>
          <w:ilvl w:val="1"/>
          <w:numId w:val="1"/>
        </w:numPr>
        <w:tabs>
          <w:tab w:val="left" w:pos="360"/>
        </w:tabs>
        <w:bidi w:val="0"/>
        <w:jc w:val="both"/>
        <w:rPr>
          <w:rFonts w:ascii="Times New Roman" w:hAnsi="Times New Roman"/>
          <w:szCs w:val="22"/>
        </w:rPr>
      </w:pPr>
      <w:r w:rsidRPr="0076606E">
        <w:rPr>
          <w:rFonts w:ascii="Times New Roman" w:hAnsi="Times New Roman"/>
          <w:szCs w:val="22"/>
        </w:rPr>
        <w:t>Proti SR</w:t>
      </w:r>
      <w:r w:rsidRPr="0076606E" w:rsidR="00C94CD5">
        <w:rPr>
          <w:rFonts w:ascii="Times New Roman" w:hAnsi="Times New Roman"/>
          <w:szCs w:val="22"/>
        </w:rPr>
        <w:t xml:space="preserve"> </w:t>
      </w:r>
      <w:r w:rsidRPr="0076606E" w:rsidR="00855FB0">
        <w:rPr>
          <w:rFonts w:ascii="Times New Roman" w:hAnsi="Times New Roman"/>
          <w:szCs w:val="22"/>
        </w:rPr>
        <w:t>ne</w:t>
      </w:r>
      <w:r w:rsidRPr="0076606E">
        <w:rPr>
          <w:rFonts w:ascii="Times New Roman" w:hAnsi="Times New Roman"/>
          <w:szCs w:val="22"/>
        </w:rPr>
        <w:t>bolo začaté konanie o porušení Zmluvy o</w:t>
      </w:r>
      <w:r w:rsidRPr="0076606E" w:rsidR="00CF4861">
        <w:rPr>
          <w:rFonts w:ascii="Times New Roman" w:hAnsi="Times New Roman"/>
          <w:szCs w:val="22"/>
        </w:rPr>
        <w:t xml:space="preserve"> fungovaní Európskej únie </w:t>
      </w:r>
      <w:r w:rsidRPr="0076606E">
        <w:rPr>
          <w:rFonts w:ascii="Times New Roman" w:hAnsi="Times New Roman"/>
          <w:szCs w:val="22"/>
        </w:rPr>
        <w:t xml:space="preserve">podľa čl. </w:t>
      </w:r>
      <w:r w:rsidRPr="0076606E" w:rsidR="00736F9A">
        <w:rPr>
          <w:rFonts w:ascii="Times New Roman" w:hAnsi="Times New Roman"/>
          <w:szCs w:val="22"/>
        </w:rPr>
        <w:t>258 až 260</w:t>
      </w:r>
      <w:r w:rsidRPr="0076606E" w:rsidR="00C0448A">
        <w:rPr>
          <w:rFonts w:ascii="Times New Roman" w:hAnsi="Times New Roman"/>
          <w:szCs w:val="22"/>
        </w:rPr>
        <w:t>.</w:t>
      </w:r>
    </w:p>
    <w:p w:rsidR="0076606E" w:rsidRPr="00442827" w:rsidP="00990E1A">
      <w:pPr>
        <w:pStyle w:val="BodyText"/>
        <w:numPr>
          <w:ilvl w:val="1"/>
          <w:numId w:val="1"/>
        </w:numPr>
        <w:tabs>
          <w:tab w:val="left" w:pos="360"/>
        </w:tabs>
        <w:bidi w:val="0"/>
        <w:spacing w:after="240"/>
        <w:jc w:val="both"/>
        <w:rPr>
          <w:rFonts w:ascii="Times New Roman" w:hAnsi="Times New Roman"/>
        </w:rPr>
      </w:pPr>
      <w:r w:rsidRPr="0054015F">
        <w:rPr>
          <w:rFonts w:ascii="Times New Roman" w:hAnsi="Times New Roman"/>
        </w:rPr>
        <w:t xml:space="preserve">Smernica </w:t>
      </w:r>
      <w:r w:rsidRPr="0076606E">
        <w:rPr>
          <w:rFonts w:ascii="Times New Roman" w:hAnsi="Times New Roman"/>
        </w:rPr>
        <w:t xml:space="preserve">2014/59/EÚ </w:t>
      </w:r>
      <w:r w:rsidRPr="0054015F">
        <w:rPr>
          <w:rFonts w:ascii="Times New Roman" w:hAnsi="Times New Roman"/>
        </w:rPr>
        <w:t>bola prebratá do</w:t>
      </w:r>
      <w:r w:rsidR="00990E1A">
        <w:rPr>
          <w:rFonts w:ascii="Times New Roman" w:hAnsi="Times New Roman"/>
        </w:rPr>
        <w:t xml:space="preserve"> zákona </w:t>
      </w:r>
      <w:r w:rsidRPr="0054015F">
        <w:rPr>
          <w:rFonts w:ascii="Times New Roman" w:hAnsi="Times New Roman"/>
        </w:rPr>
        <w:t xml:space="preserve">č. 483/2001 Z.z. o bankách a o zmene </w:t>
      </w:r>
      <w:r>
        <w:rPr>
          <w:rFonts w:ascii="Times New Roman" w:hAnsi="Times New Roman"/>
        </w:rPr>
        <w:t xml:space="preserve"> </w:t>
      </w:r>
      <w:r w:rsidRPr="0054015F">
        <w:rPr>
          <w:rFonts w:ascii="Times New Roman" w:hAnsi="Times New Roman"/>
        </w:rPr>
        <w:t>a doplnení niektorých zákonov v znení neskorších predpisov, </w:t>
      </w:r>
      <w:r w:rsidR="00990E1A">
        <w:rPr>
          <w:rFonts w:ascii="Times New Roman" w:hAnsi="Times New Roman"/>
        </w:rPr>
        <w:t>do z</w:t>
      </w:r>
      <w:r w:rsidRPr="00990E1A" w:rsidR="00990E1A">
        <w:rPr>
          <w:rFonts w:ascii="Times New Roman" w:hAnsi="Times New Roman"/>
        </w:rPr>
        <w:t>ákon</w:t>
      </w:r>
      <w:r w:rsidR="00990E1A">
        <w:rPr>
          <w:rFonts w:ascii="Times New Roman" w:hAnsi="Times New Roman"/>
        </w:rPr>
        <w:t>a</w:t>
      </w:r>
      <w:r w:rsidRPr="00990E1A" w:rsidR="00990E1A">
        <w:rPr>
          <w:rFonts w:ascii="Times New Roman" w:hAnsi="Times New Roman"/>
        </w:rPr>
        <w:t xml:space="preserve"> č. 566/2001 Z.z. o cenných papieroch a investičných službách a o zmene a doplnení niektorých zákonov (zákon o cenných papieroc</w:t>
      </w:r>
      <w:r w:rsidR="00990E1A">
        <w:rPr>
          <w:rFonts w:ascii="Times New Roman" w:hAnsi="Times New Roman"/>
        </w:rPr>
        <w:t xml:space="preserve">h) v znení neskorších predpisov, </w:t>
      </w:r>
      <w:r w:rsidRPr="0054015F">
        <w:rPr>
          <w:rFonts w:ascii="Times New Roman" w:hAnsi="Times New Roman"/>
        </w:rPr>
        <w:t xml:space="preserve">do </w:t>
      </w:r>
      <w:r w:rsidR="00990E1A">
        <w:rPr>
          <w:rFonts w:ascii="Times New Roman" w:hAnsi="Times New Roman"/>
        </w:rPr>
        <w:t>z</w:t>
      </w:r>
      <w:r w:rsidRPr="00990E1A" w:rsidR="00990E1A">
        <w:rPr>
          <w:rFonts w:ascii="Times New Roman" w:hAnsi="Times New Roman"/>
        </w:rPr>
        <w:t>ákon</w:t>
      </w:r>
      <w:r w:rsidR="00990E1A">
        <w:rPr>
          <w:rFonts w:ascii="Times New Roman" w:hAnsi="Times New Roman"/>
        </w:rPr>
        <w:t>a</w:t>
      </w:r>
      <w:r w:rsidRPr="00990E1A" w:rsidR="00990E1A">
        <w:rPr>
          <w:rFonts w:ascii="Times New Roman" w:hAnsi="Times New Roman"/>
        </w:rPr>
        <w:t xml:space="preserve"> </w:t>
      </w:r>
      <w:r w:rsidR="00442827">
        <w:rPr>
          <w:rFonts w:ascii="Times New Roman" w:hAnsi="Times New Roman"/>
        </w:rPr>
        <w:t>č</w:t>
      </w:r>
      <w:r w:rsidRPr="00442827" w:rsidR="00442827">
        <w:rPr>
          <w:rFonts w:ascii="Times New Roman" w:hAnsi="Times New Roman"/>
        </w:rPr>
        <w:t>. 118/1996 Z.z. o ochrane vkladov a o zmene a doplnení niektorých zákonov v znení neskorších predpisov</w:t>
      </w:r>
      <w:r w:rsidR="00442827">
        <w:rPr>
          <w:rFonts w:ascii="Times New Roman" w:hAnsi="Times New Roman"/>
        </w:rPr>
        <w:t xml:space="preserve">, do zákona </w:t>
      </w:r>
      <w:r w:rsidRPr="00442827" w:rsidR="00442827">
        <w:rPr>
          <w:rFonts w:ascii="Times New Roman" w:hAnsi="Times New Roman"/>
        </w:rPr>
        <w:t>č. 747/2004 Z.z. o dohľade nad finančným trhom a o zmene a doplnení niektorých zákonov v znení neskorších predpisov.</w:t>
      </w:r>
    </w:p>
    <w:p w:rsidR="00ED6F91" w:rsidRPr="0076606E" w:rsidP="00E754D0">
      <w:pPr>
        <w:numPr>
          <w:numId w:val="1"/>
        </w:numPr>
        <w:bidi w:val="0"/>
        <w:spacing w:after="120"/>
        <w:jc w:val="both"/>
        <w:rPr>
          <w:rFonts w:ascii="Times New Roman" w:hAnsi="Times New Roman" w:cs="Times New Roman"/>
          <w:b/>
          <w:bCs/>
          <w:szCs w:val="22"/>
        </w:rPr>
      </w:pPr>
      <w:r w:rsidRPr="0076606E">
        <w:rPr>
          <w:rFonts w:ascii="Times New Roman" w:hAnsi="Times New Roman" w:cs="Times New Roman"/>
          <w:b/>
          <w:bCs/>
          <w:szCs w:val="22"/>
        </w:rPr>
        <w:t xml:space="preserve">Stupeň zlučiteľnosti návrhu </w:t>
      </w:r>
      <w:r w:rsidRPr="0076606E" w:rsidR="004E4701">
        <w:rPr>
          <w:rFonts w:ascii="Times New Roman" w:hAnsi="Times New Roman" w:cs="Times New Roman"/>
          <w:b/>
          <w:bCs/>
          <w:szCs w:val="22"/>
        </w:rPr>
        <w:t>zákona</w:t>
      </w:r>
      <w:r w:rsidRPr="0076606E">
        <w:rPr>
          <w:rFonts w:ascii="Times New Roman" w:hAnsi="Times New Roman" w:cs="Times New Roman"/>
          <w:b/>
          <w:bCs/>
          <w:szCs w:val="22"/>
        </w:rPr>
        <w:t xml:space="preserve"> s právom Európskej únie:</w:t>
      </w:r>
    </w:p>
    <w:p w:rsidR="00ED6F91" w:rsidRPr="0076606E" w:rsidP="000F79A7">
      <w:pPr>
        <w:bidi w:val="0"/>
        <w:spacing w:after="120"/>
        <w:ind w:left="425"/>
        <w:jc w:val="both"/>
        <w:rPr>
          <w:rFonts w:ascii="Times New Roman" w:hAnsi="Times New Roman" w:cs="Times New Roman"/>
          <w:szCs w:val="22"/>
        </w:rPr>
      </w:pPr>
      <w:r w:rsidRPr="0076606E" w:rsidR="00856107">
        <w:rPr>
          <w:rFonts w:ascii="Times New Roman" w:hAnsi="Times New Roman" w:cs="Times New Roman"/>
          <w:szCs w:val="22"/>
        </w:rPr>
        <w:t>Úplný</w:t>
      </w:r>
      <w:r w:rsidRPr="0076606E" w:rsidR="000F79A7">
        <w:rPr>
          <w:rFonts w:ascii="Times New Roman" w:hAnsi="Times New Roman" w:cs="Times New Roman"/>
          <w:szCs w:val="22"/>
        </w:rPr>
        <w:t>.</w:t>
      </w:r>
    </w:p>
    <w:p w:rsidR="00ED6F91" w:rsidRPr="0076606E" w:rsidP="00E754D0">
      <w:pPr>
        <w:numPr>
          <w:numId w:val="1"/>
        </w:numPr>
        <w:bidi w:val="0"/>
        <w:spacing w:after="120"/>
        <w:jc w:val="both"/>
        <w:rPr>
          <w:rFonts w:ascii="Times New Roman" w:hAnsi="Times New Roman" w:cs="Times New Roman"/>
          <w:b/>
          <w:bCs/>
          <w:szCs w:val="22"/>
        </w:rPr>
      </w:pPr>
      <w:r w:rsidRPr="0076606E">
        <w:rPr>
          <w:rFonts w:ascii="Times New Roman" w:hAnsi="Times New Roman" w:cs="Times New Roman"/>
          <w:b/>
          <w:bCs/>
          <w:szCs w:val="22"/>
        </w:rPr>
        <w:t xml:space="preserve">Gestor a spolupracujúce rezorty: </w:t>
      </w:r>
    </w:p>
    <w:p w:rsidR="00A70A96" w:rsidRPr="0076606E" w:rsidP="00A70A96">
      <w:pPr>
        <w:bidi w:val="0"/>
        <w:spacing w:after="120"/>
        <w:ind w:left="360"/>
        <w:jc w:val="both"/>
        <w:rPr>
          <w:rFonts w:ascii="Times New Roman" w:hAnsi="Times New Roman" w:cs="Times New Roman"/>
          <w:szCs w:val="22"/>
        </w:rPr>
      </w:pPr>
      <w:r w:rsidRPr="0076606E" w:rsidR="002865EC">
        <w:rPr>
          <w:rFonts w:ascii="Times New Roman" w:hAnsi="Times New Roman" w:cs="Times New Roman"/>
          <w:szCs w:val="22"/>
        </w:rPr>
        <w:t xml:space="preserve"> </w:t>
      </w:r>
      <w:r w:rsidRPr="0076606E" w:rsidR="00ED6F91">
        <w:rPr>
          <w:rFonts w:ascii="Times New Roman" w:hAnsi="Times New Roman" w:cs="Times New Roman"/>
          <w:szCs w:val="22"/>
        </w:rPr>
        <w:t>Ministerstvo financií Slovenskej republiky</w:t>
      </w:r>
      <w:r w:rsidR="0076606E">
        <w:rPr>
          <w:rFonts w:ascii="Times New Roman" w:hAnsi="Times New Roman" w:cs="Times New Roman"/>
          <w:szCs w:val="22"/>
        </w:rPr>
        <w:t xml:space="preserve"> </w:t>
      </w:r>
      <w:r w:rsidRPr="0054015F" w:rsidR="0076606E">
        <w:rPr>
          <w:rFonts w:ascii="Times New Roman" w:hAnsi="Times New Roman" w:cs="Times New Roman"/>
        </w:rPr>
        <w:t>a Národná banka Slovenska.</w:t>
      </w:r>
    </w:p>
    <w:p w:rsidR="00ED6F91" w:rsidRPr="0076606E" w:rsidP="00EC57C9">
      <w:pPr>
        <w:bidi w:val="0"/>
        <w:spacing w:after="120"/>
        <w:ind w:left="360"/>
        <w:jc w:val="both"/>
        <w:rPr>
          <w:rFonts w:ascii="Times New Roman" w:hAnsi="Times New Roman" w:cs="Times New Roman"/>
          <w:szCs w:val="22"/>
        </w:rPr>
      </w:pPr>
    </w:p>
    <w:sectPr w:rsidSect="00E042C8">
      <w:footerReference w:type="even" r:id="rId4"/>
      <w:footerReference w:type="default" r:id="rId5"/>
      <w:footerReference w:type="first" r:id="rId6"/>
      <w:pgSz w:w="11906" w:h="16838" w:code="9"/>
      <w:pgMar w:top="1191" w:right="1191" w:bottom="1191" w:left="1191" w:header="510" w:footer="510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184" w:rsidP="00F7054B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BD1184" w:rsidP="0019789C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2C8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5161D7">
      <w:rPr>
        <w:noProof/>
      </w:rPr>
      <w:t>1</w:t>
    </w:r>
    <w:r>
      <w:fldChar w:fldCharType="end"/>
    </w:r>
  </w:p>
  <w:p w:rsidR="00BD1184" w:rsidP="0019789C">
    <w:pPr>
      <w:pStyle w:val="Footer"/>
      <w:bidi w:val="0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2C8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E042C8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276012"/>
    <w:multiLevelType w:val="hybridMultilevel"/>
    <w:tmpl w:val="DBE6BE36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3DBD4A2C"/>
    <w:multiLevelType w:val="hybridMultilevel"/>
    <w:tmpl w:val="5970B65C"/>
    <w:lvl w:ilvl="0">
      <w:start w:val="0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BB08A6"/>
    <w:multiLevelType w:val="hybridMultilevel"/>
    <w:tmpl w:val="1E26F1A6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C410587"/>
    <w:multiLevelType w:val="hybridMultilevel"/>
    <w:tmpl w:val="921A651C"/>
    <w:lvl w:ilvl="0">
      <w:start w:val="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7">
    <w:nsid w:val="6BF03261"/>
    <w:multiLevelType w:val="hybridMultilevel"/>
    <w:tmpl w:val="36A019B0"/>
    <w:lvl w:ilvl="0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2975D18"/>
    <w:multiLevelType w:val="hybridMultilevel"/>
    <w:tmpl w:val="75A6F42E"/>
    <w:lvl w:ilvl="0">
      <w:start w:val="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17055A"/>
    <w:multiLevelType w:val="hybridMultilevel"/>
    <w:tmpl w:val="69926042"/>
    <w:lvl w:ilvl="0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9"/>
  </w:num>
  <w:num w:numId="9">
    <w:abstractNumId w:val="2"/>
  </w:num>
  <w:num w:numId="10">
    <w:abstractNumId w:val="8"/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ED6F91"/>
    <w:rsid w:val="00000DFE"/>
    <w:rsid w:val="00012822"/>
    <w:rsid w:val="00023AA9"/>
    <w:rsid w:val="00024C17"/>
    <w:rsid w:val="000271E0"/>
    <w:rsid w:val="0005296C"/>
    <w:rsid w:val="00084AA6"/>
    <w:rsid w:val="00086349"/>
    <w:rsid w:val="00097B0A"/>
    <w:rsid w:val="000B1FDE"/>
    <w:rsid w:val="000B3027"/>
    <w:rsid w:val="000C1822"/>
    <w:rsid w:val="000D4666"/>
    <w:rsid w:val="000D710F"/>
    <w:rsid w:val="000E0A79"/>
    <w:rsid w:val="000E15D2"/>
    <w:rsid w:val="000F2AA6"/>
    <w:rsid w:val="000F79A7"/>
    <w:rsid w:val="001065CB"/>
    <w:rsid w:val="001147E7"/>
    <w:rsid w:val="001159E9"/>
    <w:rsid w:val="00136298"/>
    <w:rsid w:val="00142127"/>
    <w:rsid w:val="001434B6"/>
    <w:rsid w:val="001578A8"/>
    <w:rsid w:val="001634D5"/>
    <w:rsid w:val="00176C55"/>
    <w:rsid w:val="00196D4C"/>
    <w:rsid w:val="0019789C"/>
    <w:rsid w:val="001A37D5"/>
    <w:rsid w:val="001A6184"/>
    <w:rsid w:val="001C0D21"/>
    <w:rsid w:val="001D0098"/>
    <w:rsid w:val="001E6659"/>
    <w:rsid w:val="001F1A14"/>
    <w:rsid w:val="001F3CF3"/>
    <w:rsid w:val="0021661B"/>
    <w:rsid w:val="002243BD"/>
    <w:rsid w:val="00230BB4"/>
    <w:rsid w:val="00235069"/>
    <w:rsid w:val="00242841"/>
    <w:rsid w:val="00253B01"/>
    <w:rsid w:val="002624B5"/>
    <w:rsid w:val="002643C1"/>
    <w:rsid w:val="00271431"/>
    <w:rsid w:val="00272618"/>
    <w:rsid w:val="00274300"/>
    <w:rsid w:val="00285631"/>
    <w:rsid w:val="002865EC"/>
    <w:rsid w:val="00293A0E"/>
    <w:rsid w:val="00294F13"/>
    <w:rsid w:val="00295AE4"/>
    <w:rsid w:val="002A0B41"/>
    <w:rsid w:val="002A293B"/>
    <w:rsid w:val="002B3E4E"/>
    <w:rsid w:val="002B49D7"/>
    <w:rsid w:val="002C2990"/>
    <w:rsid w:val="002C4FD3"/>
    <w:rsid w:val="002E0191"/>
    <w:rsid w:val="002E4078"/>
    <w:rsid w:val="002E4635"/>
    <w:rsid w:val="002E49BB"/>
    <w:rsid w:val="002E799E"/>
    <w:rsid w:val="002F4E99"/>
    <w:rsid w:val="00306A29"/>
    <w:rsid w:val="003108A4"/>
    <w:rsid w:val="00320431"/>
    <w:rsid w:val="003252AF"/>
    <w:rsid w:val="0032661B"/>
    <w:rsid w:val="0034130F"/>
    <w:rsid w:val="00351E57"/>
    <w:rsid w:val="00352A0D"/>
    <w:rsid w:val="00354D4F"/>
    <w:rsid w:val="00363363"/>
    <w:rsid w:val="00376269"/>
    <w:rsid w:val="003827F9"/>
    <w:rsid w:val="0039151C"/>
    <w:rsid w:val="003A7C61"/>
    <w:rsid w:val="003A7F84"/>
    <w:rsid w:val="003B497E"/>
    <w:rsid w:val="003C2C73"/>
    <w:rsid w:val="003E0017"/>
    <w:rsid w:val="003E2BEC"/>
    <w:rsid w:val="00403FCA"/>
    <w:rsid w:val="004052D3"/>
    <w:rsid w:val="00411F38"/>
    <w:rsid w:val="0042185C"/>
    <w:rsid w:val="00442827"/>
    <w:rsid w:val="00447223"/>
    <w:rsid w:val="0046493C"/>
    <w:rsid w:val="004649D3"/>
    <w:rsid w:val="004711E5"/>
    <w:rsid w:val="00483D23"/>
    <w:rsid w:val="00484FCE"/>
    <w:rsid w:val="004921BF"/>
    <w:rsid w:val="004B2AD6"/>
    <w:rsid w:val="004C356A"/>
    <w:rsid w:val="004C4A91"/>
    <w:rsid w:val="004D0D18"/>
    <w:rsid w:val="004D7FDC"/>
    <w:rsid w:val="004E35AA"/>
    <w:rsid w:val="004E4701"/>
    <w:rsid w:val="004F121F"/>
    <w:rsid w:val="00510F36"/>
    <w:rsid w:val="00511C47"/>
    <w:rsid w:val="00514380"/>
    <w:rsid w:val="005161D7"/>
    <w:rsid w:val="00522057"/>
    <w:rsid w:val="00522D76"/>
    <w:rsid w:val="00523376"/>
    <w:rsid w:val="005250CE"/>
    <w:rsid w:val="00527C55"/>
    <w:rsid w:val="0054015F"/>
    <w:rsid w:val="00550287"/>
    <w:rsid w:val="00551244"/>
    <w:rsid w:val="00564E67"/>
    <w:rsid w:val="0056583F"/>
    <w:rsid w:val="005667DE"/>
    <w:rsid w:val="00575E79"/>
    <w:rsid w:val="00580BAC"/>
    <w:rsid w:val="00587342"/>
    <w:rsid w:val="005936F7"/>
    <w:rsid w:val="005B2E0C"/>
    <w:rsid w:val="005C0D09"/>
    <w:rsid w:val="005C195C"/>
    <w:rsid w:val="005C4102"/>
    <w:rsid w:val="005D100A"/>
    <w:rsid w:val="005D2693"/>
    <w:rsid w:val="005E6D74"/>
    <w:rsid w:val="005F39A0"/>
    <w:rsid w:val="005F7C53"/>
    <w:rsid w:val="00606912"/>
    <w:rsid w:val="006364DD"/>
    <w:rsid w:val="0064643B"/>
    <w:rsid w:val="0064736C"/>
    <w:rsid w:val="006651BB"/>
    <w:rsid w:val="0069690C"/>
    <w:rsid w:val="006A2DE6"/>
    <w:rsid w:val="006A69EF"/>
    <w:rsid w:val="006A71BF"/>
    <w:rsid w:val="006B6EA7"/>
    <w:rsid w:val="006C36DA"/>
    <w:rsid w:val="006D4BB9"/>
    <w:rsid w:val="006D7169"/>
    <w:rsid w:val="006E3105"/>
    <w:rsid w:val="006F67CA"/>
    <w:rsid w:val="006F7FA4"/>
    <w:rsid w:val="00704386"/>
    <w:rsid w:val="007110DD"/>
    <w:rsid w:val="007228E1"/>
    <w:rsid w:val="00726FBF"/>
    <w:rsid w:val="00736F9A"/>
    <w:rsid w:val="00744038"/>
    <w:rsid w:val="00756A22"/>
    <w:rsid w:val="0076606E"/>
    <w:rsid w:val="0077001F"/>
    <w:rsid w:val="00773044"/>
    <w:rsid w:val="00785F21"/>
    <w:rsid w:val="00790236"/>
    <w:rsid w:val="007A2AF5"/>
    <w:rsid w:val="007C6FB0"/>
    <w:rsid w:val="007F0081"/>
    <w:rsid w:val="0080356F"/>
    <w:rsid w:val="00822C0A"/>
    <w:rsid w:val="00833F6A"/>
    <w:rsid w:val="00834206"/>
    <w:rsid w:val="00836F5F"/>
    <w:rsid w:val="00855FB0"/>
    <w:rsid w:val="00856107"/>
    <w:rsid w:val="00861052"/>
    <w:rsid w:val="00874B95"/>
    <w:rsid w:val="008803DC"/>
    <w:rsid w:val="00891342"/>
    <w:rsid w:val="008A33B3"/>
    <w:rsid w:val="008A48C8"/>
    <w:rsid w:val="008B56D1"/>
    <w:rsid w:val="008D3A43"/>
    <w:rsid w:val="008D7C92"/>
    <w:rsid w:val="008F4A33"/>
    <w:rsid w:val="0092634C"/>
    <w:rsid w:val="00926B1E"/>
    <w:rsid w:val="00933205"/>
    <w:rsid w:val="00963388"/>
    <w:rsid w:val="00976EDB"/>
    <w:rsid w:val="00990E1A"/>
    <w:rsid w:val="009946EB"/>
    <w:rsid w:val="00994769"/>
    <w:rsid w:val="009A0AD3"/>
    <w:rsid w:val="009A6463"/>
    <w:rsid w:val="009B49BE"/>
    <w:rsid w:val="009C7F4A"/>
    <w:rsid w:val="009E03F5"/>
    <w:rsid w:val="009E3747"/>
    <w:rsid w:val="009F355C"/>
    <w:rsid w:val="009F6AEA"/>
    <w:rsid w:val="00A027F0"/>
    <w:rsid w:val="00A07D94"/>
    <w:rsid w:val="00A1331E"/>
    <w:rsid w:val="00A40882"/>
    <w:rsid w:val="00A5700D"/>
    <w:rsid w:val="00A70A96"/>
    <w:rsid w:val="00A70D07"/>
    <w:rsid w:val="00A73555"/>
    <w:rsid w:val="00A74323"/>
    <w:rsid w:val="00A969AF"/>
    <w:rsid w:val="00AB1EDF"/>
    <w:rsid w:val="00AB6789"/>
    <w:rsid w:val="00AC24D2"/>
    <w:rsid w:val="00AC727A"/>
    <w:rsid w:val="00AE0886"/>
    <w:rsid w:val="00AE4E5E"/>
    <w:rsid w:val="00AE58B7"/>
    <w:rsid w:val="00B076E0"/>
    <w:rsid w:val="00B078E7"/>
    <w:rsid w:val="00B129AD"/>
    <w:rsid w:val="00B14DBF"/>
    <w:rsid w:val="00B35563"/>
    <w:rsid w:val="00B3672D"/>
    <w:rsid w:val="00B41BBD"/>
    <w:rsid w:val="00B50AD1"/>
    <w:rsid w:val="00B63565"/>
    <w:rsid w:val="00B64526"/>
    <w:rsid w:val="00B81F9D"/>
    <w:rsid w:val="00B86C07"/>
    <w:rsid w:val="00BA02D4"/>
    <w:rsid w:val="00BB520B"/>
    <w:rsid w:val="00BB707A"/>
    <w:rsid w:val="00BD1184"/>
    <w:rsid w:val="00BE3B3A"/>
    <w:rsid w:val="00C0448A"/>
    <w:rsid w:val="00C11F66"/>
    <w:rsid w:val="00C2406C"/>
    <w:rsid w:val="00C36D9C"/>
    <w:rsid w:val="00C400B6"/>
    <w:rsid w:val="00C57FF0"/>
    <w:rsid w:val="00C83930"/>
    <w:rsid w:val="00C86BD7"/>
    <w:rsid w:val="00C92BC3"/>
    <w:rsid w:val="00C94CD5"/>
    <w:rsid w:val="00CD1ED4"/>
    <w:rsid w:val="00CD1FC5"/>
    <w:rsid w:val="00CD5D84"/>
    <w:rsid w:val="00CF0A60"/>
    <w:rsid w:val="00CF4861"/>
    <w:rsid w:val="00CF50BD"/>
    <w:rsid w:val="00D04096"/>
    <w:rsid w:val="00D07FF4"/>
    <w:rsid w:val="00D16140"/>
    <w:rsid w:val="00D22244"/>
    <w:rsid w:val="00D23DB2"/>
    <w:rsid w:val="00D24880"/>
    <w:rsid w:val="00D433C8"/>
    <w:rsid w:val="00D44D98"/>
    <w:rsid w:val="00D45754"/>
    <w:rsid w:val="00D56B86"/>
    <w:rsid w:val="00D67C7C"/>
    <w:rsid w:val="00D9086B"/>
    <w:rsid w:val="00DA21A6"/>
    <w:rsid w:val="00DB34E2"/>
    <w:rsid w:val="00DB5F18"/>
    <w:rsid w:val="00DC1DF2"/>
    <w:rsid w:val="00DC25D5"/>
    <w:rsid w:val="00DC469A"/>
    <w:rsid w:val="00DC55DE"/>
    <w:rsid w:val="00DD3CB5"/>
    <w:rsid w:val="00DD7925"/>
    <w:rsid w:val="00DE337E"/>
    <w:rsid w:val="00DF055A"/>
    <w:rsid w:val="00DF56FF"/>
    <w:rsid w:val="00E042C8"/>
    <w:rsid w:val="00E060F9"/>
    <w:rsid w:val="00E17D6A"/>
    <w:rsid w:val="00E25350"/>
    <w:rsid w:val="00E26D80"/>
    <w:rsid w:val="00E36B90"/>
    <w:rsid w:val="00E42062"/>
    <w:rsid w:val="00E4494A"/>
    <w:rsid w:val="00E50EB7"/>
    <w:rsid w:val="00E5240D"/>
    <w:rsid w:val="00E74FCB"/>
    <w:rsid w:val="00E754D0"/>
    <w:rsid w:val="00E77BEE"/>
    <w:rsid w:val="00E9338B"/>
    <w:rsid w:val="00E94647"/>
    <w:rsid w:val="00E951F4"/>
    <w:rsid w:val="00E97ECA"/>
    <w:rsid w:val="00EA43F5"/>
    <w:rsid w:val="00EB14A6"/>
    <w:rsid w:val="00EB3E61"/>
    <w:rsid w:val="00EC08FE"/>
    <w:rsid w:val="00EC24F5"/>
    <w:rsid w:val="00EC57C9"/>
    <w:rsid w:val="00ED2F4A"/>
    <w:rsid w:val="00ED6F91"/>
    <w:rsid w:val="00EE34AD"/>
    <w:rsid w:val="00EE75C6"/>
    <w:rsid w:val="00EF62E2"/>
    <w:rsid w:val="00F010E6"/>
    <w:rsid w:val="00F014DC"/>
    <w:rsid w:val="00F01F9B"/>
    <w:rsid w:val="00F0314B"/>
    <w:rsid w:val="00F15EEB"/>
    <w:rsid w:val="00F25187"/>
    <w:rsid w:val="00F37CB8"/>
    <w:rsid w:val="00F45BAB"/>
    <w:rsid w:val="00F6208F"/>
    <w:rsid w:val="00F7054B"/>
    <w:rsid w:val="00F83337"/>
    <w:rsid w:val="00F84AD1"/>
    <w:rsid w:val="00F935A0"/>
    <w:rsid w:val="00FB0CD7"/>
    <w:rsid w:val="00FC1AB8"/>
    <w:rsid w:val="00FC6F49"/>
    <w:rsid w:val="00FE074C"/>
    <w:rsid w:val="00FE20EB"/>
    <w:rsid w:val="00FE4DAE"/>
    <w:rsid w:val="00FE5266"/>
    <w:rsid w:val="00FF02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6F9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64526"/>
    <w:pPr>
      <w:keepNext/>
      <w:spacing w:before="240" w:after="60"/>
      <w:jc w:val="left"/>
      <w:outlineLvl w:val="0"/>
    </w:pPr>
    <w:rPr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ED6F91"/>
    <w:pPr>
      <w:ind w:firstLine="709"/>
      <w:jc w:val="both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ED6F91"/>
    <w:pPr>
      <w:jc w:val="center"/>
    </w:pPr>
    <w:rPr>
      <w:rFonts w:ascii="Times New Roman" w:hAnsi="Times New Roman" w:cs="Times New Roman"/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D6F91"/>
    <w:pPr>
      <w:spacing w:after="120"/>
      <w:jc w:val="left"/>
    </w:pPr>
    <w:rPr>
      <w:rFonts w:ascii="Times New Roman" w:hAnsi="Times New Roman" w:cs="Times New Roman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character" w:styleId="Emphasis">
    <w:name w:val="Emphasis"/>
    <w:basedOn w:val="DefaultParagraphFont"/>
    <w:uiPriority w:val="20"/>
    <w:qFormat/>
    <w:rsid w:val="00ED6F91"/>
    <w:rPr>
      <w:rFonts w:cs="Times New Roman"/>
      <w:i/>
      <w:rtl w:val="0"/>
      <w:cs w:val="0"/>
    </w:rPr>
  </w:style>
  <w:style w:type="character" w:styleId="Hyperlink">
    <w:name w:val="Hyperlink"/>
    <w:basedOn w:val="DefaultParagraphFont"/>
    <w:uiPriority w:val="99"/>
    <w:rsid w:val="00ED6F91"/>
    <w:rPr>
      <w:rFonts w:cs="Times New Roman"/>
      <w:color w:val="0000FF"/>
      <w:u w:val="single"/>
      <w:rtl w:val="0"/>
      <w:cs w:val="0"/>
    </w:rPr>
  </w:style>
  <w:style w:type="character" w:customStyle="1" w:styleId="ZkladntextChar0">
    <w:name w:val="Základní text Char"/>
    <w:rsid w:val="00ED6F91"/>
    <w:rPr>
      <w:color w:val="000000"/>
      <w:sz w:val="24"/>
      <w:lang w:val="sk-SK" w:eastAsia="sk-SK"/>
    </w:rPr>
  </w:style>
  <w:style w:type="paragraph" w:styleId="Footer">
    <w:name w:val="footer"/>
    <w:basedOn w:val="Normal"/>
    <w:link w:val="PtaChar"/>
    <w:uiPriority w:val="99"/>
    <w:rsid w:val="0019789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ascii="Arial" w:hAnsi="Arial" w:cs="Arial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19789C"/>
    <w:rPr>
      <w:rFonts w:cs="Times New Roman"/>
      <w:rtl w:val="0"/>
      <w:cs w:val="0"/>
    </w:rPr>
  </w:style>
  <w:style w:type="paragraph" w:customStyle="1" w:styleId="c02alineaalta">
    <w:name w:val="c02alineaalta"/>
    <w:basedOn w:val="Normal"/>
    <w:rsid w:val="00176C55"/>
    <w:pPr>
      <w:spacing w:after="240"/>
      <w:ind w:left="567"/>
      <w:jc w:val="both"/>
    </w:pPr>
    <w:rPr>
      <w:sz w:val="22"/>
      <w:szCs w:val="22"/>
    </w:rPr>
  </w:style>
  <w:style w:type="paragraph" w:customStyle="1" w:styleId="Normlnywebov8">
    <w:name w:val="Normálny (webový)8"/>
    <w:basedOn w:val="Normal"/>
    <w:rsid w:val="00FF0218"/>
    <w:pPr>
      <w:spacing w:before="84" w:after="84"/>
      <w:ind w:left="251" w:right="251"/>
      <w:jc w:val="left"/>
    </w:pPr>
    <w:rPr>
      <w:rFonts w:ascii="Times New Roman" w:hAnsi="Times New Roman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FF0218"/>
    <w:rPr>
      <w:rFonts w:cs="Times New Roman"/>
      <w:b/>
      <w:rtl w:val="0"/>
      <w:cs w:val="0"/>
    </w:rPr>
  </w:style>
  <w:style w:type="paragraph" w:styleId="Header">
    <w:name w:val="header"/>
    <w:basedOn w:val="Normal"/>
    <w:link w:val="HlavikaChar"/>
    <w:uiPriority w:val="99"/>
    <w:rsid w:val="00F7054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A73555"/>
    <w:pPr>
      <w:spacing w:before="150" w:after="150"/>
      <w:ind w:left="675" w:right="525"/>
      <w:jc w:val="left"/>
    </w:pPr>
    <w:rPr>
      <w:rFonts w:ascii="Times New Roman" w:hAnsi="Times New Roman" w:cs="Times New Roman"/>
      <w:sz w:val="19"/>
      <w:szCs w:val="19"/>
    </w:rPr>
  </w:style>
  <w:style w:type="paragraph" w:styleId="ListParagraph">
    <w:name w:val="List Paragraph"/>
    <w:basedOn w:val="Normal"/>
    <w:uiPriority w:val="99"/>
    <w:qFormat/>
    <w:rsid w:val="007228E1"/>
    <w:pPr>
      <w:widowControl w:val="0"/>
      <w:adjustRightInd w:val="0"/>
      <w:ind w:left="720"/>
      <w:contextualSpacing/>
      <w:jc w:val="left"/>
    </w:pPr>
    <w:rPr>
      <w:rFonts w:ascii="Times New Roman" w:hAnsi="Times New Roman" w:cs="Times New Roman"/>
    </w:rPr>
  </w:style>
  <w:style w:type="character" w:customStyle="1" w:styleId="PlaceholderText1">
    <w:name w:val="Placeholder Text1"/>
    <w:uiPriority w:val="99"/>
    <w:semiHidden/>
    <w:rsid w:val="005667DE"/>
    <w:rPr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46493C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46493C"/>
    <w:rPr>
      <w:rFonts w:ascii="Arial" w:hAnsi="Arial" w:cs="Arial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46493C"/>
    <w:rPr>
      <w:rFonts w:cs="Times New Roman"/>
      <w:vertAlign w:val="superscript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F01F9B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FC6F4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FC6F4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878</Words>
  <Characters>5008</Characters>
  <Application>Microsoft Office Word</Application>
  <DocSecurity>0</DocSecurity>
  <Lines>0</Lines>
  <Paragraphs>0</Paragraphs>
  <ScaleCrop>false</ScaleCrop>
  <Company/>
  <LinksUpToDate>false</LinksUpToDate>
  <CharactersWithSpaces>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Zamecnikova Petra</dc:creator>
  <cp:lastModifiedBy>Cirakova Lucia</cp:lastModifiedBy>
  <cp:revision>2</cp:revision>
  <cp:lastPrinted>2015-08-19T16:34:00Z</cp:lastPrinted>
  <dcterms:created xsi:type="dcterms:W3CDTF">2015-08-27T10:56:00Z</dcterms:created>
  <dcterms:modified xsi:type="dcterms:W3CDTF">2015-08-27T10:56:00Z</dcterms:modified>
</cp:coreProperties>
</file>