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82673" w:rsidRPr="00C06B3A" w:rsidP="00D82673">
      <w:pPr>
        <w:pStyle w:val="Heading1"/>
        <w:bidi w:val="0"/>
        <w:spacing w:before="0" w:after="0"/>
        <w:jc w:val="center"/>
        <w:rPr>
          <w:rFonts w:ascii="Times New Roman" w:hAnsi="Times New Roman" w:cs="Times New Roman"/>
          <w:b w:val="0"/>
          <w:bCs w:val="0"/>
          <w:sz w:val="24"/>
          <w:szCs w:val="24"/>
        </w:rPr>
      </w:pPr>
      <w:r w:rsidRPr="00C06B3A">
        <w:rPr>
          <w:rFonts w:ascii="Times New Roman" w:hAnsi="Times New Roman" w:cs="Times New Roman"/>
          <w:sz w:val="24"/>
          <w:szCs w:val="24"/>
        </w:rPr>
        <w:t>Dôvodová správa</w:t>
      </w:r>
    </w:p>
    <w:p w:rsidR="00D82673" w:rsidRPr="00C06B3A" w:rsidP="00D82673">
      <w:pPr>
        <w:pStyle w:val="List2"/>
        <w:bidi w:val="0"/>
        <w:jc w:val="center"/>
        <w:rPr>
          <w:rFonts w:ascii="Times New Roman" w:hAnsi="Times New Roman"/>
          <w:b/>
          <w:bCs/>
          <w:smallCaps/>
          <w:sz w:val="24"/>
          <w:szCs w:val="24"/>
        </w:rPr>
      </w:pPr>
    </w:p>
    <w:p w:rsidR="00D82673" w:rsidRPr="00C06B3A" w:rsidP="00D82673">
      <w:pPr>
        <w:pStyle w:val="List2"/>
        <w:bidi w:val="0"/>
        <w:jc w:val="center"/>
        <w:rPr>
          <w:rFonts w:ascii="Times New Roman" w:hAnsi="Times New Roman"/>
          <w:b/>
          <w:bCs/>
          <w:smallCaps/>
          <w:sz w:val="24"/>
          <w:szCs w:val="24"/>
        </w:rPr>
      </w:pPr>
    </w:p>
    <w:p w:rsidR="00D82673" w:rsidRPr="00C06B3A" w:rsidP="00D82673">
      <w:pPr>
        <w:pStyle w:val="List2"/>
        <w:bidi w:val="0"/>
        <w:ind w:left="0" w:firstLine="567"/>
        <w:rPr>
          <w:rFonts w:ascii="Times New Roman" w:hAnsi="Times New Roman"/>
          <w:b/>
          <w:bCs/>
          <w:sz w:val="24"/>
          <w:szCs w:val="24"/>
        </w:rPr>
      </w:pPr>
      <w:r w:rsidRPr="00C06B3A">
        <w:rPr>
          <w:rFonts w:ascii="Times New Roman" w:hAnsi="Times New Roman"/>
          <w:b/>
          <w:bCs/>
          <w:sz w:val="24"/>
          <w:szCs w:val="24"/>
        </w:rPr>
        <w:t>Všeobecná  časť</w:t>
      </w:r>
    </w:p>
    <w:p w:rsidR="00D82673" w:rsidRPr="00C06B3A" w:rsidP="00D82673">
      <w:pPr>
        <w:pStyle w:val="BodyText"/>
        <w:bidi w:val="0"/>
        <w:jc w:val="both"/>
        <w:rPr>
          <w:rFonts w:ascii="Times New Roman" w:hAnsi="Times New Roman"/>
        </w:rPr>
      </w:pPr>
      <w:r w:rsidRPr="00C06B3A">
        <w:rPr>
          <w:rFonts w:ascii="Times New Roman" w:hAnsi="Times New Roman"/>
        </w:rPr>
        <w:tab/>
      </w:r>
    </w:p>
    <w:p w:rsidR="00D82673" w:rsidRPr="00C06B3A" w:rsidP="00D82673">
      <w:pPr>
        <w:pStyle w:val="BodyText"/>
        <w:bidi w:val="0"/>
        <w:ind w:firstLine="567"/>
        <w:jc w:val="both"/>
        <w:rPr>
          <w:rFonts w:ascii="Times New Roman" w:hAnsi="Times New Roman"/>
        </w:rPr>
      </w:pPr>
      <w:r w:rsidRPr="00C06B3A">
        <w:rPr>
          <w:rFonts w:ascii="Times New Roman" w:hAnsi="Times New Roman"/>
        </w:rPr>
        <w:t xml:space="preserve"> </w:t>
      </w:r>
      <w:r>
        <w:rPr>
          <w:rFonts w:ascii="Times New Roman" w:hAnsi="Times New Roman"/>
        </w:rPr>
        <w:t xml:space="preserve">   </w:t>
      </w:r>
      <w:r w:rsidRPr="00C06B3A">
        <w:rPr>
          <w:rFonts w:ascii="Times New Roman" w:hAnsi="Times New Roman"/>
        </w:rPr>
        <w:t>Návrh zákona, ktorým sa mení a dopĺňa zákon č. 429/2002 Z. z. o burze cenných papiero</w:t>
      </w:r>
      <w:r>
        <w:rPr>
          <w:rFonts w:ascii="Times New Roman" w:hAnsi="Times New Roman"/>
        </w:rPr>
        <w:t>v</w:t>
      </w:r>
      <w:r w:rsidRPr="00C06B3A">
        <w:rPr>
          <w:rFonts w:ascii="Times New Roman" w:hAnsi="Times New Roman"/>
        </w:rPr>
        <w:t xml:space="preserve"> v znení neskorších predpisov a ktorým sa </w:t>
      </w:r>
      <w:r w:rsidRPr="00AD1E10">
        <w:rPr>
          <w:rFonts w:ascii="Times New Roman" w:hAnsi="Times New Roman"/>
        </w:rPr>
        <w:t>mení a dopĺňa zákon č. 566/2001 Z. z. o cenných papieroch a investičných službách a o zmene a doplnení niektorých zákonov (zákon o cenných papieroch)</w:t>
      </w:r>
      <w:r>
        <w:rPr>
          <w:rFonts w:ascii="Times New Roman" w:hAnsi="Times New Roman"/>
        </w:rPr>
        <w:t xml:space="preserve"> v znení neskorších predpisov </w:t>
      </w:r>
      <w:r w:rsidRPr="00C06B3A">
        <w:rPr>
          <w:rFonts w:ascii="Times New Roman" w:hAnsi="Times New Roman"/>
        </w:rPr>
        <w:t>vypracovalo Ministerstvo financií Slovenskej republiky v súlade s Plánom legislatívnych úloh vlády Slovenskej republiky na rok 2015.</w:t>
      </w:r>
    </w:p>
    <w:p w:rsidR="00D82673" w:rsidRPr="00C06B3A" w:rsidP="00D82673">
      <w:pPr>
        <w:pStyle w:val="BodyText"/>
        <w:bidi w:val="0"/>
        <w:ind w:firstLine="567"/>
        <w:jc w:val="both"/>
        <w:rPr>
          <w:rFonts w:ascii="Times New Roman" w:hAnsi="Times New Roman"/>
        </w:rPr>
      </w:pPr>
    </w:p>
    <w:p w:rsidR="00D82673" w:rsidRPr="00C06B3A" w:rsidP="00D82673">
      <w:pPr>
        <w:pStyle w:val="BodyText"/>
        <w:bidi w:val="0"/>
        <w:ind w:firstLine="567"/>
        <w:jc w:val="both"/>
        <w:rPr>
          <w:rFonts w:ascii="Times New Roman" w:hAnsi="Times New Roman"/>
        </w:rPr>
      </w:pPr>
      <w:r>
        <w:rPr>
          <w:rFonts w:ascii="Times New Roman" w:hAnsi="Times New Roman"/>
        </w:rPr>
        <w:t xml:space="preserve">    </w:t>
      </w:r>
      <w:r w:rsidRPr="00C06B3A">
        <w:rPr>
          <w:rFonts w:ascii="Times New Roman" w:hAnsi="Times New Roman"/>
        </w:rPr>
        <w:t>Cieľom navrhovaného zákona je implementovať smernicu Európskeho parlamentu a Rady 2013/50/EÚ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papierov alebo ich prijatí na obchodovanie, a smernica Komisie 2007/14/ES, ktorou sa stanovujú podrobné pravidlá implementácie určitých ustanovení smernice 2004/109/ES (ďalej len „smernica o transparentnosti“).</w:t>
      </w:r>
    </w:p>
    <w:p w:rsidR="00D82673" w:rsidRPr="00C06B3A" w:rsidP="00D82673">
      <w:pPr>
        <w:pStyle w:val="BodyText"/>
        <w:bidi w:val="0"/>
        <w:ind w:firstLine="567"/>
        <w:jc w:val="both"/>
        <w:rPr>
          <w:rFonts w:ascii="Times New Roman" w:hAnsi="Times New Roman"/>
        </w:rPr>
      </w:pPr>
    </w:p>
    <w:p w:rsidR="00D82673" w:rsidRPr="00C06B3A" w:rsidP="00D82673">
      <w:pPr>
        <w:bidi w:val="0"/>
        <w:jc w:val="both"/>
        <w:rPr>
          <w:rFonts w:ascii="Times New Roman" w:hAnsi="Times New Roman"/>
        </w:rPr>
      </w:pPr>
      <w:r w:rsidRPr="00C06B3A">
        <w:rPr>
          <w:rFonts w:ascii="Times New Roman" w:hAnsi="Times New Roman"/>
        </w:rPr>
        <w:t xml:space="preserve">             Smernica o transparentnosti je zameraná na zabezpečenie transparentnosti hlavných ekonomických akvizícií v rámci spoločností, dôvery investorov a zvýšeného zamerania na dlhodobé výsledky, prispieva teda k všeobecnému cieľu Európskej komisie posilniť finančnú stabilitu. Navyše zlepšenie prístupu k regulovaným informáciám na úrovni Európskej únie je zamerané na zvýšenie funkčnej integrácie európskych trhov s cennými papiermi a na poistenie lepšieho cezhraničného zviditeľnenia malých a stredných  kótovaných spoločností. Zavádzajú sa takisto minimálne kritériá na prístup k regulovaným informáciám a ich archivovanie.</w:t>
      </w:r>
    </w:p>
    <w:p w:rsidR="00D82673" w:rsidRPr="00C06B3A" w:rsidP="00D82673">
      <w:pPr>
        <w:pStyle w:val="BodyText"/>
        <w:bidi w:val="0"/>
        <w:jc w:val="both"/>
        <w:rPr>
          <w:rFonts w:ascii="Times New Roman" w:hAnsi="Times New Roman"/>
        </w:rPr>
      </w:pPr>
    </w:p>
    <w:p w:rsidR="00D82673" w:rsidRPr="00C06B3A" w:rsidP="00D82673">
      <w:pPr>
        <w:pStyle w:val="BodyText"/>
        <w:overflowPunct w:val="0"/>
        <w:autoSpaceDE w:val="0"/>
        <w:autoSpaceDN w:val="0"/>
        <w:bidi w:val="0"/>
        <w:adjustRightInd w:val="0"/>
        <w:jc w:val="both"/>
        <w:textAlignment w:val="baseline"/>
        <w:rPr>
          <w:rFonts w:ascii="Times New Roman" w:hAnsi="Times New Roman"/>
        </w:rPr>
      </w:pPr>
      <w:r w:rsidRPr="00C06B3A">
        <w:rPr>
          <w:rFonts w:ascii="Times New Roman" w:hAnsi="Times New Roman"/>
        </w:rPr>
        <w:t xml:space="preserve">             </w:t>
      </w:r>
      <w:r>
        <w:rPr>
          <w:rFonts w:ascii="Times New Roman" w:hAnsi="Times New Roman"/>
        </w:rPr>
        <w:t xml:space="preserve"> </w:t>
      </w:r>
      <w:r w:rsidRPr="00C06B3A">
        <w:rPr>
          <w:rFonts w:ascii="Times New Roman" w:hAnsi="Times New Roman"/>
        </w:rPr>
        <w:t>Predkladaný zákon je v súlade s Ústavou Slovenskej republiky, zákonmi Slovenskej republiky, medzinárodnými zmluvami a inými medzinárodnými dokumentmi, ktorými je Slovenská republika vi</w:t>
      </w:r>
      <w:r>
        <w:rPr>
          <w:rFonts w:ascii="Times New Roman" w:hAnsi="Times New Roman"/>
        </w:rPr>
        <w:t>azaná, ako aj s právom Európskej únie vypracovaný formou doložky zlučiteľnosti a tabuľky zhody tohto návrhu zákona s právom Európskej únie.</w:t>
      </w:r>
    </w:p>
    <w:p w:rsidR="00D82673" w:rsidRPr="00C06B3A" w:rsidP="00D82673">
      <w:pPr>
        <w:pStyle w:val="BodyText"/>
        <w:overflowPunct w:val="0"/>
        <w:autoSpaceDE w:val="0"/>
        <w:autoSpaceDN w:val="0"/>
        <w:bidi w:val="0"/>
        <w:adjustRightInd w:val="0"/>
        <w:jc w:val="both"/>
        <w:textAlignment w:val="baseline"/>
        <w:rPr>
          <w:rFonts w:ascii="Times New Roman" w:hAnsi="Times New Roman"/>
        </w:rPr>
      </w:pPr>
    </w:p>
    <w:p w:rsidR="00D82673" w:rsidRPr="00C06B3A" w:rsidP="00D82673">
      <w:pPr>
        <w:pStyle w:val="BodyText"/>
        <w:overflowPunct w:val="0"/>
        <w:autoSpaceDE w:val="0"/>
        <w:autoSpaceDN w:val="0"/>
        <w:bidi w:val="0"/>
        <w:adjustRightInd w:val="0"/>
        <w:jc w:val="both"/>
        <w:textAlignment w:val="baseline"/>
        <w:rPr>
          <w:rFonts w:ascii="Times New Roman" w:hAnsi="Times New Roman"/>
        </w:rPr>
      </w:pPr>
      <w:r w:rsidRPr="00C06B3A">
        <w:rPr>
          <w:rFonts w:ascii="Times New Roman" w:hAnsi="Times New Roman"/>
        </w:rPr>
        <w:t xml:space="preserve">             </w:t>
      </w:r>
      <w:r>
        <w:rPr>
          <w:rFonts w:ascii="Times New Roman" w:hAnsi="Times New Roman"/>
        </w:rPr>
        <w:t xml:space="preserve"> </w:t>
      </w:r>
      <w:r w:rsidRPr="00C06B3A">
        <w:rPr>
          <w:rFonts w:ascii="Times New Roman" w:hAnsi="Times New Roman"/>
        </w:rPr>
        <w:t xml:space="preserve">Prijatie zákona a jeho aplikácia nebude mať vplyvy na rozpočet verejnej správy, na hospodárenie obyvateľstva, na sociálnu exklúziu, rovnosť príležitostí a rodovú rovnosť, na zamestnanosť, na životné prostredie, na podnikateľské prostredie a na informatizáciu spoločnosti. </w:t>
      </w:r>
    </w:p>
    <w:p w:rsidR="00D82673" w:rsidRPr="00C06B3A" w:rsidP="00D82673">
      <w:pPr>
        <w:tabs>
          <w:tab w:val="left" w:pos="720"/>
        </w:tabs>
        <w:bidi w:val="0"/>
        <w:jc w:val="both"/>
        <w:rPr>
          <w:rFonts w:ascii="Times New Roman" w:hAnsi="Times New Roman"/>
        </w:rPr>
      </w:pPr>
      <w:r w:rsidRPr="00C06B3A">
        <w:rPr>
          <w:rFonts w:ascii="Times New Roman" w:hAnsi="Times New Roman"/>
        </w:rPr>
        <w:t xml:space="preserve">            </w:t>
      </w:r>
    </w:p>
    <w:p w:rsidR="00D82673" w:rsidP="00D82673">
      <w:pPr>
        <w:pStyle w:val="BodyText"/>
        <w:overflowPunct w:val="0"/>
        <w:autoSpaceDE w:val="0"/>
        <w:autoSpaceDN w:val="0"/>
        <w:bidi w:val="0"/>
        <w:adjustRightInd w:val="0"/>
        <w:jc w:val="both"/>
        <w:textAlignment w:val="baseline"/>
        <w:rPr>
          <w:rFonts w:ascii="Times New Roman" w:hAnsi="Times New Roman"/>
        </w:rPr>
      </w:pPr>
    </w:p>
    <w:p w:rsidR="00FC57A6" w:rsidP="00D82673">
      <w:pPr>
        <w:pStyle w:val="BodyText"/>
        <w:overflowPunct w:val="0"/>
        <w:autoSpaceDE w:val="0"/>
        <w:autoSpaceDN w:val="0"/>
        <w:bidi w:val="0"/>
        <w:adjustRightInd w:val="0"/>
        <w:jc w:val="both"/>
        <w:textAlignment w:val="baseline"/>
        <w:rPr>
          <w:rFonts w:ascii="Times New Roman" w:hAnsi="Times New Roman"/>
        </w:rPr>
      </w:pPr>
    </w:p>
    <w:p w:rsidR="00FC57A6" w:rsidP="00D82673">
      <w:pPr>
        <w:pStyle w:val="BodyText"/>
        <w:overflowPunct w:val="0"/>
        <w:autoSpaceDE w:val="0"/>
        <w:autoSpaceDN w:val="0"/>
        <w:bidi w:val="0"/>
        <w:adjustRightInd w:val="0"/>
        <w:jc w:val="both"/>
        <w:textAlignment w:val="baseline"/>
        <w:rPr>
          <w:rFonts w:ascii="Times New Roman" w:hAnsi="Times New Roman"/>
        </w:rPr>
      </w:pPr>
    </w:p>
    <w:p w:rsidR="00FC57A6" w:rsidP="00D82673">
      <w:pPr>
        <w:pStyle w:val="BodyText"/>
        <w:overflowPunct w:val="0"/>
        <w:autoSpaceDE w:val="0"/>
        <w:autoSpaceDN w:val="0"/>
        <w:bidi w:val="0"/>
        <w:adjustRightInd w:val="0"/>
        <w:jc w:val="both"/>
        <w:textAlignment w:val="baseline"/>
        <w:rPr>
          <w:rFonts w:ascii="Times New Roman" w:hAnsi="Times New Roman"/>
        </w:rPr>
      </w:pPr>
    </w:p>
    <w:p w:rsidR="00FC57A6" w:rsidP="00D82673">
      <w:pPr>
        <w:pStyle w:val="BodyText"/>
        <w:overflowPunct w:val="0"/>
        <w:autoSpaceDE w:val="0"/>
        <w:autoSpaceDN w:val="0"/>
        <w:bidi w:val="0"/>
        <w:adjustRightInd w:val="0"/>
        <w:jc w:val="both"/>
        <w:textAlignment w:val="baseline"/>
        <w:rPr>
          <w:rFonts w:ascii="Times New Roman" w:hAnsi="Times New Roman"/>
        </w:rPr>
      </w:pPr>
    </w:p>
    <w:p w:rsidR="00FC57A6" w:rsidP="00D82673">
      <w:pPr>
        <w:pStyle w:val="BodyText"/>
        <w:overflowPunct w:val="0"/>
        <w:autoSpaceDE w:val="0"/>
        <w:autoSpaceDN w:val="0"/>
        <w:bidi w:val="0"/>
        <w:adjustRightInd w:val="0"/>
        <w:jc w:val="both"/>
        <w:textAlignment w:val="baseline"/>
        <w:rPr>
          <w:rFonts w:ascii="Times New Roman" w:hAnsi="Times New Roman"/>
        </w:rPr>
      </w:pPr>
    </w:p>
    <w:p w:rsidR="00FC57A6" w:rsidP="00D82673">
      <w:pPr>
        <w:pStyle w:val="BodyText"/>
        <w:overflowPunct w:val="0"/>
        <w:autoSpaceDE w:val="0"/>
        <w:autoSpaceDN w:val="0"/>
        <w:bidi w:val="0"/>
        <w:adjustRightInd w:val="0"/>
        <w:jc w:val="both"/>
        <w:textAlignment w:val="baseline"/>
        <w:rPr>
          <w:rFonts w:ascii="Times New Roman" w:hAnsi="Times New Roman"/>
        </w:rPr>
      </w:pPr>
    </w:p>
    <w:p w:rsidR="00FC57A6" w:rsidP="00D82673">
      <w:pPr>
        <w:pStyle w:val="BodyText"/>
        <w:overflowPunct w:val="0"/>
        <w:autoSpaceDE w:val="0"/>
        <w:autoSpaceDN w:val="0"/>
        <w:bidi w:val="0"/>
        <w:adjustRightInd w:val="0"/>
        <w:jc w:val="both"/>
        <w:textAlignment w:val="baseline"/>
        <w:rPr>
          <w:rFonts w:ascii="Times New Roman" w:hAnsi="Times New Roman"/>
        </w:rPr>
      </w:pPr>
    </w:p>
    <w:p w:rsidR="00263176" w:rsidRPr="00C06B3A" w:rsidP="00D82673">
      <w:pPr>
        <w:pStyle w:val="BodyText"/>
        <w:overflowPunct w:val="0"/>
        <w:autoSpaceDE w:val="0"/>
        <w:autoSpaceDN w:val="0"/>
        <w:bidi w:val="0"/>
        <w:adjustRightInd w:val="0"/>
        <w:jc w:val="both"/>
        <w:textAlignment w:val="baseline"/>
        <w:rPr>
          <w:rFonts w:ascii="Times New Roman" w:hAnsi="Times New Roman"/>
        </w:rPr>
      </w:pPr>
    </w:p>
    <w:p w:rsidR="00D82673" w:rsidRPr="00C06B3A" w:rsidP="00D82673">
      <w:pPr>
        <w:bidi w:val="0"/>
        <w:rPr>
          <w:rFonts w:ascii="Times New Roman" w:hAnsi="Times New Roman"/>
        </w:rPr>
      </w:pPr>
    </w:p>
    <w:p w:rsidR="000F15D5" w:rsidRPr="00392EE1" w:rsidP="000F15D5">
      <w:pPr>
        <w:bidi w:val="0"/>
        <w:ind w:right="-108"/>
        <w:jc w:val="center"/>
        <w:rPr>
          <w:rFonts w:ascii="Times New Roman" w:hAnsi="Times New Roman"/>
        </w:rPr>
      </w:pPr>
      <w:r w:rsidRPr="00392EE1">
        <w:rPr>
          <w:rFonts w:ascii="Times New Roman" w:hAnsi="Times New Roman"/>
          <w:b/>
          <w:bCs/>
        </w:rPr>
        <w:t>Doložka vybraných vplyvov</w:t>
      </w:r>
    </w:p>
    <w:p w:rsidR="000F15D5" w:rsidRPr="00392EE1" w:rsidP="000F15D5">
      <w:pPr>
        <w:bidi w:val="0"/>
        <w:ind w:right="-108"/>
        <w:jc w:val="center"/>
        <w:rPr>
          <w:rFonts w:ascii="Times New Roman" w:hAnsi="Times New Roman"/>
        </w:rPr>
      </w:pPr>
      <w:r w:rsidRPr="00392EE1">
        <w:rPr>
          <w:rFonts w:ascii="Times New Roman" w:hAnsi="Times New Roman"/>
          <w:b/>
          <w:bCs/>
        </w:rPr>
        <w:t> </w:t>
      </w:r>
    </w:p>
    <w:p w:rsidR="000F15D5" w:rsidRPr="002732A8" w:rsidP="000F15D5">
      <w:pPr>
        <w:bidi w:val="0"/>
        <w:jc w:val="both"/>
        <w:rPr>
          <w:rFonts w:ascii="Times New Roman" w:hAnsi="Times New Roman"/>
        </w:rPr>
      </w:pPr>
      <w:r w:rsidRPr="00392EE1">
        <w:rPr>
          <w:rFonts w:ascii="Times New Roman" w:hAnsi="Times New Roman"/>
          <w:b/>
          <w:bCs/>
        </w:rPr>
        <w:t xml:space="preserve">A.1. </w:t>
        <w:tab/>
        <w:t xml:space="preserve">Názov materiálu: </w:t>
      </w:r>
      <w:r w:rsidRPr="00392EE1">
        <w:rPr>
          <w:rFonts w:ascii="Times New Roman" w:hAnsi="Times New Roman"/>
          <w:bCs/>
        </w:rPr>
        <w:t>Návrh zákona, ktorým sa mení a dopĺňa zákon č. 429/2002 Z. z. o burze cenných papiero</w:t>
      </w:r>
      <w:r>
        <w:rPr>
          <w:rFonts w:ascii="Times New Roman" w:hAnsi="Times New Roman"/>
          <w:bCs/>
        </w:rPr>
        <w:t>v</w:t>
      </w:r>
      <w:r w:rsidRPr="00392EE1">
        <w:rPr>
          <w:rFonts w:ascii="Times New Roman" w:hAnsi="Times New Roman"/>
          <w:bCs/>
        </w:rPr>
        <w:t xml:space="preserve"> v znení neskorších predpisov a ktorým sa </w:t>
      </w:r>
      <w:r w:rsidRPr="002732A8">
        <w:rPr>
          <w:rFonts w:ascii="Times New Roman" w:hAnsi="Times New Roman"/>
        </w:rPr>
        <w:t>mení a dopĺňa zákon č. 566/2001 Z. z. o cenných papieroch a investičných službách a o zmene a doplnení niektorých zákonov (zákon o cenných papieroch)</w:t>
      </w:r>
      <w:r>
        <w:rPr>
          <w:rFonts w:ascii="Times New Roman" w:hAnsi="Times New Roman"/>
        </w:rPr>
        <w:t xml:space="preserve"> v znení neskorších predpisov</w:t>
      </w:r>
    </w:p>
    <w:p w:rsidR="000F15D5" w:rsidRPr="00392EE1" w:rsidP="000F15D5">
      <w:pPr>
        <w:bidi w:val="0"/>
        <w:jc w:val="both"/>
        <w:rPr>
          <w:rFonts w:ascii="Times New Roman" w:hAnsi="Times New Roman"/>
        </w:rPr>
      </w:pPr>
      <w:r w:rsidRPr="00392EE1">
        <w:rPr>
          <w:rFonts w:ascii="Times New Roman" w:hAnsi="Times New Roman"/>
          <w:b/>
          <w:bCs/>
        </w:rPr>
        <w:t>       </w:t>
        <w:tab/>
        <w:t xml:space="preserve">Termín začatia a ukončenia PPK: </w:t>
      </w:r>
    </w:p>
    <w:p w:rsidR="000F15D5" w:rsidRPr="00392EE1" w:rsidP="000F15D5">
      <w:pPr>
        <w:bidi w:val="0"/>
        <w:rPr>
          <w:rFonts w:ascii="Times New Roman" w:hAnsi="Times New Roman"/>
        </w:rPr>
      </w:pPr>
    </w:p>
    <w:p w:rsidR="000F15D5" w:rsidRPr="00392EE1" w:rsidP="000F15D5">
      <w:pPr>
        <w:bidi w:val="0"/>
        <w:rPr>
          <w:rFonts w:ascii="Times New Roman" w:hAnsi="Times New Roman"/>
        </w:rPr>
      </w:pPr>
      <w:r w:rsidRPr="00392EE1">
        <w:rPr>
          <w:rFonts w:ascii="Times New Roman" w:hAnsi="Times New Roman"/>
          <w:b/>
          <w:bCs/>
        </w:rPr>
        <w:t>A.2. Vplyvy:</w:t>
      </w:r>
    </w:p>
    <w:p w:rsidR="000F15D5" w:rsidRPr="00392EE1" w:rsidP="000F15D5">
      <w:pPr>
        <w:bidi w:val="0"/>
        <w:rPr>
          <w:rFonts w:ascii="Times New Roman" w:hAnsi="Times New Roman"/>
        </w:rPr>
      </w:pPr>
      <w:r w:rsidRPr="00392EE1">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rPr>
                <w:rFonts w:ascii="Times New Roman" w:hAnsi="Times New Roman"/>
              </w:rPr>
            </w:pPr>
            <w:r w:rsidRPr="00392EE1">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Pozitívne</w:t>
            </w:r>
            <w:r w:rsidRPr="00392EE1">
              <w:rPr>
                <w:rFonts w:ascii="Times New Roman" w:hAnsi="Times New Roman"/>
                <w:vertAlign w:val="superscript"/>
              </w:rPr>
              <w:t>*</w:t>
            </w:r>
            <w:r w:rsidRPr="00392EE1">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Žiadne</w:t>
            </w:r>
            <w:r w:rsidRPr="00392EE1">
              <w:rPr>
                <w:rFonts w:ascii="Times New Roman" w:hAnsi="Times New Roman"/>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Negatívne</w:t>
            </w:r>
            <w:r w:rsidRPr="00392EE1">
              <w:rPr>
                <w:rFonts w:ascii="Times New Roman" w:hAnsi="Times New Roman"/>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rPr>
                <w:rFonts w:ascii="Times New Roman" w:hAnsi="Times New Roman"/>
              </w:rPr>
            </w:pPr>
            <w:r w:rsidRPr="00392EE1">
              <w:rPr>
                <w:rFonts w:ascii="Times New Roman" w:hAnsi="Times New Roman"/>
              </w:rPr>
              <w:t>1. Vplyvy na rozpočet verejnej správy</w:t>
            </w:r>
          </w:p>
          <w:p w:rsidR="000F15D5" w:rsidRPr="00392EE1" w:rsidP="00283750">
            <w:pPr>
              <w:bidi w:val="0"/>
              <w:spacing w:after="0" w:line="240" w:lineRule="auto"/>
              <w:rPr>
                <w:rFonts w:ascii="Times New Roman" w:hAnsi="Times New Roman"/>
              </w:rPr>
            </w:pPr>
            <w:r w:rsidRPr="00392EE1">
              <w:rPr>
                <w:rFonts w:ascii="Times New Roman" w:hAnsi="Times New Roman"/>
                <w:i/>
                <w:iCs/>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rPr>
                <w:rFonts w:ascii="Times New Roman" w:hAnsi="Times New Roman"/>
              </w:rPr>
            </w:pPr>
            <w:r w:rsidRPr="00392EE1">
              <w:rPr>
                <w:rFonts w:ascii="Times New Roman" w:hAnsi="Times New Roman"/>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rPr>
                <w:rFonts w:ascii="Times New Roman" w:hAnsi="Times New Roman"/>
              </w:rPr>
            </w:pPr>
            <w:r w:rsidRPr="00392EE1">
              <w:rPr>
                <w:rFonts w:ascii="Times New Roman" w:hAnsi="Times New Roman"/>
              </w:rPr>
              <w:t xml:space="preserve">3, Sociálne vplyvy </w:t>
            </w:r>
          </w:p>
          <w:p w:rsidR="000F15D5" w:rsidRPr="00392EE1" w:rsidP="00283750">
            <w:pPr>
              <w:bidi w:val="0"/>
              <w:spacing w:after="0" w:line="240" w:lineRule="auto"/>
              <w:rPr>
                <w:rFonts w:ascii="Times New Roman" w:hAnsi="Times New Roman"/>
              </w:rPr>
            </w:pPr>
            <w:r w:rsidRPr="00392EE1">
              <w:rPr>
                <w:rFonts w:ascii="Times New Roman" w:hAnsi="Times New Roman"/>
              </w:rPr>
              <w:t>– vplyvy  na hospodárenie obyvateľstva,</w:t>
            </w:r>
          </w:p>
          <w:p w:rsidR="000F15D5" w:rsidRPr="00392EE1" w:rsidP="00283750">
            <w:pPr>
              <w:bidi w:val="0"/>
              <w:spacing w:after="0" w:line="240" w:lineRule="auto"/>
              <w:rPr>
                <w:rFonts w:ascii="Times New Roman" w:hAnsi="Times New Roman"/>
              </w:rPr>
            </w:pPr>
            <w:r w:rsidRPr="00392EE1">
              <w:rPr>
                <w:rFonts w:ascii="Times New Roman" w:hAnsi="Times New Roman"/>
              </w:rPr>
              <w:t>-sociálnu exklúziu,</w:t>
            </w:r>
          </w:p>
          <w:p w:rsidR="000F15D5" w:rsidRPr="00392EE1" w:rsidP="00283750">
            <w:pPr>
              <w:bidi w:val="0"/>
              <w:spacing w:after="0" w:line="240" w:lineRule="auto"/>
              <w:rPr>
                <w:rFonts w:ascii="Times New Roman" w:hAnsi="Times New Roman"/>
              </w:rPr>
            </w:pPr>
            <w:r w:rsidRPr="00392EE1">
              <w:rPr>
                <w:rFonts w:ascii="Times New Roman" w:hAnsi="Times New Roman"/>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 x</w:t>
            </w:r>
          </w:p>
          <w:p w:rsidR="000F15D5" w:rsidRPr="00392EE1" w:rsidP="00283750">
            <w:pPr>
              <w:bidi w:val="0"/>
              <w:spacing w:after="0" w:line="240" w:lineRule="auto"/>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rPr>
                <w:rFonts w:ascii="Times New Roman" w:hAnsi="Times New Roman"/>
              </w:rPr>
            </w:pPr>
            <w:r w:rsidRPr="00392EE1">
              <w:rPr>
                <w:rFonts w:ascii="Times New Roman" w:hAnsi="Times New Roman"/>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rPr>
                <w:rFonts w:ascii="Times New Roman" w:hAnsi="Times New Roman"/>
              </w:rPr>
            </w:pPr>
            <w:r w:rsidRPr="00392EE1">
              <w:rPr>
                <w:rFonts w:ascii="Times New Roman" w:hAnsi="Times New Roman"/>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0F15D5" w:rsidRPr="00392EE1" w:rsidP="00283750">
            <w:pPr>
              <w:bidi w:val="0"/>
              <w:spacing w:after="0" w:line="240" w:lineRule="auto"/>
              <w:jc w:val="center"/>
              <w:rPr>
                <w:rFonts w:ascii="Times New Roman" w:hAnsi="Times New Roman"/>
              </w:rPr>
            </w:pPr>
            <w:r w:rsidRPr="00392EE1">
              <w:rPr>
                <w:rFonts w:ascii="Times New Roman" w:hAnsi="Times New Roman"/>
              </w:rPr>
              <w:t> </w:t>
            </w:r>
          </w:p>
        </w:tc>
      </w:tr>
    </w:tbl>
    <w:p w:rsidR="000F15D5" w:rsidRPr="00392EE1" w:rsidP="000F15D5">
      <w:pPr>
        <w:bidi w:val="0"/>
        <w:jc w:val="both"/>
        <w:rPr>
          <w:rFonts w:ascii="Times New Roman" w:hAnsi="Times New Roman"/>
          <w:b/>
          <w:bCs/>
        </w:rPr>
      </w:pPr>
    </w:p>
    <w:p w:rsidR="000F15D5" w:rsidRPr="00392EE1" w:rsidP="000F15D5">
      <w:pPr>
        <w:bidi w:val="0"/>
        <w:jc w:val="both"/>
        <w:rPr>
          <w:rFonts w:ascii="Times New Roman" w:hAnsi="Times New Roman"/>
        </w:rPr>
      </w:pPr>
      <w:r w:rsidRPr="00392EE1">
        <w:rPr>
          <w:rFonts w:ascii="Times New Roman" w:hAnsi="Times New Roman"/>
          <w:b/>
          <w:bCs/>
        </w:rPr>
        <w:t>*</w:t>
      </w:r>
      <w:r w:rsidRPr="00392EE1">
        <w:rPr>
          <w:rFonts w:ascii="Times New Roman" w:hAnsi="Times New Roman"/>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0F15D5" w:rsidRPr="00392EE1" w:rsidP="000F15D5">
      <w:pPr>
        <w:bidi w:val="0"/>
        <w:jc w:val="both"/>
        <w:rPr>
          <w:rFonts w:ascii="Times New Roman" w:hAnsi="Times New Roman"/>
        </w:rPr>
      </w:pPr>
      <w:r w:rsidRPr="00392EE1">
        <w:rPr>
          <w:rFonts w:ascii="Times New Roman" w:hAnsi="Times New Roman"/>
        </w:rPr>
        <w:t> </w:t>
      </w:r>
      <w:r w:rsidRPr="00392EE1">
        <w:rPr>
          <w:rFonts w:ascii="Times New Roman" w:hAnsi="Times New Roman"/>
          <w:b/>
          <w:bCs/>
        </w:rPr>
        <w:t> </w:t>
      </w:r>
    </w:p>
    <w:p w:rsidR="000F15D5" w:rsidRPr="00392EE1" w:rsidP="000F15D5">
      <w:pPr>
        <w:bidi w:val="0"/>
        <w:jc w:val="both"/>
        <w:rPr>
          <w:rFonts w:ascii="Times New Roman" w:hAnsi="Times New Roman"/>
          <w:b/>
          <w:bCs/>
        </w:rPr>
      </w:pPr>
      <w:r w:rsidRPr="00392EE1">
        <w:rPr>
          <w:rFonts w:ascii="Times New Roman" w:hAnsi="Times New Roman"/>
          <w:b/>
          <w:bCs/>
        </w:rPr>
        <w:t>A.3. Poznámky</w:t>
      </w:r>
    </w:p>
    <w:p w:rsidR="000F15D5" w:rsidRPr="00392EE1" w:rsidP="000F15D5">
      <w:pPr>
        <w:bidi w:val="0"/>
        <w:jc w:val="both"/>
        <w:rPr>
          <w:rFonts w:ascii="Times New Roman" w:hAnsi="Times New Roman"/>
          <w:b/>
          <w:bCs/>
        </w:rPr>
      </w:pPr>
    </w:p>
    <w:p w:rsidR="000F15D5" w:rsidRPr="00392EE1" w:rsidP="000F15D5">
      <w:pPr>
        <w:bidi w:val="0"/>
        <w:jc w:val="both"/>
        <w:rPr>
          <w:rFonts w:ascii="Times New Roman" w:hAnsi="Times New Roman"/>
        </w:rPr>
      </w:pPr>
    </w:p>
    <w:p w:rsidR="000F15D5" w:rsidRPr="00392EE1" w:rsidP="000F15D5">
      <w:pPr>
        <w:bidi w:val="0"/>
        <w:jc w:val="both"/>
        <w:rPr>
          <w:rFonts w:ascii="Times New Roman" w:hAnsi="Times New Roman"/>
        </w:rPr>
      </w:pPr>
      <w:r w:rsidRPr="00392EE1">
        <w:rPr>
          <w:rFonts w:ascii="Times New Roman" w:hAnsi="Times New Roman"/>
        </w:rPr>
        <w:t> </w:t>
      </w:r>
      <w:r w:rsidRPr="00392EE1">
        <w:rPr>
          <w:rFonts w:ascii="Times New Roman" w:hAnsi="Times New Roman"/>
          <w:b/>
          <w:bCs/>
        </w:rPr>
        <w:t>A.4. Alternatívne riešenia</w:t>
      </w:r>
    </w:p>
    <w:p w:rsidR="000F15D5" w:rsidRPr="00392EE1" w:rsidP="000F15D5">
      <w:pPr>
        <w:bidi w:val="0"/>
        <w:ind w:left="1416"/>
        <w:jc w:val="both"/>
        <w:rPr>
          <w:rFonts w:ascii="Times New Roman" w:hAnsi="Times New Roman"/>
        </w:rPr>
      </w:pPr>
      <w:r w:rsidRPr="00392EE1">
        <w:rPr>
          <w:rFonts w:ascii="Times New Roman" w:hAnsi="Times New Roman"/>
        </w:rPr>
        <w:t> </w:t>
      </w:r>
    </w:p>
    <w:p w:rsidR="000F15D5" w:rsidRPr="00392EE1" w:rsidP="000F15D5">
      <w:pPr>
        <w:bidi w:val="0"/>
        <w:jc w:val="both"/>
        <w:rPr>
          <w:rFonts w:ascii="Times New Roman" w:hAnsi="Times New Roman"/>
          <w:bCs/>
        </w:rPr>
      </w:pPr>
      <w:r w:rsidRPr="00392EE1">
        <w:rPr>
          <w:rFonts w:ascii="Times New Roman" w:hAnsi="Times New Roman"/>
          <w:bCs/>
        </w:rPr>
        <w:t>Bezpredmetné.</w:t>
      </w:r>
    </w:p>
    <w:p w:rsidR="000F15D5" w:rsidRPr="00392EE1" w:rsidP="000F15D5">
      <w:pPr>
        <w:bidi w:val="0"/>
        <w:jc w:val="both"/>
        <w:rPr>
          <w:rFonts w:ascii="Times New Roman" w:hAnsi="Times New Roman"/>
        </w:rPr>
      </w:pPr>
      <w:r w:rsidRPr="00392EE1">
        <w:rPr>
          <w:rFonts w:ascii="Times New Roman" w:hAnsi="Times New Roman"/>
          <w:b/>
          <w:bCs/>
        </w:rPr>
        <w:t> </w:t>
      </w:r>
    </w:p>
    <w:p w:rsidR="000F15D5" w:rsidRPr="00392EE1" w:rsidP="000F15D5">
      <w:pPr>
        <w:bidi w:val="0"/>
        <w:rPr>
          <w:rFonts w:ascii="Times New Roman" w:hAnsi="Times New Roman"/>
        </w:rPr>
      </w:pPr>
      <w:r w:rsidRPr="00392EE1">
        <w:rPr>
          <w:rFonts w:ascii="Times New Roman" w:hAnsi="Times New Roman"/>
          <w:b/>
          <w:bCs/>
        </w:rPr>
        <w:t xml:space="preserve">A.5. Stanovisko gestorov </w:t>
      </w:r>
    </w:p>
    <w:p w:rsidR="00D82673" w:rsidRPr="00C06B3A" w:rsidP="00D82673">
      <w:pPr>
        <w:pStyle w:val="BodyText"/>
        <w:widowControl/>
        <w:bidi w:val="0"/>
        <w:jc w:val="both"/>
        <w:rPr>
          <w:rFonts w:ascii="Times New Roman" w:hAnsi="Times New Roman"/>
          <w:color w:val="auto"/>
        </w:rPr>
      </w:pP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0F15D5" w:rsidRPr="000F15D5" w:rsidP="000F15D5">
      <w:pPr>
        <w:bidi w:val="0"/>
        <w:jc w:val="center"/>
        <w:rPr>
          <w:rFonts w:ascii="Times New Roman" w:hAnsi="Times New Roman"/>
          <w:b/>
          <w:bCs/>
        </w:rPr>
      </w:pPr>
      <w:r w:rsidRPr="000F15D5">
        <w:rPr>
          <w:rFonts w:ascii="Times New Roman" w:hAnsi="Times New Roman"/>
          <w:b/>
          <w:bCs/>
        </w:rPr>
        <w:t>DOLOŽKA ZLUČITEĽNOSTI</w:t>
      </w:r>
    </w:p>
    <w:p w:rsidR="000F15D5" w:rsidRPr="000F15D5" w:rsidP="000F15D5">
      <w:pPr>
        <w:widowControl w:val="0"/>
        <w:pBdr>
          <w:bottom w:val="single" w:sz="12" w:space="1" w:color="auto"/>
        </w:pBdr>
        <w:bidi w:val="0"/>
        <w:jc w:val="center"/>
        <w:rPr>
          <w:rFonts w:ascii="Times New Roman" w:hAnsi="Times New Roman"/>
          <w:b/>
          <w:bCs/>
        </w:rPr>
      </w:pPr>
      <w:r w:rsidRPr="000F15D5">
        <w:rPr>
          <w:rFonts w:ascii="Times New Roman" w:hAnsi="Times New Roman"/>
          <w:b/>
          <w:bCs/>
        </w:rPr>
        <w:t>návrhu zákona, ktorým sa mení a dopĺňa 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 s právom Európskej únie</w:t>
      </w:r>
    </w:p>
    <w:p w:rsidR="000F15D5" w:rsidRPr="000F15D5" w:rsidP="000F15D5">
      <w:pPr>
        <w:widowControl w:val="0"/>
        <w:bidi w:val="0"/>
        <w:jc w:val="center"/>
        <w:rPr>
          <w:rFonts w:ascii="Times New Roman" w:hAnsi="Times New Roman"/>
          <w:b/>
          <w:bCs/>
        </w:rPr>
      </w:pPr>
    </w:p>
    <w:p w:rsidR="000F15D5" w:rsidRPr="000F15D5" w:rsidP="000F15D5">
      <w:pPr>
        <w:bidi w:val="0"/>
        <w:rPr>
          <w:rFonts w:ascii="Times New Roman" w:hAnsi="Times New Roman"/>
          <w:b/>
          <w:bCs/>
        </w:rPr>
      </w:pPr>
    </w:p>
    <w:p w:rsidR="000F15D5" w:rsidRPr="000F15D5" w:rsidP="000F15D5">
      <w:pPr>
        <w:numPr>
          <w:numId w:val="1"/>
        </w:numPr>
        <w:bidi w:val="0"/>
        <w:spacing w:after="120"/>
        <w:jc w:val="both"/>
        <w:rPr>
          <w:rFonts w:ascii="Times New Roman" w:hAnsi="Times New Roman"/>
        </w:rPr>
      </w:pPr>
      <w:r w:rsidRPr="000F15D5">
        <w:rPr>
          <w:rFonts w:ascii="Times New Roman" w:hAnsi="Times New Roman"/>
          <w:b/>
          <w:bCs/>
        </w:rPr>
        <w:t>Predkladateľ zákona:</w:t>
      </w:r>
    </w:p>
    <w:p w:rsidR="000F15D5" w:rsidRPr="000F15D5" w:rsidP="000F15D5">
      <w:pPr>
        <w:bidi w:val="0"/>
        <w:ind w:firstLine="425"/>
        <w:jc w:val="both"/>
        <w:rPr>
          <w:rFonts w:ascii="Times New Roman" w:hAnsi="Times New Roman"/>
        </w:rPr>
      </w:pPr>
      <w:r w:rsidRPr="000F15D5">
        <w:rPr>
          <w:rFonts w:ascii="Times New Roman" w:hAnsi="Times New Roman"/>
        </w:rPr>
        <w:t xml:space="preserve">Vláda Slovenskej republiky. </w:t>
      </w:r>
    </w:p>
    <w:p w:rsidR="000F15D5" w:rsidRPr="000F15D5" w:rsidP="000F15D5">
      <w:pPr>
        <w:bidi w:val="0"/>
        <w:jc w:val="both"/>
        <w:rPr>
          <w:rFonts w:ascii="Times New Roman" w:hAnsi="Times New Roman"/>
          <w:b/>
          <w:bCs/>
        </w:rPr>
      </w:pPr>
    </w:p>
    <w:p w:rsidR="000F15D5" w:rsidRPr="000F15D5" w:rsidP="000F15D5">
      <w:pPr>
        <w:numPr>
          <w:numId w:val="1"/>
        </w:numPr>
        <w:bidi w:val="0"/>
        <w:spacing w:after="120"/>
        <w:jc w:val="both"/>
        <w:rPr>
          <w:rFonts w:ascii="Times New Roman" w:hAnsi="Times New Roman"/>
          <w:b/>
          <w:bCs/>
        </w:rPr>
      </w:pPr>
      <w:r w:rsidRPr="000F15D5">
        <w:rPr>
          <w:rFonts w:ascii="Times New Roman" w:hAnsi="Times New Roman"/>
          <w:b/>
          <w:bCs/>
        </w:rPr>
        <w:t>Názov návrhu zákona:</w:t>
      </w:r>
    </w:p>
    <w:p w:rsidR="000F15D5" w:rsidRPr="000F15D5" w:rsidP="000F15D5">
      <w:pPr>
        <w:widowControl w:val="0"/>
        <w:bidi w:val="0"/>
        <w:ind w:left="426"/>
        <w:jc w:val="both"/>
        <w:rPr>
          <w:rFonts w:ascii="Times New Roman" w:hAnsi="Times New Roman"/>
          <w:bCs/>
        </w:rPr>
      </w:pPr>
      <w:r w:rsidRPr="000F15D5">
        <w:rPr>
          <w:rFonts w:ascii="Times New Roman" w:hAnsi="Times New Roman"/>
        </w:rPr>
        <w:t>Návrh zákona,</w:t>
      </w:r>
      <w:r w:rsidRPr="000F15D5">
        <w:rPr>
          <w:rFonts w:ascii="Times New Roman" w:hAnsi="Times New Roman"/>
          <w:bCs/>
        </w:rPr>
        <w:t xml:space="preserve"> ktorým sa mení a dopĺňa 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w:t>
      </w:r>
    </w:p>
    <w:p w:rsidR="000F15D5" w:rsidRPr="000F15D5" w:rsidP="000F15D5">
      <w:pPr>
        <w:bidi w:val="0"/>
        <w:jc w:val="both"/>
        <w:rPr>
          <w:rFonts w:ascii="Times New Roman" w:hAnsi="Times New Roman"/>
          <w:b/>
          <w:bCs/>
        </w:rPr>
      </w:pPr>
    </w:p>
    <w:p w:rsidR="000F15D5" w:rsidRPr="000F15D5" w:rsidP="000F15D5">
      <w:pPr>
        <w:numPr>
          <w:numId w:val="1"/>
        </w:numPr>
        <w:bidi w:val="0"/>
        <w:spacing w:after="120"/>
        <w:jc w:val="both"/>
        <w:rPr>
          <w:rFonts w:ascii="Times New Roman" w:hAnsi="Times New Roman"/>
          <w:b/>
          <w:bCs/>
        </w:rPr>
      </w:pPr>
      <w:r w:rsidRPr="000F15D5">
        <w:rPr>
          <w:rFonts w:ascii="Times New Roman" w:hAnsi="Times New Roman"/>
          <w:b/>
          <w:bCs/>
        </w:rPr>
        <w:t xml:space="preserve">Problematika návrhu zákona: </w:t>
      </w:r>
    </w:p>
    <w:p w:rsidR="000F15D5" w:rsidRPr="000F15D5" w:rsidP="000F15D5">
      <w:pPr>
        <w:pStyle w:val="BodyText"/>
        <w:widowControl/>
        <w:numPr>
          <w:ilvl w:val="1"/>
          <w:numId w:val="1"/>
        </w:numPr>
        <w:bidi w:val="0"/>
        <w:spacing w:after="120"/>
        <w:rPr>
          <w:rFonts w:ascii="Times New Roman" w:hAnsi="Times New Roman"/>
        </w:rPr>
      </w:pPr>
      <w:r w:rsidRPr="000F15D5">
        <w:rPr>
          <w:rFonts w:ascii="Times New Roman" w:hAnsi="Times New Roman"/>
        </w:rPr>
        <w:t>je upravená v práve Európskej únie:</w:t>
      </w:r>
    </w:p>
    <w:p w:rsidR="000F15D5" w:rsidRPr="000F15D5" w:rsidP="000F15D5">
      <w:pPr>
        <w:pStyle w:val="BodyText"/>
        <w:bidi w:val="0"/>
        <w:ind w:left="896" w:hanging="357"/>
        <w:rPr>
          <w:rFonts w:ascii="Times New Roman" w:hAnsi="Times New Roman"/>
          <w:b/>
          <w:bCs/>
          <w:iCs/>
        </w:rPr>
      </w:pPr>
      <w:r w:rsidRPr="000F15D5">
        <w:rPr>
          <w:rFonts w:ascii="Times New Roman" w:hAnsi="Times New Roman"/>
          <w:b/>
          <w:bCs/>
          <w:iCs/>
        </w:rPr>
        <w:t>Primárne právo:</w:t>
      </w:r>
    </w:p>
    <w:p w:rsidR="000F15D5" w:rsidRPr="000F15D5" w:rsidP="000F15D5">
      <w:pPr>
        <w:pStyle w:val="BodyText"/>
        <w:widowControl/>
        <w:numPr>
          <w:numId w:val="8"/>
        </w:numPr>
        <w:tabs>
          <w:tab w:val="clear" w:pos="900"/>
          <w:tab w:val="num" w:pos="993"/>
        </w:tabs>
        <w:bidi w:val="0"/>
        <w:spacing w:after="120"/>
        <w:ind w:left="964" w:hanging="454"/>
        <w:rPr>
          <w:rFonts w:ascii="Times New Roman" w:hAnsi="Times New Roman"/>
        </w:rPr>
      </w:pPr>
      <w:r w:rsidRPr="000F15D5">
        <w:rPr>
          <w:rFonts w:ascii="Times New Roman" w:hAnsi="Times New Roman"/>
        </w:rPr>
        <w:t xml:space="preserve">čl. 56 až 66 Zmluvy o fungovaní Európskej únie, </w:t>
      </w:r>
    </w:p>
    <w:p w:rsidR="000F15D5" w:rsidRPr="000F15D5" w:rsidP="000F15D5">
      <w:pPr>
        <w:pStyle w:val="BodyTextIndent"/>
        <w:bidi w:val="0"/>
        <w:spacing w:after="240"/>
        <w:ind w:left="567" w:hanging="28"/>
        <w:rPr>
          <w:rFonts w:ascii="Times New Roman" w:hAnsi="Times New Roman"/>
        </w:rPr>
      </w:pPr>
      <w:r w:rsidRPr="000F15D5">
        <w:rPr>
          <w:rFonts w:ascii="Times New Roman" w:hAnsi="Times New Roman"/>
          <w:b/>
          <w:bCs/>
          <w:iCs/>
        </w:rPr>
        <w:t>Sekundárne právo</w:t>
      </w:r>
      <w:r w:rsidRPr="000F15D5">
        <w:rPr>
          <w:rFonts w:ascii="Times New Roman" w:hAnsi="Times New Roman"/>
          <w:b/>
          <w:bCs/>
          <w:i/>
          <w:iCs/>
        </w:rPr>
        <w:t xml:space="preserve"> </w:t>
      </w:r>
      <w:r w:rsidRPr="000F15D5">
        <w:rPr>
          <w:rFonts w:ascii="Times New Roman" w:hAnsi="Times New Roman"/>
        </w:rPr>
        <w:t>(prijaté po nadobudnutí platnosti Lisabonskej zmluvy, ktorou sa mení a dopĺňa Zmluva o Európskej únii a Zmluva o založení Európskeho spoločenstva  - po 30. novembri 2009):</w:t>
      </w:r>
    </w:p>
    <w:p w:rsidR="000F15D5" w:rsidRPr="000F15D5" w:rsidP="000F15D5">
      <w:pPr>
        <w:numPr>
          <w:numId w:val="10"/>
        </w:numPr>
        <w:autoSpaceDE w:val="0"/>
        <w:autoSpaceDN w:val="0"/>
        <w:bidi w:val="0"/>
        <w:adjustRightInd w:val="0"/>
        <w:spacing w:before="120" w:after="120"/>
        <w:ind w:left="851" w:hanging="284"/>
        <w:jc w:val="both"/>
        <w:rPr>
          <w:rFonts w:ascii="Times New Roman" w:hAnsi="Times New Roman"/>
          <w:bCs/>
          <w:iCs/>
          <w:u w:val="single"/>
        </w:rPr>
      </w:pPr>
      <w:r w:rsidRPr="000F15D5">
        <w:rPr>
          <w:rFonts w:ascii="Times New Roman" w:hAnsi="Times New Roman"/>
          <w:bCs/>
          <w:iCs/>
        </w:rPr>
        <w:t xml:space="preserve"> </w:t>
      </w:r>
      <w:r w:rsidRPr="000F15D5">
        <w:rPr>
          <w:rFonts w:ascii="Times New Roman" w:hAnsi="Times New Roman"/>
          <w:bCs/>
          <w:iCs/>
          <w:u w:val="single"/>
        </w:rPr>
        <w:t>legislatívne akty:</w:t>
      </w:r>
    </w:p>
    <w:p w:rsidR="000F15D5" w:rsidRPr="000F15D5" w:rsidP="000F15D5">
      <w:pPr>
        <w:pStyle w:val="ListParagraph"/>
        <w:widowControl/>
        <w:numPr>
          <w:numId w:val="9"/>
        </w:numPr>
        <w:autoSpaceDE w:val="0"/>
        <w:autoSpaceDN w:val="0"/>
        <w:bidi w:val="0"/>
        <w:adjustRightInd/>
        <w:spacing w:before="100" w:beforeAutospacing="1" w:after="120"/>
        <w:ind w:left="964" w:hanging="454"/>
        <w:contextualSpacing w:val="0"/>
        <w:jc w:val="both"/>
        <w:rPr>
          <w:rFonts w:ascii="Times New Roman" w:hAnsi="Times New Roman"/>
          <w:iCs/>
        </w:rPr>
      </w:pPr>
      <w:r w:rsidRPr="000F15D5">
        <w:rPr>
          <w:rFonts w:ascii="Times New Roman" w:hAnsi="Times New Roman"/>
          <w:bCs/>
        </w:rPr>
        <w:t xml:space="preserve">     smernica Európskeho parlamentu a Rady </w:t>
      </w:r>
      <w:r w:rsidRPr="000F15D5">
        <w:rPr>
          <w:rFonts w:ascii="Times New Roman" w:hAnsi="Times New Roman"/>
          <w:bCs/>
          <w:u w:val="single"/>
        </w:rPr>
        <w:t>2013/50/EÚ</w:t>
      </w:r>
      <w:r w:rsidRPr="000F15D5">
        <w:rPr>
          <w:rFonts w:ascii="Times New Roman" w:hAnsi="Times New Roman"/>
          <w:bCs/>
        </w:rPr>
        <w:t xml:space="preserve">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papierov alebo ich prijatí na obchodovanie, a smernica Komisie 2007/14/ES, ktorou sa stanovujú podrobné pravidlá implementácie určitých ustanovení smernice 2004/109/ES</w:t>
      </w:r>
      <w:r w:rsidRPr="000F15D5">
        <w:rPr>
          <w:rFonts w:ascii="Times New Roman" w:hAnsi="Times New Roman"/>
          <w:b/>
          <w:bCs/>
        </w:rPr>
        <w:t xml:space="preserve"> </w:t>
      </w:r>
      <w:r w:rsidRPr="000F15D5">
        <w:rPr>
          <w:rFonts w:ascii="Times New Roman" w:hAnsi="Times New Roman"/>
          <w:bCs/>
        </w:rPr>
        <w:t>(</w:t>
      </w:r>
      <w:r w:rsidRPr="000F15D5">
        <w:rPr>
          <w:rFonts w:ascii="Times New Roman" w:hAnsi="Times New Roman"/>
          <w:bCs/>
          <w:iCs/>
        </w:rPr>
        <w:t>Ú. v. EÚ L 294, 6.11.2013).</w:t>
      </w:r>
    </w:p>
    <w:p w:rsidR="000F15D5" w:rsidRPr="000F15D5" w:rsidP="000F15D5">
      <w:pPr>
        <w:autoSpaceDE w:val="0"/>
        <w:autoSpaceDN w:val="0"/>
        <w:bidi w:val="0"/>
        <w:spacing w:after="120"/>
        <w:ind w:left="567"/>
        <w:jc w:val="both"/>
        <w:rPr>
          <w:rFonts w:ascii="Times New Roman" w:hAnsi="Times New Roman"/>
          <w:b/>
          <w:bCs/>
          <w:i/>
          <w:iCs/>
        </w:rPr>
      </w:pPr>
      <w:r w:rsidRPr="000F15D5">
        <w:rPr>
          <w:rFonts w:ascii="Times New Roman" w:hAnsi="Times New Roman"/>
          <w:b/>
          <w:bCs/>
          <w:iCs/>
        </w:rPr>
        <w:t>Sekundárne právo</w:t>
      </w:r>
      <w:r w:rsidRPr="000F15D5">
        <w:rPr>
          <w:rFonts w:ascii="Times New Roman" w:hAnsi="Times New Roman"/>
          <w:b/>
          <w:bCs/>
          <w:i/>
          <w:iCs/>
        </w:rPr>
        <w:t xml:space="preserve"> </w:t>
      </w:r>
      <w:r w:rsidRPr="000F15D5">
        <w:rPr>
          <w:rFonts w:ascii="Times New Roman" w:hAnsi="Times New Roman"/>
        </w:rPr>
        <w:t>(prijaté pred nadobudnutím platnosti Lisabonskej zmluvy, ktorou sa mení a dopĺňa Zmluva o Európskej únii a Zmluva o založení Európskeho spoločenstva - do 30. novembra 2009):</w:t>
      </w:r>
    </w:p>
    <w:p w:rsidR="000F15D5" w:rsidRPr="000F15D5" w:rsidP="000F15D5">
      <w:pPr>
        <w:autoSpaceDE w:val="0"/>
        <w:autoSpaceDN w:val="0"/>
        <w:bidi w:val="0"/>
        <w:adjustRightInd w:val="0"/>
        <w:ind w:left="567" w:hanging="113"/>
        <w:rPr>
          <w:rFonts w:ascii="Times New Roman" w:hAnsi="Times New Roman"/>
          <w:b/>
          <w:bCs/>
          <w:iCs/>
        </w:rPr>
      </w:pPr>
    </w:p>
    <w:p w:rsidR="000F15D5" w:rsidRPr="000F15D5" w:rsidP="000F15D5">
      <w:pPr>
        <w:numPr>
          <w:numId w:val="2"/>
        </w:numPr>
        <w:tabs>
          <w:tab w:val="clear" w:pos="870"/>
          <w:tab w:val="num" w:pos="993"/>
        </w:tabs>
        <w:bidi w:val="0"/>
        <w:adjustRightInd w:val="0"/>
        <w:spacing w:after="120"/>
        <w:ind w:left="993" w:hanging="454"/>
        <w:jc w:val="both"/>
        <w:rPr>
          <w:rFonts w:ascii="Times New Roman" w:hAnsi="Times New Roman"/>
        </w:rPr>
      </w:pPr>
      <w:r w:rsidRPr="000F15D5">
        <w:rPr>
          <w:rFonts w:ascii="Times New Roman" w:hAnsi="Times New Roman"/>
        </w:rPr>
        <w:t xml:space="preserve">smernica Európskeho parlamentu a Rady </w:t>
      </w:r>
      <w:r w:rsidRPr="000F15D5">
        <w:rPr>
          <w:rFonts w:ascii="Times New Roman" w:hAnsi="Times New Roman"/>
          <w:u w:val="single"/>
        </w:rPr>
        <w:t>2001/34/ES</w:t>
      </w:r>
      <w:r w:rsidRPr="000F15D5">
        <w:rPr>
          <w:rFonts w:ascii="Times New Roman" w:hAnsi="Times New Roman"/>
        </w:rPr>
        <w:t xml:space="preserve"> z 28. mája 2001 o prijímaní cenných papierov  na kótovanie na burze cenných papierov a o informáciách, ktoré sa o týchto cenných papieroch musia zverejňovať (Mimoriadne vydanie Ú. v. EÚ, kap. </w:t>
      </w:r>
      <w:r w:rsidRPr="000F15D5">
        <w:rPr>
          <w:rStyle w:val="Emphasis"/>
          <w:rFonts w:ascii="Times New Roman" w:hAnsi="Times New Roman"/>
          <w:i w:val="0"/>
        </w:rPr>
        <w:t xml:space="preserve">6/zv. 4; </w:t>
      </w:r>
      <w:r w:rsidRPr="000F15D5">
        <w:rPr>
          <w:rFonts w:ascii="Times New Roman" w:hAnsi="Times New Roman"/>
          <w:iCs/>
        </w:rPr>
        <w:t>Ú. v. ES L 184, 6.7.2001</w:t>
      </w:r>
      <w:r w:rsidRPr="000F15D5">
        <w:rPr>
          <w:rStyle w:val="Emphasis"/>
          <w:rFonts w:ascii="Times New Roman" w:hAnsi="Times New Roman"/>
          <w:i w:val="0"/>
        </w:rPr>
        <w:t>)</w:t>
      </w:r>
      <w:r w:rsidRPr="000F15D5">
        <w:rPr>
          <w:rFonts w:ascii="Times New Roman" w:hAnsi="Times New Roman"/>
        </w:rPr>
        <w:t xml:space="preserve"> v platnom znení,</w:t>
      </w:r>
    </w:p>
    <w:p w:rsidR="000F15D5" w:rsidRPr="000F15D5" w:rsidP="000F15D5">
      <w:pPr>
        <w:numPr>
          <w:numId w:val="3"/>
        </w:numPr>
        <w:tabs>
          <w:tab w:val="clear" w:pos="870"/>
          <w:tab w:val="num" w:pos="993"/>
        </w:tabs>
        <w:bidi w:val="0"/>
        <w:adjustRightInd w:val="0"/>
        <w:spacing w:after="120"/>
        <w:ind w:left="992" w:hanging="454"/>
        <w:jc w:val="both"/>
        <w:rPr>
          <w:rFonts w:ascii="Times New Roman" w:hAnsi="Times New Roman"/>
        </w:rPr>
      </w:pPr>
      <w:r w:rsidRPr="000F15D5">
        <w:rPr>
          <w:rFonts w:ascii="Times New Roman" w:hAnsi="Times New Roman"/>
        </w:rPr>
        <w:t xml:space="preserve">smernica Európskeho parlamentu a Rady </w:t>
      </w:r>
      <w:r w:rsidRPr="000F15D5">
        <w:rPr>
          <w:rFonts w:ascii="Times New Roman" w:hAnsi="Times New Roman"/>
          <w:u w:val="single"/>
        </w:rPr>
        <w:t>2003/71/ES</w:t>
      </w:r>
      <w:r w:rsidRPr="000F15D5">
        <w:rPr>
          <w:rFonts w:ascii="Times New Roman" w:hAnsi="Times New Roman"/>
        </w:rPr>
        <w:t xml:space="preserve"> zo 4. novembra 2003 o prospekte, ktorý sa zverejňuje pri verejnej ponuke cenných papierov alebo ich prijatí na obchodovanie, a o zmene a doplnení smernice 2001/34/ES (Mimoriadne vydanie Ú. v. EÚ, kap.</w:t>
      </w:r>
      <w:r w:rsidRPr="000F15D5">
        <w:rPr>
          <w:rStyle w:val="Emphasis"/>
          <w:rFonts w:ascii="Times New Roman" w:hAnsi="Times New Roman"/>
          <w:i w:val="0"/>
        </w:rPr>
        <w:t xml:space="preserve">6/zv. 6; </w:t>
      </w:r>
      <w:r w:rsidRPr="000F15D5">
        <w:rPr>
          <w:rFonts w:ascii="Times New Roman" w:hAnsi="Times New Roman"/>
          <w:iCs/>
        </w:rPr>
        <w:t>Ú. v. EÚ L 345, 31.12.2003</w:t>
      </w:r>
      <w:r w:rsidRPr="000F15D5">
        <w:rPr>
          <w:rStyle w:val="Emphasis"/>
          <w:rFonts w:ascii="Times New Roman" w:hAnsi="Times New Roman"/>
        </w:rPr>
        <w:t>)</w:t>
      </w:r>
      <w:r w:rsidRPr="000F15D5">
        <w:rPr>
          <w:rFonts w:ascii="Times New Roman" w:hAnsi="Times New Roman"/>
        </w:rPr>
        <w:t xml:space="preserve"> v platnom znení,</w:t>
      </w:r>
    </w:p>
    <w:p w:rsidR="000F15D5" w:rsidRPr="000F15D5" w:rsidP="000F15D5">
      <w:pPr>
        <w:numPr>
          <w:numId w:val="3"/>
        </w:numPr>
        <w:tabs>
          <w:tab w:val="clear" w:pos="870"/>
          <w:tab w:val="num" w:pos="993"/>
        </w:tabs>
        <w:bidi w:val="0"/>
        <w:adjustRightInd w:val="0"/>
        <w:spacing w:after="120"/>
        <w:ind w:left="992" w:hanging="454"/>
        <w:jc w:val="both"/>
        <w:rPr>
          <w:rFonts w:ascii="Times New Roman" w:hAnsi="Times New Roman"/>
        </w:rPr>
      </w:pPr>
      <w:r w:rsidRPr="000F15D5">
        <w:rPr>
          <w:rFonts w:ascii="Times New Roman" w:hAnsi="Times New Roman"/>
        </w:rPr>
        <w:t xml:space="preserve">smernica Komisie </w:t>
      </w:r>
      <w:r w:rsidRPr="000F15D5">
        <w:rPr>
          <w:rFonts w:ascii="Times New Roman" w:hAnsi="Times New Roman"/>
          <w:u w:val="single"/>
        </w:rPr>
        <w:t>2003/124/ES</w:t>
      </w:r>
      <w:r w:rsidRPr="000F15D5">
        <w:rPr>
          <w:rFonts w:ascii="Times New Roman" w:hAnsi="Times New Roman"/>
        </w:rPr>
        <w:t xml:space="preserve"> z 22. decembra 2003, ktorou sa vykonáva smernica Európskeho parlamentu a Rady 2003/6/ES, pokiaľ ide o vymedzenie a zverejňovanie dôverných informácií a vymedzenie manipulácie s trhom (Mimoriadne vydanie Ú. v. EÚ, kap.</w:t>
      </w:r>
      <w:r w:rsidRPr="000F15D5">
        <w:rPr>
          <w:rStyle w:val="Emphasis"/>
          <w:rFonts w:ascii="Times New Roman" w:hAnsi="Times New Roman"/>
          <w:i w:val="0"/>
        </w:rPr>
        <w:t xml:space="preserve">6/zv. 6; </w:t>
      </w:r>
      <w:r w:rsidRPr="000F15D5">
        <w:rPr>
          <w:rFonts w:ascii="Times New Roman" w:hAnsi="Times New Roman"/>
          <w:iCs/>
        </w:rPr>
        <w:t>Ú. v. EÚ L 339, 24.12.2003</w:t>
      </w:r>
      <w:r w:rsidRPr="000F15D5">
        <w:rPr>
          <w:rStyle w:val="Emphasis"/>
          <w:rFonts w:ascii="Times New Roman" w:hAnsi="Times New Roman"/>
        </w:rPr>
        <w:t>)</w:t>
      </w:r>
      <w:r w:rsidRPr="000F15D5">
        <w:rPr>
          <w:rFonts w:ascii="Times New Roman" w:hAnsi="Times New Roman"/>
        </w:rPr>
        <w:t>,</w:t>
      </w:r>
    </w:p>
    <w:p w:rsidR="000F15D5" w:rsidRPr="000F15D5" w:rsidP="000F15D5">
      <w:pPr>
        <w:numPr>
          <w:numId w:val="3"/>
        </w:numPr>
        <w:tabs>
          <w:tab w:val="clear" w:pos="870"/>
          <w:tab w:val="num" w:pos="993"/>
        </w:tabs>
        <w:bidi w:val="0"/>
        <w:adjustRightInd w:val="0"/>
        <w:spacing w:after="120"/>
        <w:ind w:left="992" w:hanging="454"/>
        <w:jc w:val="both"/>
        <w:rPr>
          <w:rFonts w:ascii="Times New Roman" w:hAnsi="Times New Roman"/>
        </w:rPr>
      </w:pPr>
      <w:r w:rsidRPr="000F15D5">
        <w:rPr>
          <w:rFonts w:ascii="Times New Roman" w:hAnsi="Times New Roman"/>
          <w:bCs/>
        </w:rPr>
        <w:t xml:space="preserve">smernica Európskeho parlamentu a Rady </w:t>
      </w:r>
      <w:r w:rsidRPr="000F15D5">
        <w:rPr>
          <w:rFonts w:ascii="Times New Roman" w:hAnsi="Times New Roman"/>
          <w:bCs/>
          <w:u w:val="single"/>
        </w:rPr>
        <w:t>2004/25/ES</w:t>
      </w:r>
      <w:r w:rsidRPr="000F15D5">
        <w:rPr>
          <w:rFonts w:ascii="Times New Roman" w:hAnsi="Times New Roman"/>
          <w:bCs/>
        </w:rPr>
        <w:t xml:space="preserve"> z 21. apríla 2004 o ponukách na prevzatie</w:t>
      </w:r>
      <w:r w:rsidRPr="000F15D5">
        <w:rPr>
          <w:rFonts w:ascii="Times New Roman" w:hAnsi="Times New Roman"/>
          <w:b/>
          <w:bCs/>
        </w:rPr>
        <w:t xml:space="preserve"> </w:t>
      </w:r>
      <w:r w:rsidRPr="000F15D5">
        <w:rPr>
          <w:rFonts w:ascii="Times New Roman" w:hAnsi="Times New Roman"/>
        </w:rPr>
        <w:t>(Mimoriadne vydanie Ú. v. EÚ, kap.17</w:t>
      </w:r>
      <w:r w:rsidRPr="000F15D5">
        <w:rPr>
          <w:rStyle w:val="Emphasis"/>
          <w:rFonts w:ascii="Times New Roman" w:hAnsi="Times New Roman"/>
          <w:i w:val="0"/>
        </w:rPr>
        <w:t xml:space="preserve">/zv. 2; </w:t>
      </w:r>
      <w:r w:rsidRPr="000F15D5">
        <w:rPr>
          <w:rFonts w:ascii="Times New Roman" w:hAnsi="Times New Roman"/>
          <w:iCs/>
        </w:rPr>
        <w:t>Ú. v. EÚ L 142, 30.4.2004) v platnom znení,</w:t>
      </w:r>
    </w:p>
    <w:p w:rsidR="000F15D5" w:rsidRPr="000F15D5" w:rsidP="000F15D5">
      <w:pPr>
        <w:pStyle w:val="BodyTextIndent"/>
        <w:numPr>
          <w:numId w:val="5"/>
        </w:numPr>
        <w:tabs>
          <w:tab w:val="clear" w:pos="856"/>
          <w:tab w:val="num" w:pos="993"/>
        </w:tabs>
        <w:autoSpaceDE w:val="0"/>
        <w:autoSpaceDN w:val="0"/>
        <w:bidi w:val="0"/>
        <w:adjustRightInd w:val="0"/>
        <w:ind w:left="992" w:hanging="482"/>
        <w:jc w:val="both"/>
        <w:rPr>
          <w:rFonts w:ascii="Times New Roman" w:hAnsi="Times New Roman"/>
        </w:rPr>
      </w:pPr>
      <w:r w:rsidRPr="000F15D5">
        <w:rPr>
          <w:rFonts w:ascii="Times New Roman" w:hAnsi="Times New Roman"/>
        </w:rPr>
        <w:t xml:space="preserve">smernica Európskeho parlamentu a Rady </w:t>
      </w:r>
      <w:r w:rsidRPr="000F15D5">
        <w:rPr>
          <w:rFonts w:ascii="Times New Roman" w:hAnsi="Times New Roman"/>
          <w:u w:val="single"/>
        </w:rPr>
        <w:t>2004/39/ES</w:t>
      </w:r>
      <w:r w:rsidRPr="000F15D5">
        <w:rPr>
          <w:rFonts w:ascii="Times New Roman" w:hAnsi="Times New Roman"/>
        </w:rPr>
        <w:t xml:space="preserve"> z 21. apríla 2004 o trhoch s finančnými nástrojmi, o zmene a doplnení smerníc Rady 85/611/EHS a 93/6/EHS a smernice Európskeho parlamentu a Rady 2000/12/ES a o zrušení smernice Rady 93/22/EHS (Mimoriadne vydanie Ú. v. EÚ, kap.</w:t>
      </w:r>
      <w:r w:rsidRPr="000F15D5">
        <w:rPr>
          <w:rStyle w:val="Emphasis"/>
          <w:rFonts w:ascii="Times New Roman" w:hAnsi="Times New Roman"/>
          <w:i w:val="0"/>
        </w:rPr>
        <w:t xml:space="preserve">6/zv. 7; </w:t>
      </w:r>
      <w:r w:rsidRPr="000F15D5">
        <w:rPr>
          <w:rFonts w:ascii="Times New Roman" w:hAnsi="Times New Roman"/>
          <w:iCs/>
        </w:rPr>
        <w:t>Ú. v. EÚ L 145, 30.4.2004</w:t>
      </w:r>
      <w:r w:rsidRPr="000F15D5">
        <w:rPr>
          <w:rStyle w:val="Emphasis"/>
          <w:rFonts w:ascii="Times New Roman" w:hAnsi="Times New Roman"/>
          <w:i w:val="0"/>
        </w:rPr>
        <w:t>)</w:t>
      </w:r>
      <w:r w:rsidRPr="000F15D5">
        <w:rPr>
          <w:rFonts w:ascii="Times New Roman" w:hAnsi="Times New Roman"/>
        </w:rPr>
        <w:t xml:space="preserve"> v platnom znení</w:t>
      </w:r>
      <w:r w:rsidRPr="000F15D5">
        <w:rPr>
          <w:rFonts w:ascii="Times New Roman" w:hAnsi="Times New Roman"/>
          <w:iCs/>
        </w:rPr>
        <w:t>,</w:t>
      </w:r>
    </w:p>
    <w:p w:rsidR="000F15D5" w:rsidRPr="000F15D5" w:rsidP="000F15D5">
      <w:pPr>
        <w:pStyle w:val="BodyTextIndent"/>
        <w:numPr>
          <w:numId w:val="6"/>
        </w:numPr>
        <w:tabs>
          <w:tab w:val="clear" w:pos="856"/>
          <w:tab w:val="num" w:pos="993"/>
        </w:tabs>
        <w:autoSpaceDE w:val="0"/>
        <w:autoSpaceDN w:val="0"/>
        <w:bidi w:val="0"/>
        <w:adjustRightInd w:val="0"/>
        <w:ind w:left="992" w:hanging="482"/>
        <w:jc w:val="both"/>
        <w:rPr>
          <w:rFonts w:ascii="Times New Roman" w:hAnsi="Times New Roman"/>
        </w:rPr>
      </w:pPr>
      <w:r w:rsidRPr="000F15D5">
        <w:rPr>
          <w:rFonts w:ascii="Times New Roman" w:hAnsi="Times New Roman"/>
        </w:rPr>
        <w:t xml:space="preserve">smernica Európskeho parlamentu a Rady </w:t>
      </w:r>
      <w:r w:rsidRPr="000F15D5">
        <w:rPr>
          <w:rFonts w:ascii="Times New Roman" w:hAnsi="Times New Roman"/>
          <w:u w:val="single"/>
        </w:rPr>
        <w:t>2004/109/ES</w:t>
      </w:r>
      <w:r w:rsidRPr="000F15D5">
        <w:rPr>
          <w:rFonts w:ascii="Times New Roman" w:hAnsi="Times New Roman"/>
        </w:rPr>
        <w:t xml:space="preserve"> z 15. decembra 2004 o harmonizácii požiadaviek na transparentnosť v súvislosti s informáciami o emitentoch, ktorých cenné papiere sú prijaté na obchodovanie na regulovanom trhu, a ktorou sa mení a dopĺňa smernica 2001/34/ES (Ú. v. EÚ L 390, 31.12.2004) v platnom znení,</w:t>
      </w:r>
    </w:p>
    <w:p w:rsidR="000F15D5" w:rsidRPr="000F15D5" w:rsidP="000F15D5">
      <w:pPr>
        <w:pStyle w:val="BodyTextIndent"/>
        <w:numPr>
          <w:numId w:val="6"/>
        </w:numPr>
        <w:tabs>
          <w:tab w:val="clear" w:pos="856"/>
          <w:tab w:val="num" w:pos="993"/>
        </w:tabs>
        <w:autoSpaceDE w:val="0"/>
        <w:autoSpaceDN w:val="0"/>
        <w:bidi w:val="0"/>
        <w:adjustRightInd w:val="0"/>
        <w:ind w:left="992" w:hanging="482"/>
        <w:jc w:val="both"/>
        <w:rPr>
          <w:rFonts w:ascii="Times New Roman" w:hAnsi="Times New Roman"/>
        </w:rPr>
      </w:pPr>
      <w:r w:rsidRPr="000F15D5">
        <w:rPr>
          <w:rFonts w:ascii="Times New Roman" w:hAnsi="Times New Roman"/>
          <w:bCs/>
        </w:rPr>
        <w:t xml:space="preserve">smernica Európskeho parlamentu a Rady </w:t>
      </w:r>
      <w:r w:rsidRPr="000F15D5">
        <w:rPr>
          <w:rFonts w:ascii="Times New Roman" w:hAnsi="Times New Roman"/>
          <w:bCs/>
          <w:u w:val="single"/>
        </w:rPr>
        <w:t>2005/1/ES</w:t>
      </w:r>
      <w:r w:rsidRPr="000F15D5">
        <w:rPr>
          <w:rFonts w:ascii="Times New Roman" w:hAnsi="Times New Roman"/>
          <w:bCs/>
        </w:rPr>
        <w:t xml:space="preserve"> z 9. marca 2005, ktorou sa menia a dopĺňajú smernice Rady 73/239/EHS, 85/611/EHS, 91/675/EHS, 92/49/EHS a 93/6/EHS a smernice Európskeho parlamentu a Rady 94/19/ES, 98/78/ES, 2000/12/ES, 2001/34/ES, 2002/83/ES a 2002/87/ES s cieľom vytvoriť novú organizačnú štruktúru výborov pre finančné služby (</w:t>
      </w:r>
      <w:r w:rsidRPr="000F15D5">
        <w:rPr>
          <w:rFonts w:ascii="Times New Roman" w:hAnsi="Times New Roman"/>
          <w:bCs/>
          <w:iCs/>
        </w:rPr>
        <w:t>Ú. v. EÚ L 79, 24.3.2005),</w:t>
      </w:r>
    </w:p>
    <w:p w:rsidR="000F15D5" w:rsidRPr="000F15D5" w:rsidP="000F15D5">
      <w:pPr>
        <w:pStyle w:val="BodyTextIndent"/>
        <w:numPr>
          <w:numId w:val="7"/>
        </w:numPr>
        <w:tabs>
          <w:tab w:val="clear" w:pos="856"/>
          <w:tab w:val="num" w:pos="993"/>
        </w:tabs>
        <w:autoSpaceDE w:val="0"/>
        <w:autoSpaceDN w:val="0"/>
        <w:bidi w:val="0"/>
        <w:adjustRightInd w:val="0"/>
        <w:ind w:left="992" w:hanging="482"/>
        <w:jc w:val="both"/>
        <w:rPr>
          <w:rFonts w:ascii="Times New Roman" w:hAnsi="Times New Roman"/>
        </w:rPr>
      </w:pPr>
      <w:r w:rsidRPr="000F15D5">
        <w:rPr>
          <w:rFonts w:ascii="Times New Roman" w:hAnsi="Times New Roman"/>
          <w:bCs/>
        </w:rPr>
        <w:t xml:space="preserve">smernica Európskeho parlamentu a Rady </w:t>
      </w:r>
      <w:r w:rsidRPr="000F15D5">
        <w:rPr>
          <w:rFonts w:ascii="Times New Roman" w:hAnsi="Times New Roman"/>
          <w:bCs/>
          <w:u w:val="single"/>
        </w:rPr>
        <w:t>2006/31/ES</w:t>
      </w:r>
      <w:r w:rsidRPr="000F15D5">
        <w:rPr>
          <w:rFonts w:ascii="Times New Roman" w:hAnsi="Times New Roman"/>
          <w:bCs/>
        </w:rPr>
        <w:t xml:space="preserve"> z 5. apríla 2006 , ktorou sa mení a dopĺňa smernica 2004/39/ES o trhoch s finančnými nástrojmi s ohľadom na určité termíny (</w:t>
      </w:r>
      <w:r w:rsidRPr="000F15D5">
        <w:rPr>
          <w:rFonts w:ascii="Times New Roman" w:hAnsi="Times New Roman"/>
          <w:bCs/>
          <w:iCs/>
        </w:rPr>
        <w:t>Ú. v. EÚ L 114, 27.4.2006),</w:t>
      </w:r>
    </w:p>
    <w:p w:rsidR="000F15D5" w:rsidRPr="000F15D5" w:rsidP="000F15D5">
      <w:pPr>
        <w:pStyle w:val="BodyTextIndent"/>
        <w:numPr>
          <w:numId w:val="7"/>
        </w:numPr>
        <w:tabs>
          <w:tab w:val="clear" w:pos="856"/>
          <w:tab w:val="num" w:pos="993"/>
        </w:tabs>
        <w:autoSpaceDE w:val="0"/>
        <w:autoSpaceDN w:val="0"/>
        <w:bidi w:val="0"/>
        <w:adjustRightInd w:val="0"/>
        <w:ind w:left="992" w:hanging="482"/>
        <w:jc w:val="both"/>
        <w:rPr>
          <w:rStyle w:val="Emphasis"/>
          <w:rFonts w:ascii="Times New Roman" w:hAnsi="Times New Roman"/>
          <w:iCs w:val="0"/>
        </w:rPr>
      </w:pPr>
      <w:r w:rsidRPr="000F15D5">
        <w:rPr>
          <w:rStyle w:val="Emphasis"/>
          <w:rFonts w:ascii="Times New Roman" w:hAnsi="Times New Roman"/>
          <w:i w:val="0"/>
        </w:rPr>
        <w:t xml:space="preserve">smernica Európskeho parlamentu a Rady </w:t>
      </w:r>
      <w:r w:rsidRPr="000F15D5">
        <w:rPr>
          <w:rStyle w:val="Emphasis"/>
          <w:rFonts w:ascii="Times New Roman" w:hAnsi="Times New Roman"/>
          <w:i w:val="0"/>
          <w:u w:val="single"/>
        </w:rPr>
        <w:t>2007/36/ES</w:t>
      </w:r>
      <w:r w:rsidRPr="000F15D5">
        <w:rPr>
          <w:rStyle w:val="Emphasis"/>
          <w:rFonts w:ascii="Times New Roman" w:hAnsi="Times New Roman"/>
          <w:i w:val="0"/>
        </w:rPr>
        <w:t xml:space="preserve"> z 11. júla 2007 o výkone určitých práv akcionárov spoločností registrovaných na regulovanom trhu ( Ú.v. EÚ L 184, 14.7. 2007) v platnom znení, </w:t>
      </w:r>
    </w:p>
    <w:p w:rsidR="000F15D5" w:rsidRPr="000F15D5" w:rsidP="000F15D5">
      <w:pPr>
        <w:pStyle w:val="BodyTextIndent"/>
        <w:numPr>
          <w:numId w:val="7"/>
        </w:numPr>
        <w:tabs>
          <w:tab w:val="clear" w:pos="856"/>
          <w:tab w:val="num" w:pos="993"/>
        </w:tabs>
        <w:autoSpaceDE w:val="0"/>
        <w:autoSpaceDN w:val="0"/>
        <w:bidi w:val="0"/>
        <w:adjustRightInd w:val="0"/>
        <w:ind w:left="992" w:hanging="482"/>
        <w:jc w:val="both"/>
        <w:rPr>
          <w:rFonts w:ascii="Times New Roman" w:hAnsi="Times New Roman"/>
        </w:rPr>
      </w:pPr>
      <w:r w:rsidRPr="000F15D5">
        <w:rPr>
          <w:rFonts w:ascii="Times New Roman" w:hAnsi="Times New Roman"/>
          <w:bCs/>
        </w:rPr>
        <w:t xml:space="preserve">smernica Európskeho parlamentu a Rady </w:t>
      </w:r>
      <w:r w:rsidRPr="000F15D5">
        <w:rPr>
          <w:rFonts w:ascii="Times New Roman" w:hAnsi="Times New Roman"/>
          <w:bCs/>
          <w:u w:val="single"/>
        </w:rPr>
        <w:t>2007/44/ES</w:t>
      </w:r>
      <w:r w:rsidRPr="000F15D5">
        <w:rPr>
          <w:rFonts w:ascii="Times New Roman" w:hAnsi="Times New Roman"/>
          <w:bCs/>
        </w:rPr>
        <w:t xml:space="preserve"> z 5. septembra 2007, ktorou sa mení a dopĺňa smernica Rady 92/49/EHS a smernice 2002/83/ES, 2004/39/ES, 2005/68/ES a 2006/48/ES v súvislosti s procesnými pravidlami a kritériami hodnotenia obozretného posudzovania nadobudnutí a zvýšení podielov vo finančnom sektore (</w:t>
      </w:r>
      <w:r w:rsidRPr="000F15D5">
        <w:rPr>
          <w:rFonts w:ascii="Times New Roman" w:hAnsi="Times New Roman"/>
          <w:bCs/>
          <w:iCs/>
        </w:rPr>
        <w:t>Ú. v. EÚ L 247, 21.9.2007),</w:t>
      </w:r>
    </w:p>
    <w:p w:rsidR="000F15D5" w:rsidRPr="000F15D5" w:rsidP="000F15D5">
      <w:pPr>
        <w:pStyle w:val="BodyTextIndent"/>
        <w:numPr>
          <w:numId w:val="7"/>
        </w:numPr>
        <w:tabs>
          <w:tab w:val="clear" w:pos="856"/>
          <w:tab w:val="num" w:pos="993"/>
        </w:tabs>
        <w:autoSpaceDE w:val="0"/>
        <w:autoSpaceDN w:val="0"/>
        <w:bidi w:val="0"/>
        <w:adjustRightInd w:val="0"/>
        <w:ind w:left="992" w:hanging="482"/>
        <w:jc w:val="both"/>
        <w:rPr>
          <w:rFonts w:ascii="Times New Roman" w:hAnsi="Times New Roman"/>
        </w:rPr>
      </w:pPr>
      <w:r w:rsidRPr="000F15D5">
        <w:rPr>
          <w:rFonts w:ascii="Times New Roman" w:hAnsi="Times New Roman"/>
          <w:bCs/>
        </w:rPr>
        <w:t xml:space="preserve">smernica Európskeho parlamentu a Rady </w:t>
      </w:r>
      <w:r w:rsidRPr="000F15D5">
        <w:rPr>
          <w:rFonts w:ascii="Times New Roman" w:hAnsi="Times New Roman"/>
          <w:bCs/>
          <w:u w:val="single"/>
        </w:rPr>
        <w:t>2010/73/EÚ</w:t>
      </w:r>
      <w:r w:rsidRPr="000F15D5">
        <w:rPr>
          <w:rFonts w:ascii="Times New Roman" w:hAnsi="Times New Roman"/>
          <w:bCs/>
        </w:rPr>
        <w:t xml:space="preserve"> z  24. novembra 2010 , ktorou sa menia a dopĺňajú smernice 2003/71/ES o prospekte, ktorý sa zverejňuje pri verejnej ponuke cenných papierov alebo ich prijatí na obchodovanie, a 2004/109/ES o harmonizácii požiadaviek na transparentnosť v súvislosti s informáciami o emitentoch, ktorých cenné papiere sú prijaté na obchodovanie na regulovanom trhu (</w:t>
      </w:r>
      <w:r w:rsidRPr="000F15D5">
        <w:rPr>
          <w:rFonts w:ascii="Times New Roman" w:hAnsi="Times New Roman"/>
          <w:bCs/>
          <w:iCs/>
        </w:rPr>
        <w:t>Ú. v. EÚ L 327, 11.12.2010),</w:t>
      </w:r>
    </w:p>
    <w:p w:rsidR="000F15D5" w:rsidRPr="000F15D5" w:rsidP="000F15D5">
      <w:pPr>
        <w:pStyle w:val="BodyTextIndent"/>
        <w:numPr>
          <w:numId w:val="7"/>
        </w:numPr>
        <w:tabs>
          <w:tab w:val="clear" w:pos="856"/>
          <w:tab w:val="num" w:pos="993"/>
        </w:tabs>
        <w:autoSpaceDE w:val="0"/>
        <w:autoSpaceDN w:val="0"/>
        <w:bidi w:val="0"/>
        <w:adjustRightInd w:val="0"/>
        <w:ind w:left="992" w:hanging="482"/>
        <w:jc w:val="both"/>
        <w:rPr>
          <w:rFonts w:ascii="Times New Roman" w:hAnsi="Times New Roman"/>
        </w:rPr>
      </w:pPr>
      <w:r w:rsidRPr="000F15D5">
        <w:rPr>
          <w:rFonts w:ascii="Times New Roman" w:hAnsi="Times New Roman"/>
          <w:bCs/>
        </w:rPr>
        <w:t xml:space="preserve">smernica Európskeho parlamentu a Rady </w:t>
      </w:r>
      <w:r w:rsidRPr="000F15D5">
        <w:rPr>
          <w:rFonts w:ascii="Times New Roman" w:hAnsi="Times New Roman"/>
          <w:bCs/>
          <w:u w:val="single"/>
        </w:rPr>
        <w:t>2010/78/EÚ</w:t>
      </w:r>
      <w:r w:rsidRPr="000F15D5">
        <w:rPr>
          <w:rFonts w:ascii="Times New Roman" w:hAnsi="Times New Roman"/>
          <w:bCs/>
        </w:rPr>
        <w:t xml:space="preserve"> z  24. novembra 2010 ,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w:t>
      </w:r>
      <w:r w:rsidRPr="000F15D5">
        <w:rPr>
          <w:rFonts w:ascii="Times New Roman" w:hAnsi="Times New Roman"/>
          <w:bCs/>
          <w:iCs/>
        </w:rPr>
        <w:t>Ú. v. EÚ L 331, 15.12.2010) v platnom znení,</w:t>
      </w:r>
    </w:p>
    <w:p w:rsidR="000F15D5" w:rsidRPr="000F15D5" w:rsidP="000F15D5">
      <w:pPr>
        <w:pStyle w:val="BodyTextIndent"/>
        <w:numPr>
          <w:numId w:val="7"/>
        </w:numPr>
        <w:tabs>
          <w:tab w:val="clear" w:pos="856"/>
          <w:tab w:val="num" w:pos="993"/>
        </w:tabs>
        <w:autoSpaceDE w:val="0"/>
        <w:autoSpaceDN w:val="0"/>
        <w:bidi w:val="0"/>
        <w:adjustRightInd w:val="0"/>
        <w:spacing w:after="240"/>
        <w:ind w:left="992" w:hanging="482"/>
        <w:jc w:val="both"/>
        <w:rPr>
          <w:rStyle w:val="Emphasis"/>
          <w:rFonts w:ascii="Times New Roman" w:hAnsi="Times New Roman"/>
          <w:iCs w:val="0"/>
        </w:rPr>
      </w:pPr>
      <w:r w:rsidRPr="000F15D5">
        <w:rPr>
          <w:rFonts w:ascii="Times New Roman" w:hAnsi="Times New Roman"/>
        </w:rPr>
        <w:t xml:space="preserve">nariadenie Komisie (ES) č. </w:t>
      </w:r>
      <w:r w:rsidRPr="000F15D5">
        <w:rPr>
          <w:rFonts w:ascii="Times New Roman" w:hAnsi="Times New Roman"/>
          <w:u w:val="single"/>
        </w:rPr>
        <w:t>2273/2003</w:t>
      </w:r>
      <w:r w:rsidRPr="000F15D5">
        <w:rPr>
          <w:rFonts w:ascii="Times New Roman" w:hAnsi="Times New Roman"/>
        </w:rPr>
        <w:t xml:space="preserve"> z 22.decembra 2003, ktorou sa vykonáva smernica Európskeho parlamentu a Rady 2003/6/ES pokiaľ ide o výnimky pre programy spätného výkupu a stabilizácie finančných nástrojov (Mimoriadne vydanie Ú. v. EÚ, kap.</w:t>
      </w:r>
      <w:r w:rsidRPr="000F15D5">
        <w:rPr>
          <w:rStyle w:val="Emphasis"/>
          <w:rFonts w:ascii="Times New Roman" w:hAnsi="Times New Roman"/>
          <w:i w:val="0"/>
        </w:rPr>
        <w:t xml:space="preserve">6/zv. 6, </w:t>
      </w:r>
      <w:r w:rsidRPr="000F15D5">
        <w:rPr>
          <w:rFonts w:ascii="Times New Roman" w:hAnsi="Times New Roman"/>
          <w:iCs/>
        </w:rPr>
        <w:t>Ú. v. EÚ L 336, 23.12.2003</w:t>
      </w:r>
      <w:r w:rsidRPr="000F15D5">
        <w:rPr>
          <w:rStyle w:val="Emphasis"/>
          <w:rFonts w:ascii="Times New Roman" w:hAnsi="Times New Roman"/>
        </w:rPr>
        <w:t>)</w:t>
      </w:r>
      <w:r w:rsidRPr="000F15D5">
        <w:rPr>
          <w:rFonts w:ascii="Times New Roman" w:hAnsi="Times New Roman"/>
          <w:iCs/>
        </w:rPr>
        <w:t>.</w:t>
      </w:r>
    </w:p>
    <w:p w:rsidR="000F15D5" w:rsidRPr="000F15D5" w:rsidP="000F15D5">
      <w:pPr>
        <w:numPr>
          <w:ilvl w:val="1"/>
          <w:numId w:val="1"/>
        </w:numPr>
        <w:bidi w:val="0"/>
        <w:spacing w:after="240"/>
        <w:rPr>
          <w:rFonts w:ascii="Times New Roman" w:hAnsi="Times New Roman"/>
          <w:lang w:eastAsia="cs-CZ"/>
        </w:rPr>
      </w:pPr>
      <w:r w:rsidRPr="000F15D5">
        <w:rPr>
          <w:rFonts w:ascii="Times New Roman" w:hAnsi="Times New Roman"/>
          <w:lang w:eastAsia="cs-CZ"/>
        </w:rPr>
        <w:t>je obsiahnutá v judikatúre Súdneho dvora Európskej únie:</w:t>
      </w:r>
    </w:p>
    <w:p w:rsidR="000F15D5" w:rsidRPr="000F15D5" w:rsidP="000F15D5">
      <w:pPr>
        <w:pStyle w:val="BodyText"/>
        <w:widowControl/>
        <w:numPr>
          <w:numId w:val="11"/>
        </w:numPr>
        <w:bidi w:val="0"/>
        <w:spacing w:after="120"/>
        <w:ind w:left="992" w:hanging="566"/>
        <w:jc w:val="both"/>
        <w:rPr>
          <w:rFonts w:ascii="Times New Roman" w:hAnsi="Times New Roman"/>
        </w:rPr>
      </w:pPr>
      <w:r w:rsidRPr="000F15D5">
        <w:rPr>
          <w:rFonts w:ascii="Times New Roman" w:hAnsi="Times New Roman"/>
        </w:rPr>
        <w:t xml:space="preserve"> </w:t>
        <w:tab/>
        <w:t>rozhodnutie Súdneho dvora vo veci C - 140</w:t>
      </w:r>
      <w:r w:rsidRPr="000F15D5">
        <w:rPr>
          <w:rFonts w:ascii="Times New Roman" w:hAnsi="Times New Roman"/>
          <w:lang w:val="et-EE"/>
        </w:rPr>
        <w:t>/13</w:t>
      </w:r>
      <w:r w:rsidRPr="000F15D5">
        <w:rPr>
          <w:rFonts w:ascii="Times New Roman" w:hAnsi="Times New Roman"/>
        </w:rPr>
        <w:t>, Alpine Investments v. Minister van Financiën, [2015],</w:t>
      </w:r>
    </w:p>
    <w:p w:rsidR="000F15D5" w:rsidRPr="000F15D5" w:rsidP="000F15D5">
      <w:pPr>
        <w:pStyle w:val="BodyText"/>
        <w:widowControl/>
        <w:numPr>
          <w:ilvl w:val="2"/>
          <w:numId w:val="11"/>
        </w:numPr>
        <w:bidi w:val="0"/>
        <w:spacing w:after="120"/>
        <w:ind w:left="993" w:hanging="567"/>
        <w:jc w:val="both"/>
        <w:rPr>
          <w:rFonts w:ascii="Times New Roman" w:hAnsi="Times New Roman"/>
        </w:rPr>
      </w:pPr>
      <w:r w:rsidRPr="000F15D5">
        <w:rPr>
          <w:rFonts w:ascii="Times New Roman" w:hAnsi="Times New Roman"/>
        </w:rPr>
        <w:t xml:space="preserve">       rozhodnutie Súdneho dvora vo veci C - 101</w:t>
      </w:r>
      <w:r w:rsidRPr="000F15D5">
        <w:rPr>
          <w:rFonts w:ascii="Times New Roman" w:hAnsi="Times New Roman"/>
          <w:lang w:val="et-EE"/>
        </w:rPr>
        <w:t>/08</w:t>
      </w:r>
      <w:r w:rsidRPr="000F15D5">
        <w:rPr>
          <w:rFonts w:ascii="Times New Roman" w:hAnsi="Times New Roman"/>
        </w:rPr>
        <w:t xml:space="preserve">, </w:t>
      </w:r>
      <w:r w:rsidRPr="000F15D5">
        <w:rPr>
          <w:rFonts w:ascii="Times New Roman" w:hAnsi="Times New Roman"/>
          <w:bCs/>
        </w:rPr>
        <w:t>Audiolux SA a i. v. Groupe Bruxelles Lambert SA (GBL) a i., Bertelsmann AG a i.,</w:t>
      </w:r>
      <w:r w:rsidRPr="000F15D5">
        <w:rPr>
          <w:rFonts w:ascii="Times New Roman" w:hAnsi="Times New Roman"/>
        </w:rPr>
        <w:t xml:space="preserve"> [2009].</w:t>
      </w:r>
    </w:p>
    <w:p w:rsidR="000F15D5" w:rsidRPr="000F15D5" w:rsidP="000F15D5">
      <w:pPr>
        <w:bidi w:val="0"/>
        <w:spacing w:after="240"/>
        <w:ind w:left="850"/>
        <w:rPr>
          <w:rFonts w:ascii="Times New Roman" w:hAnsi="Times New Roman"/>
          <w:lang w:eastAsia="cs-CZ"/>
        </w:rPr>
      </w:pPr>
    </w:p>
    <w:p w:rsidR="000F15D5" w:rsidRPr="000F15D5" w:rsidP="000F15D5">
      <w:pPr>
        <w:numPr>
          <w:numId w:val="1"/>
        </w:numPr>
        <w:bidi w:val="0"/>
        <w:spacing w:after="120"/>
        <w:jc w:val="both"/>
        <w:rPr>
          <w:rFonts w:ascii="Times New Roman" w:hAnsi="Times New Roman"/>
          <w:b/>
          <w:bCs/>
        </w:rPr>
      </w:pPr>
      <w:r w:rsidRPr="000F15D5">
        <w:rPr>
          <w:rFonts w:ascii="Times New Roman" w:hAnsi="Times New Roman"/>
          <w:b/>
          <w:bCs/>
        </w:rPr>
        <w:t>Záväzky Slovenskej republiky vo vzťahu k Európskej únii:</w:t>
      </w:r>
    </w:p>
    <w:p w:rsidR="000F15D5" w:rsidRPr="000F15D5" w:rsidP="000F15D5">
      <w:pPr>
        <w:numPr>
          <w:numId w:val="4"/>
        </w:numPr>
        <w:tabs>
          <w:tab w:val="left" w:pos="425"/>
          <w:tab w:val="clear" w:pos="720"/>
        </w:tabs>
        <w:bidi w:val="0"/>
        <w:spacing w:after="120"/>
        <w:ind w:left="425" w:hanging="425"/>
        <w:jc w:val="both"/>
        <w:rPr>
          <w:rFonts w:ascii="Times New Roman" w:hAnsi="Times New Roman"/>
          <w:lang w:eastAsia="cs-CZ"/>
        </w:rPr>
      </w:pPr>
      <w:r w:rsidRPr="000F15D5">
        <w:rPr>
          <w:rFonts w:ascii="Times New Roman" w:hAnsi="Times New Roman"/>
          <w:lang w:eastAsia="cs-CZ"/>
        </w:rPr>
        <w:t xml:space="preserve">Lehota na prebratie </w:t>
      </w:r>
      <w:r w:rsidRPr="000F15D5">
        <w:rPr>
          <w:rFonts w:ascii="Times New Roman" w:hAnsi="Times New Roman"/>
        </w:rPr>
        <w:t xml:space="preserve">smernice 2013/50/EÚ bola určená do 26.11. 2015. </w:t>
      </w:r>
    </w:p>
    <w:p w:rsidR="000F15D5" w:rsidRPr="000F15D5" w:rsidP="000F15D5">
      <w:pPr>
        <w:numPr>
          <w:numId w:val="4"/>
        </w:numPr>
        <w:tabs>
          <w:tab w:val="left" w:pos="425"/>
          <w:tab w:val="clear" w:pos="720"/>
        </w:tabs>
        <w:bidi w:val="0"/>
        <w:spacing w:after="120"/>
        <w:ind w:left="425" w:hanging="425"/>
        <w:jc w:val="both"/>
        <w:rPr>
          <w:rFonts w:ascii="Times New Roman" w:hAnsi="Times New Roman"/>
          <w:lang w:eastAsia="cs-CZ"/>
        </w:rPr>
      </w:pPr>
      <w:r w:rsidRPr="000F15D5">
        <w:rPr>
          <w:rFonts w:ascii="Times New Roman" w:hAnsi="Times New Roman"/>
        </w:rPr>
        <w:t>Lehota na predloženie návrhu právneho prepisu na rokovanie vlády podľa určenia gestorských ústredných orgánov štátnej správy zodpovedných za prebratie smerníc a vypracovanie tabuliek zhody k návrhom všeobecne záväzných právnych predpisov, ktorým sa zabezpečí prebratie smernice 2013/50/EÚ, bola stanovená do 31. 7. 2015.</w:t>
      </w:r>
    </w:p>
    <w:p w:rsidR="000F15D5" w:rsidRPr="000F15D5" w:rsidP="000F15D5">
      <w:pPr>
        <w:numPr>
          <w:numId w:val="4"/>
        </w:numPr>
        <w:tabs>
          <w:tab w:val="left" w:pos="425"/>
          <w:tab w:val="clear" w:pos="720"/>
        </w:tabs>
        <w:bidi w:val="0"/>
        <w:spacing w:after="120"/>
        <w:ind w:left="425" w:hanging="425"/>
        <w:jc w:val="both"/>
        <w:rPr>
          <w:rFonts w:ascii="Times New Roman" w:hAnsi="Times New Roman"/>
          <w:lang w:eastAsia="cs-CZ"/>
        </w:rPr>
      </w:pPr>
      <w:r w:rsidRPr="000F15D5">
        <w:rPr>
          <w:rFonts w:ascii="Times New Roman" w:hAnsi="Times New Roman"/>
          <w:lang w:eastAsia="cs-CZ"/>
        </w:rPr>
        <w:t>Proti SR nebolo začaté konanie o porušení Zmluvy o fungovaní Európskej únie podľa čl. 258 až 260.</w:t>
      </w:r>
    </w:p>
    <w:p w:rsidR="000F15D5" w:rsidRPr="000F15D5" w:rsidP="000F15D5">
      <w:pPr>
        <w:numPr>
          <w:numId w:val="4"/>
        </w:numPr>
        <w:tabs>
          <w:tab w:val="left" w:pos="425"/>
          <w:tab w:val="clear" w:pos="720"/>
        </w:tabs>
        <w:bidi w:val="0"/>
        <w:spacing w:after="240"/>
        <w:ind w:left="425" w:hanging="425"/>
        <w:jc w:val="both"/>
        <w:rPr>
          <w:rFonts w:ascii="Times New Roman" w:hAnsi="Times New Roman"/>
          <w:lang w:eastAsia="cs-CZ"/>
        </w:rPr>
      </w:pPr>
      <w:r w:rsidRPr="000F15D5">
        <w:rPr>
          <w:rFonts w:ascii="Times New Roman" w:hAnsi="Times New Roman"/>
          <w:lang w:eastAsia="cs-CZ"/>
        </w:rPr>
        <w:t xml:space="preserve">Smernica 2013/50/EÚ bola prebratá do </w:t>
      </w:r>
      <w:r w:rsidRPr="000F15D5">
        <w:rPr>
          <w:rFonts w:ascii="Times New Roman" w:hAnsi="Times New Roman"/>
          <w:bCs/>
        </w:rPr>
        <w:t>zákona č. 429/2002 Z. z. o burze cenných papieroch v znení neskorších predpisov, do zákona č. 566/2001 Z.z. o cenných papieroch a investičných službách a o zmene a doplnení niektorých zákonov (zákon o cenných papieroch) v znení neskorších predpisov a do zákona č. 747/2004 Z. z. o dohľade nad finančným trhom a o zmene a doplnení niektorých zákonov v znení neskorších predpisov</w:t>
      </w:r>
      <w:r w:rsidRPr="000F15D5">
        <w:rPr>
          <w:rFonts w:ascii="Times New Roman" w:hAnsi="Times New Roman"/>
          <w:lang w:eastAsia="cs-CZ"/>
        </w:rPr>
        <w:t xml:space="preserve">. </w:t>
      </w:r>
    </w:p>
    <w:p w:rsidR="000F15D5" w:rsidRPr="000F15D5" w:rsidP="000F15D5">
      <w:pPr>
        <w:numPr>
          <w:numId w:val="1"/>
        </w:numPr>
        <w:bidi w:val="0"/>
        <w:spacing w:after="120"/>
        <w:jc w:val="both"/>
        <w:rPr>
          <w:rFonts w:ascii="Times New Roman" w:hAnsi="Times New Roman"/>
          <w:b/>
          <w:bCs/>
        </w:rPr>
      </w:pPr>
      <w:r w:rsidRPr="000F15D5">
        <w:rPr>
          <w:rFonts w:ascii="Times New Roman" w:hAnsi="Times New Roman"/>
          <w:b/>
          <w:bCs/>
        </w:rPr>
        <w:t>Stupeň zlučiteľnosti návrhu zákona s právom Európskej únie:</w:t>
      </w:r>
    </w:p>
    <w:p w:rsidR="000F15D5" w:rsidRPr="000F15D5" w:rsidP="000F15D5">
      <w:pPr>
        <w:bidi w:val="0"/>
        <w:spacing w:after="120"/>
        <w:ind w:left="425" w:hanging="425"/>
        <w:jc w:val="both"/>
        <w:rPr>
          <w:rFonts w:ascii="Times New Roman" w:hAnsi="Times New Roman"/>
        </w:rPr>
      </w:pPr>
      <w:r w:rsidRPr="000F15D5">
        <w:rPr>
          <w:rFonts w:ascii="Times New Roman" w:hAnsi="Times New Roman"/>
        </w:rPr>
        <w:tab/>
        <w:t>Úplný.</w:t>
      </w:r>
    </w:p>
    <w:p w:rsidR="000F15D5" w:rsidRPr="000F15D5" w:rsidP="000F15D5">
      <w:pPr>
        <w:numPr>
          <w:numId w:val="1"/>
        </w:numPr>
        <w:bidi w:val="0"/>
        <w:spacing w:after="120"/>
        <w:jc w:val="both"/>
        <w:rPr>
          <w:rFonts w:ascii="Times New Roman" w:hAnsi="Times New Roman"/>
          <w:b/>
          <w:bCs/>
        </w:rPr>
      </w:pPr>
      <w:r w:rsidRPr="000F15D5">
        <w:rPr>
          <w:rFonts w:ascii="Times New Roman" w:hAnsi="Times New Roman"/>
          <w:b/>
          <w:bCs/>
        </w:rPr>
        <w:t xml:space="preserve">Gestor a spolupracujúce rezorty: </w:t>
      </w:r>
    </w:p>
    <w:p w:rsidR="000F15D5" w:rsidRPr="000F15D5" w:rsidP="000F15D5">
      <w:pPr>
        <w:bidi w:val="0"/>
        <w:spacing w:after="120"/>
        <w:ind w:left="360"/>
        <w:jc w:val="both"/>
        <w:rPr>
          <w:rFonts w:ascii="Times New Roman" w:hAnsi="Times New Roman"/>
        </w:rPr>
      </w:pPr>
      <w:r w:rsidRPr="000F15D5">
        <w:rPr>
          <w:rFonts w:ascii="Times New Roman" w:hAnsi="Times New Roman"/>
        </w:rPr>
        <w:t xml:space="preserve"> Ministerstvo financií Slovenskej republiky, Národná banka Slovenska.</w:t>
      </w: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0F15D5" w:rsidP="00D82673">
      <w:pPr>
        <w:pStyle w:val="BodyText"/>
        <w:widowControl/>
        <w:bidi w:val="0"/>
        <w:jc w:val="both"/>
        <w:rPr>
          <w:rFonts w:ascii="Times New Roman" w:hAnsi="Times New Roman"/>
          <w:b/>
          <w:bCs/>
        </w:rPr>
      </w:pPr>
    </w:p>
    <w:p w:rsidR="00D82673" w:rsidRPr="00C06B3A" w:rsidP="00D82673">
      <w:pPr>
        <w:pStyle w:val="BodyText"/>
        <w:widowControl/>
        <w:bidi w:val="0"/>
        <w:jc w:val="both"/>
        <w:rPr>
          <w:rFonts w:ascii="Times New Roman" w:hAnsi="Times New Roman"/>
          <w:b/>
          <w:bCs/>
          <w:u w:val="single"/>
        </w:rPr>
      </w:pPr>
      <w:r w:rsidRPr="00C06B3A">
        <w:rPr>
          <w:rFonts w:ascii="Times New Roman" w:hAnsi="Times New Roman"/>
          <w:b/>
          <w:bCs/>
        </w:rPr>
        <w:t>Osobitná časť</w:t>
      </w:r>
      <w:r w:rsidRPr="00C06B3A">
        <w:rPr>
          <w:rFonts w:ascii="Times New Roman" w:hAnsi="Times New Roman"/>
          <w:b/>
          <w:bCs/>
          <w:u w:val="single"/>
        </w:rPr>
        <w:t xml:space="preserve"> </w:t>
      </w:r>
    </w:p>
    <w:p w:rsidR="00D82673" w:rsidRPr="00C06B3A" w:rsidP="00D82673">
      <w:pPr>
        <w:pStyle w:val="BodyText"/>
        <w:widowControl/>
        <w:bidi w:val="0"/>
        <w:rPr>
          <w:rFonts w:ascii="Times New Roman" w:hAnsi="Times New Roman"/>
          <w:b/>
          <w:bCs/>
        </w:rPr>
      </w:pPr>
    </w:p>
    <w:p w:rsidR="00D82673" w:rsidRPr="00C06B3A" w:rsidP="00D82673">
      <w:pPr>
        <w:pStyle w:val="BodyText"/>
        <w:widowControl/>
        <w:bidi w:val="0"/>
        <w:rPr>
          <w:rFonts w:ascii="Times New Roman" w:hAnsi="Times New Roman"/>
          <w:b/>
          <w:bCs/>
        </w:rPr>
      </w:pPr>
      <w:r w:rsidRPr="00C06B3A">
        <w:rPr>
          <w:rFonts w:ascii="Times New Roman" w:hAnsi="Times New Roman"/>
          <w:b/>
          <w:bCs/>
        </w:rPr>
        <w:t>K Čl. I</w:t>
      </w:r>
    </w:p>
    <w:p w:rsidR="00D82673" w:rsidRPr="00C06B3A" w:rsidP="00D82673">
      <w:pPr>
        <w:pStyle w:val="BodyText"/>
        <w:widowControl/>
        <w:bidi w:val="0"/>
        <w:rPr>
          <w:rFonts w:ascii="Times New Roman" w:hAnsi="Times New Roman"/>
          <w:b/>
          <w:bCs/>
        </w:rPr>
      </w:pPr>
    </w:p>
    <w:p w:rsidR="00D82673" w:rsidRPr="00C06B3A" w:rsidP="00D82673">
      <w:pPr>
        <w:pStyle w:val="BodyText"/>
        <w:widowControl/>
        <w:bidi w:val="0"/>
        <w:rPr>
          <w:rFonts w:ascii="Times New Roman" w:hAnsi="Times New Roman"/>
          <w:b/>
          <w:bCs/>
        </w:rPr>
      </w:pPr>
      <w:r w:rsidRPr="00C06B3A">
        <w:rPr>
          <w:rFonts w:ascii="Times New Roman" w:hAnsi="Times New Roman"/>
          <w:b/>
          <w:bCs/>
        </w:rPr>
        <w:t xml:space="preserve">K bodu 1 </w:t>
      </w:r>
    </w:p>
    <w:p w:rsidR="00D82673" w:rsidRPr="00C06B3A" w:rsidP="00D82673">
      <w:pPr>
        <w:bidi w:val="0"/>
        <w:jc w:val="both"/>
        <w:rPr>
          <w:rFonts w:ascii="Times New Roman" w:hAnsi="Times New Roman"/>
        </w:rPr>
      </w:pPr>
      <w:r w:rsidRPr="00C06B3A">
        <w:rPr>
          <w:rFonts w:ascii="Times New Roman" w:hAnsi="Times New Roman"/>
        </w:rPr>
        <w:t>Ide o rozšírenie emitenta aj o fyzickú osobu, ktorej cenné papiere sú prijaté na obchodovanie na regulovanom trhu z dôvodu zvýšenia efektívnosti režimu transparentnosti, najmä z hľadiska zverejňovania vlastníctva podnikov.</w:t>
      </w:r>
      <w:r w:rsidR="0080627B">
        <w:rPr>
          <w:rFonts w:ascii="Times New Roman" w:hAnsi="Times New Roman"/>
        </w:rPr>
        <w:t xml:space="preserve"> Definícia emitenta bola </w:t>
      </w:r>
      <w:r w:rsidRPr="00993335" w:rsidR="0080627B">
        <w:rPr>
          <w:rFonts w:ascii="Times New Roman" w:hAnsi="Times New Roman"/>
        </w:rPr>
        <w:t xml:space="preserve">upravená podľa čl. </w:t>
      </w:r>
      <w:r w:rsidRPr="00993335" w:rsidR="00993335">
        <w:rPr>
          <w:rFonts w:ascii="Times New Roman" w:hAnsi="Times New Roman"/>
        </w:rPr>
        <w:t>1</w:t>
      </w:r>
      <w:r w:rsidRPr="00993335" w:rsidR="0080627B">
        <w:rPr>
          <w:rFonts w:ascii="Times New Roman" w:hAnsi="Times New Roman"/>
        </w:rPr>
        <w:t xml:space="preserve"> ods. 1 písm. </w:t>
      </w:r>
      <w:r w:rsidRPr="00993335" w:rsidR="00993335">
        <w:rPr>
          <w:rFonts w:ascii="Times New Roman" w:hAnsi="Times New Roman"/>
        </w:rPr>
        <w:t>a</w:t>
      </w:r>
      <w:r w:rsidRPr="00993335" w:rsidR="0080627B">
        <w:rPr>
          <w:rFonts w:ascii="Times New Roman" w:hAnsi="Times New Roman"/>
        </w:rPr>
        <w:t>) smernice 2013/50/EÚ</w:t>
      </w:r>
      <w:r w:rsidRPr="00993335" w:rsidR="00BC6897">
        <w:rPr>
          <w:rFonts w:ascii="Times New Roman" w:hAnsi="Times New Roman"/>
        </w:rPr>
        <w:t>.</w:t>
      </w:r>
      <w:r w:rsidR="0080627B">
        <w:rPr>
          <w:rFonts w:ascii="Times New Roman" w:hAnsi="Times New Roman"/>
        </w:rPr>
        <w:t xml:space="preserve"> </w:t>
      </w:r>
    </w:p>
    <w:p w:rsidR="00D82673" w:rsidRPr="00C06B3A" w:rsidP="00D82673">
      <w:pPr>
        <w:bidi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K bod</w:t>
      </w:r>
      <w:r>
        <w:rPr>
          <w:rFonts w:ascii="Times New Roman" w:hAnsi="Times New Roman"/>
          <w:b/>
        </w:rPr>
        <w:t>om</w:t>
      </w:r>
      <w:r w:rsidRPr="00C06B3A">
        <w:rPr>
          <w:rFonts w:ascii="Times New Roman" w:hAnsi="Times New Roman"/>
          <w:b/>
        </w:rPr>
        <w:t xml:space="preserve"> 2</w:t>
      </w:r>
      <w:r>
        <w:rPr>
          <w:rFonts w:ascii="Times New Roman" w:hAnsi="Times New Roman"/>
          <w:b/>
        </w:rPr>
        <w:t xml:space="preserve"> a 3</w:t>
      </w:r>
    </w:p>
    <w:p w:rsidR="005C1155" w:rsidRPr="00C06B3A" w:rsidP="005C1155">
      <w:pPr>
        <w:bidi w:val="0"/>
        <w:jc w:val="both"/>
        <w:rPr>
          <w:rFonts w:ascii="Times New Roman" w:hAnsi="Times New Roman"/>
        </w:rPr>
      </w:pPr>
      <w:r w:rsidRPr="004C70F4" w:rsidR="00D82673">
        <w:rPr>
          <w:rFonts w:ascii="Times New Roman" w:hAnsi="Times New Roman"/>
          <w:bCs/>
        </w:rPr>
        <w:t>Uvedené ustanovenie rozširuje definíciu domovského členského štátu u emitenta, ktorého cenné papiere už nie sú prijaté na obchodovanie na regulovanom trhu v jeho domovskom členskom štáte, ale tieto cenné papiere sú prijaté na obchodovanie na regulovanom trhu v </w:t>
      </w:r>
      <w:r w:rsidRPr="00993335" w:rsidR="00D82673">
        <w:rPr>
          <w:rFonts w:ascii="Times New Roman" w:hAnsi="Times New Roman"/>
          <w:bCs/>
        </w:rPr>
        <w:t>jednom členskom štáte alebo viacerých členských štátoch.</w:t>
      </w:r>
      <w:r w:rsidRPr="00993335">
        <w:rPr>
          <w:rFonts w:ascii="Times New Roman" w:hAnsi="Times New Roman"/>
          <w:bCs/>
        </w:rPr>
        <w:t xml:space="preserve"> Tieto ustanovenia boli </w:t>
      </w:r>
      <w:r w:rsidR="00ED5517">
        <w:rPr>
          <w:rFonts w:ascii="Times New Roman" w:hAnsi="Times New Roman"/>
        </w:rPr>
        <w:t>upravené</w:t>
      </w:r>
      <w:r w:rsidRPr="00993335">
        <w:rPr>
          <w:rFonts w:ascii="Times New Roman" w:hAnsi="Times New Roman"/>
        </w:rPr>
        <w:t xml:space="preserve"> podľa čl. </w:t>
      </w:r>
      <w:r w:rsidRPr="00993335" w:rsidR="00993335">
        <w:rPr>
          <w:rFonts w:ascii="Times New Roman" w:hAnsi="Times New Roman"/>
        </w:rPr>
        <w:t>1</w:t>
      </w:r>
      <w:r w:rsidRPr="00993335">
        <w:rPr>
          <w:rFonts w:ascii="Times New Roman" w:hAnsi="Times New Roman"/>
        </w:rPr>
        <w:t xml:space="preserve"> ods. 1</w:t>
      </w:r>
      <w:r w:rsidR="00993335">
        <w:rPr>
          <w:rFonts w:ascii="Times New Roman" w:hAnsi="Times New Roman"/>
        </w:rPr>
        <w:t xml:space="preserve"> písm. a)</w:t>
      </w:r>
      <w:r w:rsidRPr="00993335">
        <w:rPr>
          <w:rFonts w:ascii="Times New Roman" w:hAnsi="Times New Roman"/>
        </w:rPr>
        <w:t xml:space="preserve"> </w:t>
      </w:r>
      <w:r>
        <w:rPr>
          <w:rFonts w:ascii="Times New Roman" w:hAnsi="Times New Roman"/>
        </w:rPr>
        <w:t xml:space="preserve"> smernice 2013/50/EÚ. </w:t>
      </w:r>
    </w:p>
    <w:p w:rsidR="00D82673" w:rsidRPr="00C06B3A" w:rsidP="00D82673">
      <w:pPr>
        <w:bidi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 xml:space="preserve">K bodu </w:t>
      </w:r>
      <w:r>
        <w:rPr>
          <w:rFonts w:ascii="Times New Roman" w:hAnsi="Times New Roman"/>
          <w:b/>
        </w:rPr>
        <w:t>4</w:t>
      </w:r>
    </w:p>
    <w:p w:rsidR="005C1155" w:rsidRPr="00C06B3A" w:rsidP="005C1155">
      <w:pPr>
        <w:bidi w:val="0"/>
        <w:jc w:val="both"/>
        <w:rPr>
          <w:rFonts w:ascii="Times New Roman" w:hAnsi="Times New Roman"/>
        </w:rPr>
      </w:pPr>
      <w:r w:rsidRPr="00C06B3A" w:rsidR="00D82673">
        <w:rPr>
          <w:rFonts w:ascii="Times New Roman" w:hAnsi="Times New Roman"/>
        </w:rPr>
        <w:t xml:space="preserve">Rozširuje sa doba verejnej prístupnosti ročnej finančnej správy z najmenej piatich rokov na najmenej desať rokov, z dôvodu získania </w:t>
      </w:r>
      <w:r w:rsidR="00D82673">
        <w:rPr>
          <w:rFonts w:ascii="Times New Roman" w:hAnsi="Times New Roman"/>
        </w:rPr>
        <w:t>väčšej</w:t>
      </w:r>
      <w:r w:rsidRPr="00C06B3A" w:rsidR="00D82673">
        <w:rPr>
          <w:rFonts w:ascii="Times New Roman" w:hAnsi="Times New Roman"/>
        </w:rPr>
        <w:t xml:space="preserve"> pozornosti pre správy malých a stredných emitentov zo strany účastníkov trhu. </w:t>
      </w:r>
      <w:r>
        <w:rPr>
          <w:rFonts w:ascii="Times New Roman" w:hAnsi="Times New Roman"/>
          <w:bCs/>
        </w:rPr>
        <w:t xml:space="preserve">Toto </w:t>
      </w:r>
      <w:r w:rsidRPr="00993335">
        <w:rPr>
          <w:rFonts w:ascii="Times New Roman" w:hAnsi="Times New Roman"/>
          <w:bCs/>
        </w:rPr>
        <w:t xml:space="preserve">ustanovenia bolo </w:t>
      </w:r>
      <w:r w:rsidRPr="00993335">
        <w:rPr>
          <w:rFonts w:ascii="Times New Roman" w:hAnsi="Times New Roman"/>
        </w:rPr>
        <w:t xml:space="preserve">upravené podľa čl. </w:t>
      </w:r>
      <w:r w:rsidRPr="00993335" w:rsidR="00F045D1">
        <w:rPr>
          <w:rFonts w:ascii="Times New Roman" w:hAnsi="Times New Roman"/>
        </w:rPr>
        <w:t>1</w:t>
      </w:r>
      <w:r w:rsidRPr="00993335">
        <w:rPr>
          <w:rFonts w:ascii="Times New Roman" w:hAnsi="Times New Roman"/>
        </w:rPr>
        <w:t xml:space="preserve"> ods. </w:t>
      </w:r>
      <w:r w:rsidRPr="00993335" w:rsidR="00F045D1">
        <w:rPr>
          <w:rFonts w:ascii="Times New Roman" w:hAnsi="Times New Roman"/>
        </w:rPr>
        <w:t>3</w:t>
      </w:r>
      <w:r w:rsidRPr="00993335">
        <w:rPr>
          <w:rFonts w:ascii="Times New Roman" w:hAnsi="Times New Roman"/>
        </w:rPr>
        <w:t xml:space="preserve"> písm. </w:t>
      </w:r>
      <w:r w:rsidRPr="00993335" w:rsidR="00F045D1">
        <w:rPr>
          <w:rFonts w:ascii="Times New Roman" w:hAnsi="Times New Roman"/>
        </w:rPr>
        <w:t>a</w:t>
      </w:r>
      <w:r w:rsidRPr="00993335">
        <w:rPr>
          <w:rFonts w:ascii="Times New Roman" w:hAnsi="Times New Roman"/>
        </w:rPr>
        <w:t>) smernice 2013/50/EÚ.</w:t>
      </w:r>
      <w:r>
        <w:rPr>
          <w:rFonts w:ascii="Times New Roman" w:hAnsi="Times New Roman"/>
        </w:rPr>
        <w:t xml:space="preserve"> </w:t>
      </w:r>
    </w:p>
    <w:p w:rsidR="00D82673" w:rsidRPr="00C06B3A" w:rsidP="00D82673">
      <w:pPr>
        <w:bidi w:val="0"/>
        <w:jc w:val="both"/>
        <w:rPr>
          <w:rFonts w:ascii="Times New Roman" w:hAnsi="Times New Roman"/>
        </w:rPr>
      </w:pPr>
    </w:p>
    <w:p w:rsidR="00D82673" w:rsidRPr="00993335" w:rsidP="00D82673">
      <w:pPr>
        <w:bidi w:val="0"/>
        <w:jc w:val="both"/>
        <w:rPr>
          <w:rFonts w:ascii="Times New Roman" w:hAnsi="Times New Roman"/>
          <w:b/>
        </w:rPr>
      </w:pPr>
      <w:r w:rsidRPr="00C06B3A">
        <w:rPr>
          <w:rFonts w:ascii="Times New Roman" w:hAnsi="Times New Roman"/>
          <w:b/>
        </w:rPr>
        <w:t>K </w:t>
      </w:r>
      <w:r w:rsidRPr="00993335">
        <w:rPr>
          <w:rFonts w:ascii="Times New Roman" w:hAnsi="Times New Roman"/>
          <w:b/>
        </w:rPr>
        <w:t>bodu 5</w:t>
      </w:r>
    </w:p>
    <w:p w:rsidR="005C1155" w:rsidRPr="00C06B3A" w:rsidP="005C1155">
      <w:pPr>
        <w:bidi w:val="0"/>
        <w:jc w:val="both"/>
        <w:rPr>
          <w:rFonts w:ascii="Times New Roman" w:hAnsi="Times New Roman"/>
        </w:rPr>
      </w:pPr>
      <w:r w:rsidRPr="00993335">
        <w:rPr>
          <w:rFonts w:ascii="Times New Roman" w:hAnsi="Times New Roman"/>
        </w:rPr>
        <w:t>V súlade s čl.</w:t>
      </w:r>
      <w:r w:rsidRPr="00993335" w:rsidR="00993335">
        <w:rPr>
          <w:rFonts w:ascii="Times New Roman" w:hAnsi="Times New Roman"/>
        </w:rPr>
        <w:t xml:space="preserve"> 1 ods. 4</w:t>
      </w:r>
      <w:r w:rsidRPr="00993335">
        <w:rPr>
          <w:rFonts w:ascii="Times New Roman" w:hAnsi="Times New Roman"/>
        </w:rPr>
        <w:t xml:space="preserve"> smernice 2013/50/EÚ</w:t>
      </w:r>
      <w:r>
        <w:rPr>
          <w:rFonts w:ascii="Times New Roman" w:hAnsi="Times New Roman"/>
        </w:rPr>
        <w:t xml:space="preserve"> sa r</w:t>
      </w:r>
      <w:r w:rsidRPr="00C06B3A" w:rsidR="00D82673">
        <w:rPr>
          <w:rFonts w:ascii="Times New Roman" w:hAnsi="Times New Roman"/>
        </w:rPr>
        <w:t xml:space="preserve">ozširuje povinnosť emitenta zverejniť polročnú finančnú správu z najneskôr dvoch na najneskôr troch mesiacov po uplynutí účtovného obdobia, za ktoré sa polročná finančná správa vypracováva a taktiež sa rozširuje doba verejnej prístupnosti polročnej finančnej správy z najmenej piatich rokov na najmenej desať rokov z dôvodu získania </w:t>
      </w:r>
      <w:r w:rsidR="00D82673">
        <w:rPr>
          <w:rFonts w:ascii="Times New Roman" w:hAnsi="Times New Roman"/>
          <w:strike/>
        </w:rPr>
        <w:t xml:space="preserve"> </w:t>
      </w:r>
      <w:r w:rsidRPr="00805BC8" w:rsidR="00D82673">
        <w:rPr>
          <w:rFonts w:ascii="Times New Roman" w:hAnsi="Times New Roman"/>
        </w:rPr>
        <w:t>väčšej</w:t>
      </w:r>
      <w:r w:rsidRPr="00C06B3A" w:rsidR="00D82673">
        <w:rPr>
          <w:rFonts w:ascii="Times New Roman" w:hAnsi="Times New Roman"/>
        </w:rPr>
        <w:t xml:space="preserve"> pozornosti pre správy malých a stredných emitentov zo strany účastníkov trhu.</w:t>
      </w:r>
      <w:r>
        <w:rPr>
          <w:rFonts w:ascii="Times New Roman" w:hAnsi="Times New Roman"/>
        </w:rPr>
        <w:t xml:space="preserve"> </w:t>
      </w:r>
      <w:r>
        <w:rPr>
          <w:rFonts w:ascii="Times New Roman" w:hAnsi="Times New Roman"/>
          <w:bCs/>
        </w:rPr>
        <w:t xml:space="preserve">Toto ustanovenia bolo </w:t>
      </w:r>
      <w:r w:rsidRPr="00993335">
        <w:rPr>
          <w:rFonts w:ascii="Times New Roman" w:hAnsi="Times New Roman"/>
        </w:rPr>
        <w:t xml:space="preserve">upravené podľa čl. </w:t>
      </w:r>
      <w:r w:rsidRPr="00993335" w:rsidR="00F045D1">
        <w:rPr>
          <w:rFonts w:ascii="Times New Roman" w:hAnsi="Times New Roman"/>
        </w:rPr>
        <w:t>1</w:t>
      </w:r>
      <w:r w:rsidRPr="00993335">
        <w:rPr>
          <w:rFonts w:ascii="Times New Roman" w:hAnsi="Times New Roman"/>
        </w:rPr>
        <w:t xml:space="preserve"> ods. </w:t>
      </w:r>
      <w:r w:rsidRPr="00993335" w:rsidR="00F045D1">
        <w:rPr>
          <w:rFonts w:ascii="Times New Roman" w:hAnsi="Times New Roman"/>
        </w:rPr>
        <w:t>4</w:t>
      </w:r>
      <w:r w:rsidRPr="00993335">
        <w:rPr>
          <w:rFonts w:ascii="Times New Roman" w:hAnsi="Times New Roman"/>
        </w:rPr>
        <w:t xml:space="preserve"> smernice</w:t>
      </w:r>
      <w:r>
        <w:rPr>
          <w:rFonts w:ascii="Times New Roman" w:hAnsi="Times New Roman"/>
        </w:rPr>
        <w:t xml:space="preserve"> 2013/50/EÚ. </w:t>
      </w:r>
    </w:p>
    <w:p w:rsidR="00D82673" w:rsidRPr="00C06B3A" w:rsidP="00D82673">
      <w:pPr>
        <w:bidi w:val="0"/>
        <w:jc w:val="both"/>
        <w:rPr>
          <w:rFonts w:ascii="Times New Roman" w:hAnsi="Times New Roman"/>
        </w:rPr>
      </w:pPr>
      <w:r w:rsidRPr="00C06B3A">
        <w:rPr>
          <w:rFonts w:ascii="Times New Roman" w:hAnsi="Times New Roman"/>
        </w:rPr>
        <w:t xml:space="preserve"> </w:t>
      </w:r>
    </w:p>
    <w:p w:rsidR="00D82673" w:rsidRPr="00C06B3A" w:rsidP="00D82673">
      <w:pPr>
        <w:bidi w:val="0"/>
        <w:jc w:val="both"/>
        <w:rPr>
          <w:rFonts w:ascii="Times New Roman" w:hAnsi="Times New Roman"/>
          <w:b/>
        </w:rPr>
      </w:pPr>
      <w:r w:rsidRPr="00C06B3A">
        <w:rPr>
          <w:rFonts w:ascii="Times New Roman" w:hAnsi="Times New Roman"/>
          <w:b/>
        </w:rPr>
        <w:t xml:space="preserve">K bodu </w:t>
      </w:r>
      <w:r>
        <w:rPr>
          <w:rFonts w:ascii="Times New Roman" w:hAnsi="Times New Roman"/>
          <w:b/>
        </w:rPr>
        <w:t>6</w:t>
      </w:r>
    </w:p>
    <w:p w:rsidR="00D82673" w:rsidRPr="00C06B3A" w:rsidP="00D82673">
      <w:pPr>
        <w:suppressAutoHyphens/>
        <w:autoSpaceDE w:val="0"/>
        <w:autoSpaceDN w:val="0"/>
        <w:bidi w:val="0"/>
        <w:adjustRightInd w:val="0"/>
        <w:jc w:val="both"/>
        <w:rPr>
          <w:rFonts w:ascii="Times New Roman" w:hAnsi="Times New Roman"/>
        </w:rPr>
      </w:pPr>
      <w:r w:rsidRPr="00993335" w:rsidR="005C1155">
        <w:rPr>
          <w:rFonts w:ascii="Times New Roman" w:hAnsi="Times New Roman"/>
        </w:rPr>
        <w:t xml:space="preserve">V súlade s čl. </w:t>
      </w:r>
      <w:r w:rsidRPr="00993335" w:rsidR="00F045D1">
        <w:rPr>
          <w:rFonts w:ascii="Times New Roman" w:hAnsi="Times New Roman"/>
        </w:rPr>
        <w:t>1 ods. 5</w:t>
      </w:r>
      <w:r w:rsidRPr="00993335" w:rsidR="005C1155">
        <w:rPr>
          <w:rFonts w:ascii="Times New Roman" w:hAnsi="Times New Roman"/>
        </w:rPr>
        <w:t xml:space="preserve"> smernice 2013/50/EÚ sa u</w:t>
      </w:r>
      <w:r w:rsidRPr="00993335">
        <w:rPr>
          <w:rFonts w:ascii="Times New Roman" w:hAnsi="Times New Roman"/>
        </w:rPr>
        <w:t>pravuje oblasť ročnej správy o platbách</w:t>
      </w:r>
      <w:r>
        <w:rPr>
          <w:rFonts w:ascii="Times New Roman" w:hAnsi="Times New Roman"/>
        </w:rPr>
        <w:t xml:space="preserve"> </w:t>
      </w:r>
      <w:r w:rsidRPr="00C06B3A">
        <w:rPr>
          <w:rFonts w:ascii="Times New Roman" w:hAnsi="Times New Roman"/>
        </w:rPr>
        <w:t>orgánom verejnej moci s cieľom zabezpečiť lepšiu transparentnosť platieb vládam. Emitenti, ktorých cenné papiere sú prijaté na obchodovanie na regulovanom trhu a ktorí vykonávajú činnosti v oblasti ťažobného priemyslu alebo v odvetví ťažby dreva v</w:t>
      </w:r>
      <w:r>
        <w:rPr>
          <w:rFonts w:ascii="Times New Roman" w:hAnsi="Times New Roman"/>
        </w:rPr>
        <w:t> </w:t>
      </w:r>
      <w:r w:rsidRPr="00C06B3A">
        <w:rPr>
          <w:rFonts w:ascii="Times New Roman" w:hAnsi="Times New Roman"/>
        </w:rPr>
        <w:t>pralesoch</w:t>
      </w:r>
      <w:r>
        <w:rPr>
          <w:rFonts w:ascii="Times New Roman" w:hAnsi="Times New Roman"/>
        </w:rPr>
        <w:t>,</w:t>
      </w:r>
      <w:r w:rsidRPr="00C06B3A">
        <w:rPr>
          <w:rFonts w:ascii="Times New Roman" w:hAnsi="Times New Roman"/>
        </w:rPr>
        <w:t xml:space="preserve"> by mali každoročne v rámci samostatnej správy zverejňovať platby vládam v krajinách, v ktorých pôsobia.</w:t>
      </w:r>
    </w:p>
    <w:p w:rsidR="00D82673" w:rsidRPr="00C06B3A" w:rsidP="00D82673">
      <w:pPr>
        <w:suppressAutoHyphens/>
        <w:autoSpaceDE w:val="0"/>
        <w:autoSpaceDN w:val="0"/>
        <w:bidi w:val="0"/>
        <w:adjustRightInd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K bod</w:t>
      </w:r>
      <w:r>
        <w:rPr>
          <w:rFonts w:ascii="Times New Roman" w:hAnsi="Times New Roman"/>
          <w:b/>
        </w:rPr>
        <w:t>u</w:t>
      </w:r>
      <w:r w:rsidRPr="00C06B3A">
        <w:rPr>
          <w:rFonts w:ascii="Times New Roman" w:hAnsi="Times New Roman"/>
          <w:b/>
        </w:rPr>
        <w:t xml:space="preserve"> </w:t>
      </w:r>
      <w:r>
        <w:rPr>
          <w:rFonts w:ascii="Times New Roman" w:hAnsi="Times New Roman"/>
          <w:b/>
        </w:rPr>
        <w:t>7</w:t>
      </w:r>
    </w:p>
    <w:p w:rsidR="00D82673" w:rsidRPr="00C06B3A" w:rsidP="00D82673">
      <w:pPr>
        <w:bidi w:val="0"/>
        <w:jc w:val="both"/>
        <w:rPr>
          <w:rFonts w:ascii="Times New Roman" w:hAnsi="Times New Roman"/>
        </w:rPr>
      </w:pPr>
      <w:r w:rsidRPr="00C06B3A">
        <w:rPr>
          <w:rFonts w:ascii="Times New Roman" w:hAnsi="Times New Roman"/>
        </w:rPr>
        <w:t>Ide o legislatívno-technickú úpravu</w:t>
      </w:r>
      <w:r w:rsidR="00263176">
        <w:rPr>
          <w:rFonts w:ascii="Times New Roman" w:hAnsi="Times New Roman"/>
        </w:rPr>
        <w:t xml:space="preserve"> – v nadväznosti na bod 6</w:t>
      </w:r>
      <w:r w:rsidRPr="00C06B3A">
        <w:rPr>
          <w:rFonts w:ascii="Times New Roman" w:hAnsi="Times New Roman"/>
        </w:rPr>
        <w:t>.</w:t>
      </w:r>
    </w:p>
    <w:p w:rsidR="00D82673" w:rsidRPr="00C06B3A" w:rsidP="00D82673">
      <w:pPr>
        <w:bidi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 xml:space="preserve">K bodu </w:t>
      </w:r>
      <w:r>
        <w:rPr>
          <w:rFonts w:ascii="Times New Roman" w:hAnsi="Times New Roman"/>
          <w:b/>
        </w:rPr>
        <w:t>8</w:t>
      </w:r>
    </w:p>
    <w:p w:rsidR="00D82673" w:rsidRPr="00C06B3A" w:rsidP="00D82673">
      <w:pPr>
        <w:bidi w:val="0"/>
        <w:jc w:val="both"/>
        <w:rPr>
          <w:rFonts w:ascii="Times New Roman" w:hAnsi="Times New Roman"/>
        </w:rPr>
      </w:pPr>
      <w:r w:rsidRPr="00993335" w:rsidR="00993335">
        <w:rPr>
          <w:rFonts w:ascii="Times New Roman" w:hAnsi="Times New Roman"/>
        </w:rPr>
        <w:t>V </w:t>
      </w:r>
      <w:r w:rsidRPr="00E27DA4" w:rsidR="00993335">
        <w:rPr>
          <w:rFonts w:ascii="Times New Roman" w:hAnsi="Times New Roman"/>
        </w:rPr>
        <w:t xml:space="preserve">súlade s čl. 1 ods. </w:t>
      </w:r>
      <w:r w:rsidRPr="00E27DA4" w:rsidR="00E27DA4">
        <w:rPr>
          <w:rFonts w:ascii="Times New Roman" w:hAnsi="Times New Roman"/>
        </w:rPr>
        <w:t>6 písm. a)</w:t>
      </w:r>
      <w:r w:rsidRPr="00993335" w:rsidR="00993335">
        <w:rPr>
          <w:rFonts w:ascii="Times New Roman" w:hAnsi="Times New Roman"/>
        </w:rPr>
        <w:t xml:space="preserve"> smernice 2013/50/EÚ sa </w:t>
      </w:r>
      <w:r w:rsidR="00993335">
        <w:rPr>
          <w:rFonts w:ascii="Times New Roman" w:hAnsi="Times New Roman"/>
        </w:rPr>
        <w:t>r</w:t>
      </w:r>
      <w:r w:rsidRPr="00C06B3A">
        <w:rPr>
          <w:rFonts w:ascii="Times New Roman" w:hAnsi="Times New Roman"/>
        </w:rPr>
        <w:t>ozširujú subjekty, na ktoré sa niektoré ustanovenia predmetného návrhu zákona nevzťahujú, ako napríklad Európsky nástroj finančnej stability a iný mechanizmus zriadený s cieľom zachovať finančnú stabilitu európskej menovej únie poskytovaním dočasnej finančnej pomoci členským štátom, ktorých menou je mena euro.</w:t>
      </w:r>
    </w:p>
    <w:p w:rsidR="00D82673" w:rsidRPr="00C06B3A" w:rsidP="00D82673">
      <w:pPr>
        <w:bidi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 xml:space="preserve">K bodu </w:t>
      </w:r>
      <w:r>
        <w:rPr>
          <w:rFonts w:ascii="Times New Roman" w:hAnsi="Times New Roman"/>
          <w:b/>
        </w:rPr>
        <w:t>9</w:t>
      </w:r>
    </w:p>
    <w:p w:rsidR="00D82673" w:rsidP="00D82673">
      <w:pPr>
        <w:bidi w:val="0"/>
        <w:jc w:val="both"/>
        <w:rPr>
          <w:rFonts w:ascii="Times New Roman" w:hAnsi="Times New Roman"/>
        </w:rPr>
      </w:pPr>
      <w:r w:rsidRPr="00C06B3A">
        <w:rPr>
          <w:rFonts w:ascii="Times New Roman" w:hAnsi="Times New Roman"/>
        </w:rPr>
        <w:t xml:space="preserve">Z dôvodu zjednodušenia určitých povinností emitentov s cieľom zvýšiť atraktívnosť regulovaných trhov pre malých a stredných emitentov a z dôvodu zníženia administratívnej záťaže emitentov sa vypúšťajú predmetné odseky. </w:t>
      </w:r>
    </w:p>
    <w:p w:rsidR="00D82673" w:rsidP="00D82673">
      <w:pPr>
        <w:bidi w:val="0"/>
        <w:jc w:val="both"/>
        <w:rPr>
          <w:rFonts w:ascii="Times New Roman" w:hAnsi="Times New Roman"/>
          <w:b/>
        </w:rPr>
      </w:pPr>
    </w:p>
    <w:p w:rsidR="00D82673" w:rsidRPr="00EB7003" w:rsidP="00D82673">
      <w:pPr>
        <w:bidi w:val="0"/>
        <w:jc w:val="both"/>
        <w:rPr>
          <w:rFonts w:ascii="Times New Roman" w:hAnsi="Times New Roman"/>
          <w:b/>
        </w:rPr>
      </w:pPr>
      <w:r w:rsidRPr="00EB7003">
        <w:rPr>
          <w:rFonts w:ascii="Times New Roman" w:hAnsi="Times New Roman"/>
          <w:b/>
        </w:rPr>
        <w:t>K bodu 10</w:t>
      </w:r>
    </w:p>
    <w:p w:rsidR="00D82673" w:rsidP="00D82673">
      <w:pPr>
        <w:bidi w:val="0"/>
        <w:jc w:val="both"/>
        <w:rPr>
          <w:rFonts w:ascii="Times New Roman" w:hAnsi="Times New Roman"/>
        </w:rPr>
      </w:pPr>
      <w:r>
        <w:rPr>
          <w:rFonts w:ascii="Times New Roman" w:hAnsi="Times New Roman"/>
        </w:rPr>
        <w:t>Ide o zmenu, kde sa v rámci oznamovacej povinnosti akcionára emitentovi nahrádza rodné číslo dátumom narodenia.</w:t>
      </w:r>
    </w:p>
    <w:p w:rsidR="00D82673" w:rsidP="00D82673">
      <w:pPr>
        <w:bidi w:val="0"/>
        <w:jc w:val="both"/>
        <w:rPr>
          <w:rFonts w:ascii="Times New Roman" w:hAnsi="Times New Roman"/>
        </w:rPr>
      </w:pPr>
    </w:p>
    <w:p w:rsidR="00D82673" w:rsidRPr="00E27DA4" w:rsidP="00D82673">
      <w:pPr>
        <w:bidi w:val="0"/>
        <w:jc w:val="both"/>
        <w:rPr>
          <w:rFonts w:ascii="Times New Roman" w:hAnsi="Times New Roman"/>
          <w:b/>
        </w:rPr>
      </w:pPr>
      <w:r w:rsidRPr="00E27DA4">
        <w:rPr>
          <w:rFonts w:ascii="Times New Roman" w:hAnsi="Times New Roman"/>
          <w:b/>
        </w:rPr>
        <w:t>K bodu 11</w:t>
      </w:r>
    </w:p>
    <w:p w:rsidR="00D82673" w:rsidRPr="00C06B3A" w:rsidP="00D82673">
      <w:pPr>
        <w:bidi w:val="0"/>
        <w:jc w:val="both"/>
        <w:rPr>
          <w:rFonts w:ascii="Times New Roman" w:hAnsi="Times New Roman"/>
        </w:rPr>
      </w:pPr>
      <w:r w:rsidRPr="00E27DA4">
        <w:rPr>
          <w:rFonts w:ascii="Times New Roman" w:hAnsi="Times New Roman"/>
        </w:rPr>
        <w:t>Ide o</w:t>
      </w:r>
      <w:r w:rsidRPr="00E27DA4" w:rsidR="00263176">
        <w:rPr>
          <w:rFonts w:ascii="Times New Roman" w:hAnsi="Times New Roman"/>
        </w:rPr>
        <w:t> vecnú zmenu vyplývajúcu z čl.</w:t>
      </w:r>
      <w:r w:rsidRPr="00E27DA4" w:rsidR="00E27DA4">
        <w:rPr>
          <w:rFonts w:ascii="Times New Roman" w:hAnsi="Times New Roman"/>
        </w:rPr>
        <w:t xml:space="preserve"> 1 ods. 8 </w:t>
      </w:r>
      <w:r w:rsidRPr="00E27DA4" w:rsidR="00263176">
        <w:rPr>
          <w:rFonts w:ascii="Times New Roman" w:hAnsi="Times New Roman"/>
        </w:rPr>
        <w:t>smernice</w:t>
      </w:r>
      <w:r w:rsidRPr="00E27DA4" w:rsidR="00E27DA4">
        <w:rPr>
          <w:rFonts w:ascii="Times New Roman" w:hAnsi="Times New Roman"/>
        </w:rPr>
        <w:t xml:space="preserve"> 2013/50/EÚ</w:t>
      </w:r>
      <w:r w:rsidRPr="00E27DA4">
        <w:rPr>
          <w:rFonts w:ascii="Times New Roman" w:hAnsi="Times New Roman"/>
        </w:rPr>
        <w:t>.</w:t>
      </w:r>
    </w:p>
    <w:p w:rsidR="00D82673" w:rsidRPr="00C06B3A" w:rsidP="00D82673">
      <w:pPr>
        <w:bidi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K bod</w:t>
      </w:r>
      <w:r>
        <w:rPr>
          <w:rFonts w:ascii="Times New Roman" w:hAnsi="Times New Roman"/>
          <w:b/>
        </w:rPr>
        <w:t>u</w:t>
      </w:r>
      <w:r w:rsidRPr="00C06B3A">
        <w:rPr>
          <w:rFonts w:ascii="Times New Roman" w:hAnsi="Times New Roman"/>
          <w:b/>
        </w:rPr>
        <w:t xml:space="preserve"> </w:t>
      </w:r>
      <w:r>
        <w:rPr>
          <w:rFonts w:ascii="Times New Roman" w:hAnsi="Times New Roman"/>
          <w:b/>
        </w:rPr>
        <w:t>12</w:t>
      </w:r>
      <w:r w:rsidRPr="00C06B3A">
        <w:rPr>
          <w:rFonts w:ascii="Times New Roman" w:hAnsi="Times New Roman"/>
          <w:b/>
        </w:rPr>
        <w:t xml:space="preserve"> </w:t>
      </w:r>
    </w:p>
    <w:p w:rsidR="00D82673" w:rsidRPr="00C06B3A" w:rsidP="00D82673">
      <w:pPr>
        <w:bidi w:val="0"/>
        <w:jc w:val="both"/>
        <w:rPr>
          <w:rFonts w:ascii="Times New Roman" w:hAnsi="Times New Roman"/>
        </w:rPr>
      </w:pPr>
      <w:r w:rsidR="00E27DA4">
        <w:rPr>
          <w:rFonts w:ascii="Times New Roman" w:hAnsi="Times New Roman"/>
        </w:rPr>
        <w:t>Z dôvodu transpozície čl. 1 ods. 1 písm. a) a b) smernice 2013/50/EÚ sa u</w:t>
      </w:r>
      <w:r w:rsidRPr="00805BC8">
        <w:rPr>
          <w:rFonts w:ascii="Times New Roman" w:hAnsi="Times New Roman"/>
        </w:rPr>
        <w:t>pravuje výnimka z oznamovacej povinnosti akcionára podľa § 41 ods. 1 a 2 v prípade, ak sa hlasovacie práva spojené s držanými akciami nepredstavujú viac ako 5 % celkových hlasovacích práv alebo sa hlasovacie práva k akciám vedeným v obchodnej knihe nevykonávajú, ako aj v prípade, ak sa hlasovacie práva viažu k akciám nadobudnutým na stabilizačné účely a hlasovacie práva sa nevykonávajú.</w:t>
      </w:r>
      <w:r>
        <w:rPr>
          <w:rFonts w:ascii="Times New Roman" w:hAnsi="Times New Roman"/>
        </w:rPr>
        <w:t xml:space="preserve">     </w:t>
      </w:r>
    </w:p>
    <w:p w:rsidR="00D82673" w:rsidP="00D82673">
      <w:pPr>
        <w:bidi w:val="0"/>
        <w:jc w:val="both"/>
        <w:rPr>
          <w:rFonts w:ascii="Times New Roman" w:hAnsi="Times New Roman"/>
        </w:rPr>
      </w:pPr>
    </w:p>
    <w:p w:rsidR="00D82673" w:rsidRPr="00263176" w:rsidP="00D82673">
      <w:pPr>
        <w:bidi w:val="0"/>
        <w:jc w:val="both"/>
        <w:rPr>
          <w:rFonts w:ascii="Times New Roman" w:hAnsi="Times New Roman"/>
          <w:b/>
        </w:rPr>
      </w:pPr>
      <w:r w:rsidRPr="00263176">
        <w:rPr>
          <w:rFonts w:ascii="Times New Roman" w:hAnsi="Times New Roman"/>
          <w:b/>
        </w:rPr>
        <w:t>K bodu 13</w:t>
      </w:r>
    </w:p>
    <w:p w:rsidR="00D82673" w:rsidRPr="00C06B3A" w:rsidP="00D82673">
      <w:pPr>
        <w:bidi w:val="0"/>
        <w:jc w:val="both"/>
        <w:rPr>
          <w:rFonts w:ascii="Times New Roman" w:hAnsi="Times New Roman"/>
        </w:rPr>
      </w:pPr>
      <w:r w:rsidRPr="00263176">
        <w:rPr>
          <w:rFonts w:ascii="Times New Roman" w:hAnsi="Times New Roman"/>
        </w:rPr>
        <w:t>Ide o legislatívno-technickú úpravu</w:t>
      </w:r>
      <w:r w:rsidRPr="00263176" w:rsidR="00263176">
        <w:rPr>
          <w:rFonts w:ascii="Times New Roman" w:hAnsi="Times New Roman"/>
        </w:rPr>
        <w:t xml:space="preserve"> – úprava vnútorného odkazu</w:t>
      </w:r>
      <w:r w:rsidRPr="00263176">
        <w:rPr>
          <w:rFonts w:ascii="Times New Roman" w:hAnsi="Times New Roman"/>
        </w:rPr>
        <w:t>.</w:t>
      </w:r>
    </w:p>
    <w:p w:rsidR="00D82673" w:rsidP="00D82673">
      <w:pPr>
        <w:bidi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K bodom 1</w:t>
      </w:r>
      <w:r>
        <w:rPr>
          <w:rFonts w:ascii="Times New Roman" w:hAnsi="Times New Roman"/>
          <w:b/>
        </w:rPr>
        <w:t>4</w:t>
      </w:r>
      <w:r w:rsidRPr="00C06B3A">
        <w:rPr>
          <w:rFonts w:ascii="Times New Roman" w:hAnsi="Times New Roman"/>
          <w:b/>
        </w:rPr>
        <w:t xml:space="preserve"> </w:t>
      </w:r>
    </w:p>
    <w:p w:rsidR="00D82673" w:rsidRPr="00C06B3A" w:rsidP="00D82673">
      <w:pPr>
        <w:bidi w:val="0"/>
        <w:jc w:val="both"/>
        <w:rPr>
          <w:rFonts w:ascii="Times New Roman" w:hAnsi="Times New Roman"/>
        </w:rPr>
      </w:pPr>
      <w:r w:rsidR="00ED5517">
        <w:rPr>
          <w:rFonts w:ascii="Times New Roman" w:hAnsi="Times New Roman"/>
        </w:rPr>
        <w:t>Z dôvodu transpozície čl. 1 ods. 9 písm. a) smernice 2013/50/EÚ sa r</w:t>
      </w:r>
      <w:r w:rsidRPr="00805BC8">
        <w:rPr>
          <w:rFonts w:ascii="Times New Roman" w:hAnsi="Times New Roman"/>
        </w:rPr>
        <w:t>ozširuje oznamovacia povinnosť v prípade, ak osoba drží priamo alebo nepriamo finančné nástroje až ku dňu splatnosti alebo drží finančné nástroje, ktoré sa vzťahujú na akcie a ktoré majú podobný ekonomický účinok bez ohľadu na to, či zakladajú právo na doručenie.</w:t>
      </w:r>
      <w:r w:rsidR="00E27DA4">
        <w:rPr>
          <w:rFonts w:ascii="Times New Roman" w:hAnsi="Times New Roman"/>
        </w:rPr>
        <w:t xml:space="preserve">  </w:t>
      </w:r>
      <w:r>
        <w:rPr>
          <w:rFonts w:ascii="Times New Roman" w:hAnsi="Times New Roman"/>
        </w:rPr>
        <w:t xml:space="preserve">   </w:t>
      </w:r>
    </w:p>
    <w:p w:rsidR="00D82673" w:rsidRPr="00C06B3A" w:rsidP="00D82673">
      <w:pPr>
        <w:bidi w:val="0"/>
        <w:jc w:val="right"/>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K bodu 1</w:t>
      </w:r>
      <w:r>
        <w:rPr>
          <w:rFonts w:ascii="Times New Roman" w:hAnsi="Times New Roman"/>
          <w:b/>
        </w:rPr>
        <w:t>5</w:t>
      </w:r>
    </w:p>
    <w:p w:rsidR="00D82673" w:rsidRPr="00C06B3A" w:rsidP="00D82673">
      <w:pPr>
        <w:bidi w:val="0"/>
        <w:jc w:val="both"/>
        <w:rPr>
          <w:rFonts w:ascii="Times New Roman" w:hAnsi="Times New Roman"/>
        </w:rPr>
      </w:pPr>
      <w:r w:rsidR="00E27DA4">
        <w:rPr>
          <w:rFonts w:ascii="Times New Roman" w:hAnsi="Times New Roman"/>
        </w:rPr>
        <w:t xml:space="preserve">Z dôvodu </w:t>
      </w:r>
      <w:r w:rsidRPr="00ED5517" w:rsidR="00E27DA4">
        <w:rPr>
          <w:rFonts w:ascii="Times New Roman" w:hAnsi="Times New Roman"/>
        </w:rPr>
        <w:t xml:space="preserve">transpozície čl. 1 ods. </w:t>
      </w:r>
      <w:r w:rsidRPr="00ED5517" w:rsidR="003D4F05">
        <w:rPr>
          <w:rFonts w:ascii="Times New Roman" w:hAnsi="Times New Roman"/>
        </w:rPr>
        <w:t>9</w:t>
      </w:r>
      <w:r w:rsidRPr="00ED5517" w:rsidR="00E27DA4">
        <w:rPr>
          <w:rFonts w:ascii="Times New Roman" w:hAnsi="Times New Roman"/>
        </w:rPr>
        <w:t xml:space="preserve"> smernice 2013</w:t>
      </w:r>
      <w:r w:rsidR="00E27DA4">
        <w:rPr>
          <w:rFonts w:ascii="Times New Roman" w:hAnsi="Times New Roman"/>
        </w:rPr>
        <w:t>/50/EÚ sa u</w:t>
      </w:r>
      <w:r w:rsidRPr="00805BC8">
        <w:rPr>
          <w:rFonts w:ascii="Times New Roman" w:hAnsi="Times New Roman"/>
        </w:rPr>
        <w:t>presňuje, že transakcie s derivátmi možno vyrovnať fyzickým doručením alebo v peniazoch.</w:t>
      </w:r>
      <w:r>
        <w:rPr>
          <w:rFonts w:ascii="Times New Roman" w:hAnsi="Times New Roman"/>
        </w:rPr>
        <w:t xml:space="preserve"> </w:t>
      </w:r>
    </w:p>
    <w:p w:rsidR="00D82673" w:rsidP="00D82673">
      <w:pPr>
        <w:bidi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K bodu 1</w:t>
      </w:r>
      <w:r>
        <w:rPr>
          <w:rFonts w:ascii="Times New Roman" w:hAnsi="Times New Roman"/>
          <w:b/>
        </w:rPr>
        <w:t>6</w:t>
      </w:r>
    </w:p>
    <w:p w:rsidR="00D82673" w:rsidP="00D82673">
      <w:pPr>
        <w:bidi w:val="0"/>
        <w:jc w:val="both"/>
        <w:rPr>
          <w:rFonts w:ascii="Times New Roman" w:hAnsi="Times New Roman"/>
        </w:rPr>
      </w:pPr>
      <w:r w:rsidRPr="00805BC8">
        <w:rPr>
          <w:rFonts w:ascii="Times New Roman" w:hAnsi="Times New Roman"/>
        </w:rPr>
        <w:t>Upravuje sa  obsah oznámenia podľa § 41 ods. 2, ktoré sa má členiť podľa druhu finančných nástrojov, pričom treba rozlišovať, či tieto nástroje zakladajú právo na doručenie alebo právo na peňažné vyrovnanie. Zároveň je potrebné v oznámení uviesť aj počet hlasovacích práv spojených s akciami a počet hlasovacích práv spojených s finančnými nástrojmi, z ktorých vyplýva oprávnenie nadobudnúť akcie, s ktorými sú spojené hlasovacie práva.</w:t>
      </w:r>
      <w:r w:rsidR="003D4F05">
        <w:rPr>
          <w:rFonts w:ascii="Times New Roman" w:hAnsi="Times New Roman"/>
        </w:rPr>
        <w:t xml:space="preserve"> Uvedeným ustanovením sa </w:t>
      </w:r>
      <w:r w:rsidRPr="00ED5517" w:rsidR="003D4F05">
        <w:rPr>
          <w:rFonts w:ascii="Times New Roman" w:hAnsi="Times New Roman"/>
        </w:rPr>
        <w:t xml:space="preserve">transponuje čl. </w:t>
      </w:r>
      <w:r w:rsidRPr="00ED5517">
        <w:rPr>
          <w:rFonts w:ascii="Times New Roman" w:hAnsi="Times New Roman"/>
        </w:rPr>
        <w:t xml:space="preserve"> </w:t>
      </w:r>
      <w:r w:rsidRPr="00ED5517" w:rsidR="003D4F05">
        <w:rPr>
          <w:rFonts w:ascii="Times New Roman" w:hAnsi="Times New Roman"/>
        </w:rPr>
        <w:t>1 ods. 9 smernice</w:t>
      </w:r>
      <w:r w:rsidR="003D4F05">
        <w:rPr>
          <w:rFonts w:ascii="Times New Roman" w:hAnsi="Times New Roman"/>
        </w:rPr>
        <w:t xml:space="preserve"> 2013/50/EÚ.</w:t>
      </w:r>
      <w:r>
        <w:rPr>
          <w:rFonts w:ascii="Times New Roman" w:hAnsi="Times New Roman"/>
        </w:rPr>
        <w:t xml:space="preserve">     </w:t>
      </w:r>
    </w:p>
    <w:p w:rsidR="00D82673" w:rsidRPr="00C06B3A" w:rsidP="00D82673">
      <w:pPr>
        <w:bidi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K bodu 1</w:t>
      </w:r>
      <w:r>
        <w:rPr>
          <w:rFonts w:ascii="Times New Roman" w:hAnsi="Times New Roman"/>
          <w:b/>
        </w:rPr>
        <w:t>7</w:t>
      </w:r>
    </w:p>
    <w:p w:rsidR="00D82673" w:rsidP="00D82673">
      <w:pPr>
        <w:bidi w:val="0"/>
        <w:jc w:val="both"/>
        <w:rPr>
          <w:rFonts w:ascii="Times New Roman" w:hAnsi="Times New Roman"/>
        </w:rPr>
      </w:pPr>
      <w:r w:rsidR="003D4F05">
        <w:rPr>
          <w:rFonts w:ascii="Times New Roman" w:hAnsi="Times New Roman"/>
        </w:rPr>
        <w:t xml:space="preserve">Z dôvodu transpozície </w:t>
      </w:r>
      <w:r w:rsidRPr="00ED5517" w:rsidR="003D4F05">
        <w:rPr>
          <w:rFonts w:ascii="Times New Roman" w:hAnsi="Times New Roman"/>
        </w:rPr>
        <w:t xml:space="preserve">čl. 1 ods. </w:t>
      </w:r>
      <w:r w:rsidRPr="00ED5517" w:rsidR="00ED5517">
        <w:rPr>
          <w:rFonts w:ascii="Times New Roman" w:hAnsi="Times New Roman"/>
        </w:rPr>
        <w:t>1</w:t>
      </w:r>
      <w:r w:rsidRPr="00ED5517" w:rsidR="003D4F05">
        <w:rPr>
          <w:rFonts w:ascii="Times New Roman" w:hAnsi="Times New Roman"/>
        </w:rPr>
        <w:t xml:space="preserve"> smernice</w:t>
      </w:r>
      <w:r w:rsidR="003D4F05">
        <w:rPr>
          <w:rFonts w:ascii="Times New Roman" w:hAnsi="Times New Roman"/>
        </w:rPr>
        <w:t xml:space="preserve"> 2013/50/EÚ sa z</w:t>
      </w:r>
      <w:r w:rsidRPr="00805BC8">
        <w:rPr>
          <w:rFonts w:ascii="Times New Roman" w:hAnsi="Times New Roman"/>
        </w:rPr>
        <w:t>avádza povinnosť zverejniť voľbu  domovského členského štátu rovnako ako regulovanú informáciu a oznámiť ju príslušným regulačným orgánom. Taktiež sa ustanovuje postup pre platnosť domovského členského štátu v prípade, ak si emitent  nevyberie žiaden členský štát.</w:t>
      </w:r>
      <w:r>
        <w:rPr>
          <w:rFonts w:ascii="Times New Roman" w:hAnsi="Times New Roman"/>
        </w:rPr>
        <w:t xml:space="preserve">      </w:t>
      </w:r>
    </w:p>
    <w:p w:rsidR="00D82673" w:rsidRPr="00C06B3A" w:rsidP="00D82673">
      <w:pPr>
        <w:bidi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K bodu 1</w:t>
      </w:r>
      <w:r>
        <w:rPr>
          <w:rFonts w:ascii="Times New Roman" w:hAnsi="Times New Roman"/>
          <w:b/>
        </w:rPr>
        <w:t>8</w:t>
      </w:r>
    </w:p>
    <w:p w:rsidR="00483F8E" w:rsidP="00483F8E">
      <w:pPr>
        <w:bidi w:val="0"/>
        <w:jc w:val="both"/>
        <w:rPr>
          <w:rFonts w:ascii="Times New Roman" w:hAnsi="Times New Roman"/>
        </w:rPr>
      </w:pPr>
      <w:r w:rsidRPr="00C06B3A" w:rsidR="00D82673">
        <w:rPr>
          <w:rFonts w:ascii="Times New Roman" w:hAnsi="Times New Roman"/>
        </w:rPr>
        <w:t xml:space="preserve">V súvislosti so zjednodušeným cezhraničným investovaním by investori mali mať možnosť jednoduchého prístupu k regulovaným informáciám o všetkých kótovaných spoločnostiach v Európskej únii, ale súčasná sieť úradne určených vnútroštátnych mechanizmov na centrálne archivovanie regulovaných informácií nezabezpečuje jednoduché </w:t>
      </w:r>
      <w:r w:rsidRPr="00805BC8" w:rsidR="00D82673">
        <w:rPr>
          <w:rFonts w:ascii="Times New Roman" w:hAnsi="Times New Roman"/>
        </w:rPr>
        <w:t xml:space="preserve">vyhľadávanie.  Preto sa určuje povinnosť Národnej banke Slovenska sprístupniť centrálnu evidenciu regulovaných informácií na účely európskeho elektronického miesta prístupu vytvoreného a prevádzkovaného Európskym orgánom </w:t>
      </w:r>
      <w:r w:rsidRPr="00483F8E" w:rsidR="00D82673">
        <w:rPr>
          <w:rFonts w:ascii="Times New Roman" w:hAnsi="Times New Roman"/>
        </w:rPr>
        <w:t xml:space="preserve">dohľadu. </w:t>
      </w:r>
      <w:r w:rsidRPr="00483F8E">
        <w:rPr>
          <w:rFonts w:ascii="Times New Roman" w:hAnsi="Times New Roman"/>
        </w:rPr>
        <w:t>Uvedeným ustanovením sa transponuje čl.  1 ods. 14 smernice 2013/50/EÚ.</w:t>
      </w:r>
      <w:r>
        <w:rPr>
          <w:rFonts w:ascii="Times New Roman" w:hAnsi="Times New Roman"/>
        </w:rPr>
        <w:t xml:space="preserve">     </w:t>
      </w:r>
    </w:p>
    <w:p w:rsidR="00D82673" w:rsidRPr="00C06B3A" w:rsidP="00D82673">
      <w:pPr>
        <w:bidi w:val="0"/>
        <w:jc w:val="both"/>
        <w:rPr>
          <w:rFonts w:ascii="Times New Roman" w:hAnsi="Times New Roman"/>
        </w:rPr>
      </w:pPr>
      <w:r>
        <w:rPr>
          <w:rFonts w:ascii="Times New Roman" w:hAnsi="Times New Roman"/>
        </w:rPr>
        <w:t xml:space="preserve">  </w:t>
      </w:r>
    </w:p>
    <w:p w:rsidR="00D82673" w:rsidRPr="00805BC8" w:rsidP="00D82673">
      <w:pPr>
        <w:bidi w:val="0"/>
        <w:jc w:val="both"/>
        <w:rPr>
          <w:rFonts w:ascii="Times New Roman" w:hAnsi="Times New Roman"/>
        </w:rPr>
      </w:pPr>
      <w:r w:rsidRPr="00805BC8">
        <w:rPr>
          <w:rFonts w:ascii="Times New Roman" w:hAnsi="Times New Roman"/>
          <w:b/>
        </w:rPr>
        <w:t>K bodu 19</w:t>
      </w:r>
    </w:p>
    <w:p w:rsidR="00D82673" w:rsidRPr="00805BC8" w:rsidP="00D82673">
      <w:pPr>
        <w:bidi w:val="0"/>
        <w:jc w:val="both"/>
        <w:rPr>
          <w:rFonts w:ascii="Times New Roman" w:hAnsi="Times New Roman"/>
        </w:rPr>
      </w:pPr>
      <w:r w:rsidRPr="00805BC8">
        <w:rPr>
          <w:rFonts w:ascii="Times New Roman" w:hAnsi="Times New Roman"/>
        </w:rPr>
        <w:t xml:space="preserve">Precizujú sa podmienky, za ktorých môže Národná  banka Slovenska oslobodiť emitenta so sídlom v nečlenskom štáte od plnenia oznamovacích povinností. Podľa uvedeného ustanovenia Národná banka Slovenska nemôže oslobodiť emitenta od predloženia    predbežného vyhlásenia riadiaceho orgánu emitenta. </w:t>
      </w:r>
    </w:p>
    <w:p w:rsidR="00D82673" w:rsidRPr="00805BC8" w:rsidP="00D82673">
      <w:pPr>
        <w:bidi w:val="0"/>
        <w:jc w:val="both"/>
        <w:rPr>
          <w:rFonts w:ascii="Times New Roman" w:hAnsi="Times New Roman"/>
        </w:rPr>
      </w:pPr>
    </w:p>
    <w:p w:rsidR="00D82673" w:rsidRPr="00805BC8" w:rsidP="00D82673">
      <w:pPr>
        <w:bidi w:val="0"/>
        <w:jc w:val="both"/>
        <w:rPr>
          <w:rFonts w:ascii="Times New Roman" w:hAnsi="Times New Roman"/>
        </w:rPr>
      </w:pPr>
      <w:r w:rsidRPr="00805BC8">
        <w:rPr>
          <w:rFonts w:ascii="Times New Roman" w:hAnsi="Times New Roman"/>
          <w:b/>
        </w:rPr>
        <w:t>K bodu 20</w:t>
      </w:r>
    </w:p>
    <w:p w:rsidR="00D82673" w:rsidP="00D82673">
      <w:pPr>
        <w:bidi w:val="0"/>
        <w:jc w:val="both"/>
        <w:rPr>
          <w:rFonts w:ascii="Times New Roman" w:hAnsi="Times New Roman"/>
        </w:rPr>
      </w:pPr>
      <w:r w:rsidR="00F7111E">
        <w:rPr>
          <w:rFonts w:ascii="Times New Roman" w:hAnsi="Times New Roman"/>
        </w:rPr>
        <w:t xml:space="preserve">Ustanovenie § 49 ods. 2 sa vypúšťa z dôvodu </w:t>
      </w:r>
      <w:r w:rsidR="00ED5517">
        <w:rPr>
          <w:rFonts w:ascii="Times New Roman" w:hAnsi="Times New Roman"/>
        </w:rPr>
        <w:t>transpo</w:t>
      </w:r>
      <w:r w:rsidR="00F7111E">
        <w:rPr>
          <w:rFonts w:ascii="Times New Roman" w:hAnsi="Times New Roman"/>
        </w:rPr>
        <w:t xml:space="preserve">zície </w:t>
      </w:r>
      <w:r w:rsidR="00ED5517">
        <w:rPr>
          <w:rFonts w:ascii="Times New Roman" w:hAnsi="Times New Roman"/>
        </w:rPr>
        <w:t xml:space="preserve"> čl. 3 smernice </w:t>
      </w:r>
      <w:r w:rsidRPr="00483F8E" w:rsidR="00ED5517">
        <w:rPr>
          <w:rFonts w:ascii="Times New Roman" w:hAnsi="Times New Roman"/>
        </w:rPr>
        <w:t>2013/50/EÚ</w:t>
      </w:r>
      <w:r w:rsidR="00ED5517">
        <w:rPr>
          <w:rFonts w:ascii="Times New Roman" w:hAnsi="Times New Roman"/>
        </w:rPr>
        <w:t xml:space="preserve">, ktorým sa vypustil čl. 16 delegovanej direktívy, ktorý stanovoval požiadavku na ekvivalentnosť emitentov. </w:t>
      </w:r>
      <w:r w:rsidR="00F7111E">
        <w:rPr>
          <w:rFonts w:ascii="Times New Roman" w:hAnsi="Times New Roman"/>
        </w:rPr>
        <w:t>Uvedené ustanovenie smern</w:t>
      </w:r>
      <w:r w:rsidR="00E90AD6">
        <w:rPr>
          <w:rFonts w:ascii="Times New Roman" w:hAnsi="Times New Roman"/>
        </w:rPr>
        <w:t>i</w:t>
      </w:r>
      <w:r w:rsidR="00F7111E">
        <w:rPr>
          <w:rFonts w:ascii="Times New Roman" w:hAnsi="Times New Roman"/>
        </w:rPr>
        <w:t xml:space="preserve">ce sa transponovalo na základe splnomocňovacieho ustanovenia pre NBS na vydanie opatrenia, ktoré už nie </w:t>
      </w:r>
      <w:r w:rsidR="00E90AD6">
        <w:rPr>
          <w:rFonts w:ascii="Times New Roman" w:hAnsi="Times New Roman"/>
        </w:rPr>
        <w:t xml:space="preserve">je </w:t>
      </w:r>
      <w:r w:rsidR="00F7111E">
        <w:rPr>
          <w:rFonts w:ascii="Times New Roman" w:hAnsi="Times New Roman"/>
        </w:rPr>
        <w:t xml:space="preserve">potrebné. </w:t>
      </w:r>
    </w:p>
    <w:p w:rsidR="00ED5517" w:rsidP="00D82673">
      <w:pPr>
        <w:bidi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K bodom 2</w:t>
      </w:r>
      <w:r>
        <w:rPr>
          <w:rFonts w:ascii="Times New Roman" w:hAnsi="Times New Roman"/>
          <w:b/>
        </w:rPr>
        <w:t>1</w:t>
      </w:r>
      <w:r w:rsidRPr="00C06B3A">
        <w:rPr>
          <w:rFonts w:ascii="Times New Roman" w:hAnsi="Times New Roman"/>
          <w:b/>
        </w:rPr>
        <w:t xml:space="preserve"> a 2</w:t>
      </w:r>
      <w:r>
        <w:rPr>
          <w:rFonts w:ascii="Times New Roman" w:hAnsi="Times New Roman"/>
          <w:b/>
        </w:rPr>
        <w:t>2</w:t>
      </w:r>
    </w:p>
    <w:p w:rsidR="00D82673" w:rsidP="00D82673">
      <w:pPr>
        <w:bidi w:val="0"/>
        <w:jc w:val="both"/>
        <w:rPr>
          <w:rFonts w:ascii="Times New Roman" w:hAnsi="Times New Roman"/>
        </w:rPr>
      </w:pPr>
      <w:r w:rsidRPr="00C06B3A">
        <w:rPr>
          <w:rFonts w:ascii="Times New Roman" w:hAnsi="Times New Roman"/>
        </w:rPr>
        <w:t>V súlade s</w:t>
      </w:r>
      <w:r w:rsidR="00483F8E">
        <w:rPr>
          <w:rFonts w:ascii="Times New Roman" w:hAnsi="Times New Roman"/>
        </w:rPr>
        <w:t> </w:t>
      </w:r>
      <w:r w:rsidRPr="00483F8E" w:rsidR="00483F8E">
        <w:rPr>
          <w:rFonts w:ascii="Times New Roman" w:hAnsi="Times New Roman"/>
        </w:rPr>
        <w:t>čl. 1 ods. 21 smernice</w:t>
      </w:r>
      <w:r w:rsidR="00483F8E">
        <w:rPr>
          <w:rFonts w:ascii="Times New Roman" w:hAnsi="Times New Roman"/>
        </w:rPr>
        <w:t xml:space="preserve"> 2013/50/EÚ sa p</w:t>
      </w:r>
      <w:r w:rsidRPr="00C06B3A">
        <w:rPr>
          <w:rFonts w:ascii="Times New Roman" w:hAnsi="Times New Roman"/>
        </w:rPr>
        <w:t>osilň</w:t>
      </w:r>
      <w:r w:rsidR="00483F8E">
        <w:rPr>
          <w:rFonts w:ascii="Times New Roman" w:hAnsi="Times New Roman"/>
        </w:rPr>
        <w:t>uje</w:t>
      </w:r>
      <w:r w:rsidRPr="00C06B3A">
        <w:rPr>
          <w:rFonts w:ascii="Times New Roman" w:hAnsi="Times New Roman"/>
        </w:rPr>
        <w:t xml:space="preserve"> sankčný režim </w:t>
      </w:r>
      <w:r w:rsidR="00483F8E">
        <w:rPr>
          <w:rFonts w:ascii="Times New Roman" w:hAnsi="Times New Roman"/>
        </w:rPr>
        <w:t>a upravuje režim</w:t>
      </w:r>
      <w:r w:rsidRPr="00C06B3A">
        <w:rPr>
          <w:rFonts w:ascii="Times New Roman" w:hAnsi="Times New Roman"/>
        </w:rPr>
        <w:t xml:space="preserve"> ukladani</w:t>
      </w:r>
      <w:r w:rsidR="00483F8E">
        <w:rPr>
          <w:rFonts w:ascii="Times New Roman" w:hAnsi="Times New Roman"/>
        </w:rPr>
        <w:t>a</w:t>
      </w:r>
      <w:r w:rsidRPr="00C06B3A">
        <w:rPr>
          <w:rFonts w:ascii="Times New Roman" w:hAnsi="Times New Roman"/>
        </w:rPr>
        <w:t xml:space="preserve"> sankcií.</w:t>
      </w:r>
    </w:p>
    <w:p w:rsidR="00D82673" w:rsidRPr="00C06B3A" w:rsidP="00D82673">
      <w:pPr>
        <w:bidi w:val="0"/>
        <w:jc w:val="both"/>
        <w:rPr>
          <w:rFonts w:ascii="Times New Roman" w:hAnsi="Times New Roman"/>
        </w:rPr>
      </w:pPr>
      <w:r>
        <w:rPr>
          <w:rFonts w:ascii="Times New Roman" w:hAnsi="Times New Roman"/>
        </w:rPr>
        <w:t xml:space="preserve">Poslednou konsolidovanou ročnou účtovnou závierkou </w:t>
      </w:r>
      <w:r w:rsidR="00F7111E">
        <w:rPr>
          <w:rFonts w:ascii="Times New Roman" w:hAnsi="Times New Roman"/>
        </w:rPr>
        <w:t xml:space="preserve">na účely výpočtu sankcií podľa § 60 ods. 1 </w:t>
      </w:r>
      <w:r>
        <w:rPr>
          <w:rFonts w:ascii="Times New Roman" w:hAnsi="Times New Roman"/>
        </w:rPr>
        <w:t>sa rozumie posledná konsolidovaná ročná účtovná závierka, ktorá je k dispozícii.</w:t>
      </w:r>
    </w:p>
    <w:p w:rsidR="00D82673" w:rsidP="00D82673">
      <w:pPr>
        <w:bidi w:val="0"/>
        <w:jc w:val="both"/>
        <w:rPr>
          <w:rFonts w:ascii="Times New Roman" w:hAnsi="Times New Roman"/>
        </w:rPr>
      </w:pPr>
    </w:p>
    <w:p w:rsidR="00D82673" w:rsidRPr="00805BC8" w:rsidP="00D82673">
      <w:pPr>
        <w:bidi w:val="0"/>
        <w:jc w:val="both"/>
        <w:rPr>
          <w:rFonts w:ascii="Times New Roman" w:hAnsi="Times New Roman"/>
          <w:b/>
        </w:rPr>
      </w:pPr>
      <w:r w:rsidRPr="00805BC8">
        <w:rPr>
          <w:rFonts w:ascii="Times New Roman" w:hAnsi="Times New Roman"/>
          <w:b/>
        </w:rPr>
        <w:t>K bodu 23</w:t>
      </w:r>
    </w:p>
    <w:p w:rsidR="00483F8E" w:rsidP="00483F8E">
      <w:pPr>
        <w:bidi w:val="0"/>
        <w:jc w:val="both"/>
        <w:rPr>
          <w:rFonts w:ascii="Times New Roman" w:hAnsi="Times New Roman"/>
        </w:rPr>
      </w:pPr>
      <w:r w:rsidRPr="00805BC8" w:rsidR="00D82673">
        <w:rPr>
          <w:rFonts w:ascii="Times New Roman" w:hAnsi="Times New Roman"/>
        </w:rPr>
        <w:t>Vzhľadom na posilnenie sankčného režimu je potrebné ustanoviť aj detailné podmienky brané do úvahy pri uplatňovaní sankcií. Zároveň udelené pokuty budú zverejňované na web stránke Národnej banky Slovenska po dobu piatich rokov. V prípade odôvodneného rizika ohrozenia stability finančných trhov je Národná banka Slovenska oprávnená odložiť zverejnenie informácie o uloženej sankcii.  O uložení každej sankcie je Národná banka Slovenska povinná informovať Európsku komisiu a Európsky orgán dohľadu.</w:t>
      </w:r>
      <w:r w:rsidR="00D82673">
        <w:rPr>
          <w:rFonts w:ascii="Times New Roman" w:hAnsi="Times New Roman"/>
        </w:rPr>
        <w:t xml:space="preserve"> </w:t>
      </w:r>
      <w:r w:rsidRPr="00483F8E">
        <w:rPr>
          <w:rFonts w:ascii="Times New Roman" w:hAnsi="Times New Roman"/>
        </w:rPr>
        <w:t xml:space="preserve">Uvedeným ustanovením sa transponuje čl.  1 ods. </w:t>
      </w:r>
      <w:r>
        <w:rPr>
          <w:rFonts w:ascii="Times New Roman" w:hAnsi="Times New Roman"/>
        </w:rPr>
        <w:t xml:space="preserve">21 </w:t>
      </w:r>
      <w:r w:rsidRPr="00483F8E">
        <w:rPr>
          <w:rFonts w:ascii="Times New Roman" w:hAnsi="Times New Roman"/>
        </w:rPr>
        <w:t>smernice 2013/50/EÚ.</w:t>
      </w:r>
      <w:r>
        <w:rPr>
          <w:rFonts w:ascii="Times New Roman" w:hAnsi="Times New Roman"/>
        </w:rPr>
        <w:t xml:space="preserve">     </w:t>
      </w:r>
    </w:p>
    <w:p w:rsidR="00D82673" w:rsidRPr="00C06B3A" w:rsidP="00D82673">
      <w:pPr>
        <w:bidi w:val="0"/>
        <w:jc w:val="both"/>
        <w:rPr>
          <w:rFonts w:ascii="Times New Roman" w:hAnsi="Times New Roman"/>
        </w:rPr>
      </w:pPr>
      <w:r>
        <w:rPr>
          <w:rFonts w:ascii="Times New Roman" w:hAnsi="Times New Roman"/>
        </w:rPr>
        <w:t xml:space="preserve">    </w:t>
      </w:r>
    </w:p>
    <w:p w:rsidR="00D82673" w:rsidRPr="00C06B3A" w:rsidP="00D82673">
      <w:pPr>
        <w:bidi w:val="0"/>
        <w:jc w:val="both"/>
        <w:rPr>
          <w:rFonts w:ascii="Times New Roman" w:hAnsi="Times New Roman"/>
          <w:b/>
        </w:rPr>
      </w:pPr>
      <w:r w:rsidRPr="00C06B3A">
        <w:rPr>
          <w:rFonts w:ascii="Times New Roman" w:hAnsi="Times New Roman"/>
          <w:b/>
        </w:rPr>
        <w:t>K bodu 2</w:t>
      </w:r>
      <w:r>
        <w:rPr>
          <w:rFonts w:ascii="Times New Roman" w:hAnsi="Times New Roman"/>
          <w:b/>
        </w:rPr>
        <w:t>4</w:t>
      </w:r>
    </w:p>
    <w:p w:rsidR="00D82673" w:rsidRPr="00C06B3A" w:rsidP="00D82673">
      <w:pPr>
        <w:bidi w:val="0"/>
        <w:jc w:val="both"/>
        <w:rPr>
          <w:rFonts w:ascii="Times New Roman" w:hAnsi="Times New Roman"/>
        </w:rPr>
      </w:pPr>
      <w:r w:rsidRPr="00C06B3A">
        <w:rPr>
          <w:rFonts w:ascii="Times New Roman" w:hAnsi="Times New Roman"/>
        </w:rPr>
        <w:t>Upravuje sa prechodné obdobie emitenta vo vzťahu určenia domovského členského štátu.</w:t>
      </w:r>
    </w:p>
    <w:p w:rsidR="00D82673" w:rsidRPr="00C06B3A" w:rsidP="00D82673">
      <w:pPr>
        <w:bidi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K bodu 2</w:t>
      </w:r>
      <w:r>
        <w:rPr>
          <w:rFonts w:ascii="Times New Roman" w:hAnsi="Times New Roman"/>
          <w:b/>
        </w:rPr>
        <w:t>5</w:t>
      </w:r>
    </w:p>
    <w:p w:rsidR="00D82673" w:rsidRPr="00C06B3A" w:rsidP="00D82673">
      <w:pPr>
        <w:pStyle w:val="BodyText"/>
        <w:widowControl/>
        <w:bidi w:val="0"/>
        <w:jc w:val="both"/>
        <w:rPr>
          <w:rFonts w:ascii="Times New Roman" w:hAnsi="Times New Roman"/>
        </w:rPr>
      </w:pPr>
      <w:r w:rsidRPr="00C06B3A">
        <w:rPr>
          <w:rFonts w:ascii="Times New Roman" w:hAnsi="Times New Roman"/>
        </w:rPr>
        <w:t>Dopĺňa sa smernica 2013/50/EÚ do prílohy k zákonu č. 429/2002 Z. z..</w:t>
      </w:r>
    </w:p>
    <w:p w:rsidR="00D82673" w:rsidRPr="00C06B3A" w:rsidP="00D82673">
      <w:pPr>
        <w:bidi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K Čl. II</w:t>
      </w:r>
    </w:p>
    <w:p w:rsidR="00D82673" w:rsidRPr="00C06B3A" w:rsidP="00D82673">
      <w:pPr>
        <w:bidi w:val="0"/>
        <w:jc w:val="both"/>
        <w:rPr>
          <w:rFonts w:ascii="Times New Roman" w:hAnsi="Times New Roman"/>
        </w:rPr>
      </w:pPr>
    </w:p>
    <w:p w:rsidR="00D82673" w:rsidRPr="00C06B3A" w:rsidP="00D82673">
      <w:pPr>
        <w:bidi w:val="0"/>
        <w:jc w:val="both"/>
        <w:rPr>
          <w:rFonts w:ascii="Times New Roman" w:hAnsi="Times New Roman"/>
          <w:b/>
        </w:rPr>
      </w:pPr>
      <w:r w:rsidRPr="00C06B3A">
        <w:rPr>
          <w:rFonts w:ascii="Times New Roman" w:hAnsi="Times New Roman"/>
          <w:b/>
        </w:rPr>
        <w:t xml:space="preserve">K bodu </w:t>
      </w:r>
      <w:r w:rsidR="00FC57A6">
        <w:rPr>
          <w:rFonts w:ascii="Times New Roman" w:hAnsi="Times New Roman"/>
          <w:b/>
        </w:rPr>
        <w:t>1</w:t>
      </w:r>
    </w:p>
    <w:p w:rsidR="00D82673" w:rsidRPr="00C06B3A" w:rsidP="00D82673">
      <w:pPr>
        <w:suppressAutoHyphens/>
        <w:autoSpaceDE w:val="0"/>
        <w:autoSpaceDN w:val="0"/>
        <w:bidi w:val="0"/>
        <w:adjustRightInd w:val="0"/>
        <w:jc w:val="both"/>
        <w:rPr>
          <w:rFonts w:ascii="Times New Roman" w:hAnsi="Times New Roman"/>
        </w:rPr>
      </w:pPr>
      <w:r w:rsidRPr="00C06B3A">
        <w:rPr>
          <w:rFonts w:ascii="Times New Roman" w:hAnsi="Times New Roman"/>
        </w:rPr>
        <w:t>Ide o úpravu v súvislosti s novelizáciou smernice 2003/71/ES. Medzi smernicami 2004/109/ES a 2003/71/ES by mala existovať v tejto veci jednotnosť a preto sa zavádza väčšia flexibilita.</w:t>
      </w:r>
    </w:p>
    <w:p w:rsidR="00D82673" w:rsidRPr="00C06B3A" w:rsidP="00D82673">
      <w:pPr>
        <w:suppressAutoHyphens/>
        <w:autoSpaceDE w:val="0"/>
        <w:autoSpaceDN w:val="0"/>
        <w:bidi w:val="0"/>
        <w:adjustRightInd w:val="0"/>
        <w:jc w:val="both"/>
        <w:rPr>
          <w:rFonts w:ascii="Times New Roman" w:hAnsi="Times New Roman"/>
        </w:rPr>
      </w:pPr>
    </w:p>
    <w:p w:rsidR="00D82673" w:rsidRPr="00C06B3A" w:rsidP="00D82673">
      <w:pPr>
        <w:suppressAutoHyphens/>
        <w:autoSpaceDE w:val="0"/>
        <w:autoSpaceDN w:val="0"/>
        <w:bidi w:val="0"/>
        <w:adjustRightInd w:val="0"/>
        <w:jc w:val="both"/>
        <w:rPr>
          <w:rFonts w:ascii="Times New Roman" w:hAnsi="Times New Roman"/>
          <w:b/>
        </w:rPr>
      </w:pPr>
      <w:r w:rsidRPr="00C06B3A">
        <w:rPr>
          <w:rFonts w:ascii="Times New Roman" w:hAnsi="Times New Roman"/>
          <w:b/>
        </w:rPr>
        <w:t xml:space="preserve">K bodu </w:t>
      </w:r>
      <w:r w:rsidR="00FC57A6">
        <w:rPr>
          <w:rFonts w:ascii="Times New Roman" w:hAnsi="Times New Roman"/>
          <w:b/>
        </w:rPr>
        <w:t>2</w:t>
      </w:r>
    </w:p>
    <w:p w:rsidR="00D82673" w:rsidP="00D82673">
      <w:pPr>
        <w:suppressAutoHyphens/>
        <w:autoSpaceDE w:val="0"/>
        <w:autoSpaceDN w:val="0"/>
        <w:bidi w:val="0"/>
        <w:adjustRightInd w:val="0"/>
        <w:jc w:val="both"/>
        <w:rPr>
          <w:rFonts w:ascii="Times New Roman" w:hAnsi="Times New Roman"/>
        </w:rPr>
      </w:pPr>
      <w:r w:rsidRPr="00C06B3A">
        <w:rPr>
          <w:rFonts w:ascii="Times New Roman" w:hAnsi="Times New Roman"/>
        </w:rPr>
        <w:t>Ročné finančné správy sa ukladajú do registra účtovných závierok v zmysle zákona o účtovníctve a majú odlišný režim ako iné regulované informácie podľa zákona o burze cenných papieroch.</w:t>
      </w:r>
    </w:p>
    <w:p w:rsidR="00D82673" w:rsidP="00D82673">
      <w:pPr>
        <w:suppressAutoHyphens/>
        <w:autoSpaceDE w:val="0"/>
        <w:autoSpaceDN w:val="0"/>
        <w:bidi w:val="0"/>
        <w:adjustRightInd w:val="0"/>
        <w:jc w:val="both"/>
        <w:rPr>
          <w:rFonts w:ascii="Times New Roman" w:hAnsi="Times New Roman"/>
        </w:rPr>
      </w:pPr>
    </w:p>
    <w:p w:rsidR="00D82673" w:rsidRPr="00F83589" w:rsidP="00D82673">
      <w:pPr>
        <w:suppressAutoHyphens/>
        <w:autoSpaceDE w:val="0"/>
        <w:autoSpaceDN w:val="0"/>
        <w:bidi w:val="0"/>
        <w:adjustRightInd w:val="0"/>
        <w:jc w:val="both"/>
        <w:rPr>
          <w:rFonts w:ascii="Times New Roman" w:hAnsi="Times New Roman"/>
          <w:b/>
        </w:rPr>
      </w:pPr>
      <w:r w:rsidRPr="00F83589">
        <w:rPr>
          <w:rFonts w:ascii="Times New Roman" w:hAnsi="Times New Roman"/>
          <w:b/>
        </w:rPr>
        <w:t xml:space="preserve">K bodu </w:t>
      </w:r>
      <w:r w:rsidR="00FC57A6">
        <w:rPr>
          <w:rFonts w:ascii="Times New Roman" w:hAnsi="Times New Roman"/>
          <w:b/>
        </w:rPr>
        <w:t>3</w:t>
      </w:r>
    </w:p>
    <w:p w:rsidR="00D82673" w:rsidRPr="00C06B3A" w:rsidP="00D82673">
      <w:pPr>
        <w:suppressAutoHyphens/>
        <w:autoSpaceDE w:val="0"/>
        <w:autoSpaceDN w:val="0"/>
        <w:bidi w:val="0"/>
        <w:adjustRightInd w:val="0"/>
        <w:jc w:val="both"/>
        <w:rPr>
          <w:rFonts w:ascii="Times New Roman" w:hAnsi="Times New Roman"/>
        </w:rPr>
      </w:pPr>
      <w:r>
        <w:rPr>
          <w:rFonts w:ascii="Times New Roman" w:hAnsi="Times New Roman"/>
        </w:rPr>
        <w:t>Na základe potreby odôvodnenej v osobitnom predpise, ktorým je zákon č. 215/2004 Z. z. o ochrane utajovaných skutočností a o zmene a doplnení niektorých zákonov v znení neskorších predpisov, pri vykonávaní bezpečnostných previerok sa do okruhu subjektov, ktorým sa poskytne informácia a jej poskytnutie sa nebude považovať za porušenie povinnosti mlčanlivosti zaraďuje aj Národný bezpečnostný úrad.</w:t>
      </w:r>
    </w:p>
    <w:p w:rsidR="00D82673" w:rsidRPr="00C06B3A" w:rsidP="00D82673">
      <w:pPr>
        <w:pStyle w:val="BodyText"/>
        <w:widowControl/>
        <w:bidi w:val="0"/>
        <w:jc w:val="both"/>
        <w:rPr>
          <w:rFonts w:ascii="Times New Roman" w:hAnsi="Times New Roman"/>
        </w:rPr>
      </w:pPr>
    </w:p>
    <w:p w:rsidR="00D82673" w:rsidRPr="00C06B3A" w:rsidP="00D82673">
      <w:pPr>
        <w:pStyle w:val="BodyText"/>
        <w:widowControl/>
        <w:bidi w:val="0"/>
        <w:jc w:val="both"/>
        <w:rPr>
          <w:rFonts w:ascii="Times New Roman" w:hAnsi="Times New Roman"/>
          <w:b/>
        </w:rPr>
      </w:pPr>
      <w:r w:rsidRPr="00C06B3A">
        <w:rPr>
          <w:rFonts w:ascii="Times New Roman" w:hAnsi="Times New Roman"/>
          <w:b/>
        </w:rPr>
        <w:t xml:space="preserve">K Čl. </w:t>
      </w:r>
      <w:r>
        <w:rPr>
          <w:rFonts w:ascii="Times New Roman" w:hAnsi="Times New Roman"/>
          <w:b/>
        </w:rPr>
        <w:t>III</w:t>
      </w:r>
    </w:p>
    <w:p w:rsidR="00D82673" w:rsidRPr="00C06B3A" w:rsidP="00D82673">
      <w:pPr>
        <w:bidi w:val="0"/>
        <w:jc w:val="both"/>
        <w:rPr>
          <w:rFonts w:ascii="Times New Roman" w:eastAsia="SimSun" w:hAnsi="Times New Roman"/>
          <w:lang w:eastAsia="zh-CN"/>
        </w:rPr>
      </w:pPr>
      <w:r w:rsidRPr="00C06B3A">
        <w:rPr>
          <w:rFonts w:ascii="Times New Roman" w:hAnsi="Times New Roman"/>
          <w:bCs/>
          <w:color w:val="000000"/>
        </w:rPr>
        <w:t xml:space="preserve">V súlade s čl. 4 smernice 2013/50/EÚ nadobúda tento zákon účinnosť 1. </w:t>
      </w:r>
      <w:r>
        <w:rPr>
          <w:rFonts w:ascii="Times New Roman" w:hAnsi="Times New Roman"/>
          <w:bCs/>
          <w:color w:val="000000"/>
        </w:rPr>
        <w:t>januára</w:t>
      </w:r>
      <w:r w:rsidRPr="00C06B3A">
        <w:rPr>
          <w:rFonts w:ascii="Times New Roman" w:hAnsi="Times New Roman"/>
          <w:bCs/>
          <w:color w:val="000000"/>
        </w:rPr>
        <w:t xml:space="preserve"> 201</w:t>
      </w:r>
      <w:r>
        <w:rPr>
          <w:rFonts w:ascii="Times New Roman" w:hAnsi="Times New Roman"/>
          <w:bCs/>
          <w:color w:val="000000"/>
        </w:rPr>
        <w:t>6</w:t>
      </w:r>
      <w:r w:rsidRPr="00C06B3A">
        <w:rPr>
          <w:rFonts w:ascii="Times New Roman" w:hAnsi="Times New Roman"/>
          <w:bCs/>
          <w:color w:val="000000"/>
        </w:rPr>
        <w:t>.</w:t>
      </w:r>
    </w:p>
    <w:p w:rsidR="00D82673">
      <w:pPr>
        <w:bidi w:val="0"/>
        <w:rPr>
          <w:rFonts w:ascii="Times New Roman" w:hAnsi="Times New Roman"/>
        </w:rPr>
      </w:pPr>
    </w:p>
    <w:p w:rsidR="000F15D5" w:rsidP="000F15D5">
      <w:pPr>
        <w:pStyle w:val="BodyText"/>
        <w:overflowPunct w:val="0"/>
        <w:autoSpaceDE w:val="0"/>
        <w:autoSpaceDN w:val="0"/>
        <w:bidi w:val="0"/>
        <w:adjustRightInd w:val="0"/>
        <w:jc w:val="both"/>
        <w:textAlignment w:val="baseline"/>
        <w:rPr>
          <w:rFonts w:ascii="Times New Roman" w:hAnsi="Times New Roman"/>
        </w:rPr>
      </w:pPr>
      <w:r w:rsidRPr="00504AF7">
        <w:rPr>
          <w:rFonts w:ascii="Times New Roman" w:hAnsi="Times New Roman"/>
        </w:rPr>
        <w:t xml:space="preserve">Schválené vládou Slovenskej republiky dňa </w:t>
      </w:r>
      <w:r>
        <w:rPr>
          <w:rFonts w:ascii="Times New Roman" w:hAnsi="Times New Roman"/>
        </w:rPr>
        <w:t>26. augusta 2015.</w:t>
      </w:r>
    </w:p>
    <w:p w:rsidR="000F15D5" w:rsidP="000F15D5">
      <w:pPr>
        <w:pStyle w:val="BodyText"/>
        <w:widowControl/>
        <w:bidi w:val="0"/>
        <w:jc w:val="both"/>
        <w:rPr>
          <w:rFonts w:ascii="Arial Narrow" w:hAnsi="Arial Narrow" w:cs="Arial Narrow"/>
          <w:sz w:val="22"/>
          <w:szCs w:val="22"/>
        </w:rPr>
      </w:pPr>
    </w:p>
    <w:p w:rsidR="000F15D5" w:rsidP="000F15D5">
      <w:pPr>
        <w:pStyle w:val="BodyText"/>
        <w:widowControl/>
        <w:bidi w:val="0"/>
        <w:jc w:val="both"/>
        <w:rPr>
          <w:rFonts w:ascii="Arial Narrow" w:hAnsi="Arial Narrow" w:cs="Arial Narrow"/>
          <w:sz w:val="22"/>
          <w:szCs w:val="22"/>
        </w:rPr>
      </w:pPr>
    </w:p>
    <w:p w:rsidR="000F15D5" w:rsidP="000F15D5">
      <w:pPr>
        <w:pStyle w:val="BodyText"/>
        <w:widowControl/>
        <w:bidi w:val="0"/>
        <w:jc w:val="both"/>
        <w:rPr>
          <w:rFonts w:ascii="Arial Narrow" w:hAnsi="Arial Narrow" w:cs="Arial Narrow"/>
          <w:sz w:val="22"/>
          <w:szCs w:val="22"/>
        </w:rPr>
      </w:pPr>
    </w:p>
    <w:p w:rsidR="000F15D5" w:rsidRPr="003F2EFD" w:rsidP="000F15D5">
      <w:pPr>
        <w:pStyle w:val="BodyText"/>
        <w:widowControl/>
        <w:bidi w:val="0"/>
        <w:jc w:val="both"/>
        <w:rPr>
          <w:rFonts w:ascii="Arial Narrow" w:hAnsi="Arial Narrow" w:cs="Arial Narrow"/>
          <w:sz w:val="22"/>
          <w:szCs w:val="22"/>
        </w:rPr>
      </w:pPr>
    </w:p>
    <w:p w:rsidR="000F15D5" w:rsidP="000F15D5">
      <w:pPr>
        <w:pStyle w:val="BodyText"/>
        <w:widowControl/>
        <w:bidi w:val="0"/>
        <w:jc w:val="both"/>
        <w:rPr>
          <w:rFonts w:ascii="Times New Roman" w:hAnsi="Times New Roman"/>
          <w:b/>
          <w:bCs/>
        </w:rPr>
      </w:pPr>
    </w:p>
    <w:p w:rsidR="000F15D5" w:rsidP="000F15D5">
      <w:pPr>
        <w:pStyle w:val="BodyText"/>
        <w:overflowPunct w:val="0"/>
        <w:autoSpaceDE w:val="0"/>
        <w:autoSpaceDN w:val="0"/>
        <w:bidi w:val="0"/>
        <w:adjustRightInd w:val="0"/>
        <w:jc w:val="center"/>
        <w:textAlignment w:val="baseline"/>
        <w:rPr>
          <w:rFonts w:ascii="Times New Roman" w:hAnsi="Times New Roman"/>
        </w:rPr>
      </w:pPr>
    </w:p>
    <w:p w:rsidR="000F15D5" w:rsidP="000F15D5">
      <w:pPr>
        <w:pStyle w:val="BodyText"/>
        <w:overflowPunct w:val="0"/>
        <w:autoSpaceDE w:val="0"/>
        <w:autoSpaceDN w:val="0"/>
        <w:bidi w:val="0"/>
        <w:adjustRightInd w:val="0"/>
        <w:jc w:val="center"/>
        <w:textAlignment w:val="baseline"/>
        <w:rPr>
          <w:rFonts w:ascii="Times New Roman" w:hAnsi="Times New Roman"/>
        </w:rPr>
      </w:pPr>
    </w:p>
    <w:p w:rsidR="000F15D5" w:rsidP="000F15D5">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 xml:space="preserve">Robert F i c o, v. r. </w:t>
      </w:r>
    </w:p>
    <w:p w:rsidR="000F15D5" w:rsidP="000F15D5">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predseda vlády</w:t>
      </w:r>
    </w:p>
    <w:p w:rsidR="000F15D5" w:rsidP="000F15D5">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Slovenskej republiky</w:t>
      </w:r>
    </w:p>
    <w:p w:rsidR="000F15D5" w:rsidP="000F15D5">
      <w:pPr>
        <w:pStyle w:val="BodyText"/>
        <w:overflowPunct w:val="0"/>
        <w:autoSpaceDE w:val="0"/>
        <w:autoSpaceDN w:val="0"/>
        <w:bidi w:val="0"/>
        <w:adjustRightInd w:val="0"/>
        <w:jc w:val="center"/>
        <w:textAlignment w:val="baseline"/>
        <w:rPr>
          <w:rFonts w:ascii="Times New Roman" w:hAnsi="Times New Roman"/>
        </w:rPr>
      </w:pPr>
    </w:p>
    <w:p w:rsidR="000F15D5" w:rsidP="000F15D5">
      <w:pPr>
        <w:pStyle w:val="BodyText"/>
        <w:overflowPunct w:val="0"/>
        <w:autoSpaceDE w:val="0"/>
        <w:autoSpaceDN w:val="0"/>
        <w:bidi w:val="0"/>
        <w:adjustRightInd w:val="0"/>
        <w:jc w:val="center"/>
        <w:textAlignment w:val="baseline"/>
        <w:rPr>
          <w:rFonts w:ascii="Times New Roman" w:hAnsi="Times New Roman"/>
        </w:rPr>
      </w:pPr>
    </w:p>
    <w:p w:rsidR="000F15D5" w:rsidP="000F15D5">
      <w:pPr>
        <w:pStyle w:val="BodyText"/>
        <w:overflowPunct w:val="0"/>
        <w:autoSpaceDE w:val="0"/>
        <w:autoSpaceDN w:val="0"/>
        <w:bidi w:val="0"/>
        <w:adjustRightInd w:val="0"/>
        <w:jc w:val="center"/>
        <w:textAlignment w:val="baseline"/>
        <w:rPr>
          <w:rFonts w:ascii="Times New Roman" w:hAnsi="Times New Roman"/>
        </w:rPr>
      </w:pPr>
    </w:p>
    <w:p w:rsidR="000F15D5" w:rsidP="000F15D5">
      <w:pPr>
        <w:pStyle w:val="BodyText"/>
        <w:overflowPunct w:val="0"/>
        <w:autoSpaceDE w:val="0"/>
        <w:autoSpaceDN w:val="0"/>
        <w:bidi w:val="0"/>
        <w:adjustRightInd w:val="0"/>
        <w:jc w:val="center"/>
        <w:textAlignment w:val="baseline"/>
        <w:rPr>
          <w:rFonts w:ascii="Times New Roman" w:hAnsi="Times New Roman"/>
        </w:rPr>
      </w:pPr>
    </w:p>
    <w:p w:rsidR="000F15D5" w:rsidP="000F15D5">
      <w:pPr>
        <w:pStyle w:val="BodyText"/>
        <w:overflowPunct w:val="0"/>
        <w:autoSpaceDE w:val="0"/>
        <w:autoSpaceDN w:val="0"/>
        <w:bidi w:val="0"/>
        <w:adjustRightInd w:val="0"/>
        <w:jc w:val="center"/>
        <w:textAlignment w:val="baseline"/>
        <w:rPr>
          <w:rFonts w:ascii="Times New Roman" w:hAnsi="Times New Roman"/>
        </w:rPr>
      </w:pPr>
    </w:p>
    <w:p w:rsidR="000F15D5" w:rsidP="000F15D5">
      <w:pPr>
        <w:pStyle w:val="BodyText"/>
        <w:overflowPunct w:val="0"/>
        <w:autoSpaceDE w:val="0"/>
        <w:autoSpaceDN w:val="0"/>
        <w:bidi w:val="0"/>
        <w:adjustRightInd w:val="0"/>
        <w:jc w:val="center"/>
        <w:textAlignment w:val="baseline"/>
        <w:rPr>
          <w:rFonts w:ascii="Times New Roman" w:hAnsi="Times New Roman"/>
        </w:rPr>
      </w:pPr>
    </w:p>
    <w:p w:rsidR="000F15D5" w:rsidP="000F15D5">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Peter K a ž i m í r</w:t>
      </w:r>
      <w:r w:rsidRPr="00504AF7">
        <w:rPr>
          <w:rFonts w:ascii="Times New Roman" w:hAnsi="Times New Roman"/>
          <w:b/>
        </w:rPr>
        <w:t xml:space="preserve">, v. r. </w:t>
      </w:r>
    </w:p>
    <w:p w:rsidR="000F15D5" w:rsidP="000F15D5">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podpredseda vlády a minister financií</w:t>
      </w:r>
    </w:p>
    <w:p w:rsidR="000F15D5" w:rsidRPr="00504AF7" w:rsidP="000F15D5">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Slovenskej republiky</w:t>
      </w:r>
    </w:p>
    <w:p w:rsidR="000F15D5" w:rsidRPr="00504AF7" w:rsidP="000F15D5">
      <w:pPr>
        <w:bidi w:val="0"/>
        <w:rPr>
          <w:rFonts w:ascii="Times New Roman" w:hAnsi="Times New Roman"/>
        </w:rPr>
      </w:pPr>
    </w:p>
    <w:p w:rsidR="000F15D5">
      <w:pPr>
        <w:bidi w:val="0"/>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ě?"/>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Arial Narrow">
    <w:altName w:val="Century Gothic"/>
    <w:panose1 w:val="00000000000000000000"/>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7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C57A6">
      <w:rPr>
        <w:rFonts w:ascii="Times New Roman" w:hAnsi="Times New Roman"/>
        <w:noProof/>
      </w:rPr>
      <w:t>9</w:t>
    </w:r>
    <w:r>
      <w:rPr>
        <w:rFonts w:ascii="Times New Roman" w:hAnsi="Times New Roman"/>
      </w:rPr>
      <w:fldChar w:fldCharType="end"/>
    </w:r>
  </w:p>
  <w:p w:rsidR="00D8267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3D5"/>
    <w:multiLevelType w:val="hybridMultilevel"/>
    <w:tmpl w:val="645A5FD0"/>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3245065"/>
    <w:multiLevelType w:val="hybridMultilevel"/>
    <w:tmpl w:val="32D8CEFE"/>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39E53F62"/>
    <w:multiLevelType w:val="hybridMultilevel"/>
    <w:tmpl w:val="E772AD72"/>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
    <w:nsid w:val="4B6228DB"/>
    <w:multiLevelType w:val="hybridMultilevel"/>
    <w:tmpl w:val="109C6E88"/>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578F40D0"/>
    <w:multiLevelType w:val="multilevel"/>
    <w:tmpl w:val="7004E048"/>
    <w:lvl w:ilvl="0">
      <w:start w:val="6"/>
      <w:numFmt w:val="bullet"/>
      <w:lvlText w:val="-"/>
      <w:lvlJc w:val="left"/>
      <w:pPr>
        <w:ind w:left="425" w:hanging="425"/>
      </w:pPr>
      <w:rPr>
        <w:rFonts w:ascii="Times New Roman" w:eastAsia="Times New Roman" w:hAnsi="Times New Roman" w:hint="default"/>
        <w:b/>
      </w:rPr>
    </w:lvl>
    <w:lvl w:ilvl="1">
      <w:start w:val="6"/>
      <w:numFmt w:val="bullet"/>
      <w:lvlText w:val="-"/>
      <w:lvlJc w:val="left"/>
      <w:pPr>
        <w:ind w:left="850" w:hanging="425"/>
      </w:pPr>
      <w:rPr>
        <w:rFonts w:ascii="Times New Roman" w:eastAsia="Times New Roman" w:hAnsi="Times New Roman" w:hint="default"/>
      </w:rPr>
    </w:lvl>
    <w:lvl w:ilvl="2">
      <w:start w:val="6"/>
      <w:numFmt w:val="bullet"/>
      <w:lvlText w:val="-"/>
      <w:lvlJc w:val="left"/>
      <w:pPr>
        <w:ind w:left="1275" w:hanging="425"/>
      </w:pPr>
      <w:rPr>
        <w:rFonts w:ascii="Times New Roman" w:eastAsia="Times New Roman" w:hAnsi="Times New Roman" w:hint="default"/>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6">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5C410587"/>
    <w:multiLevelType w:val="hybridMultilevel"/>
    <w:tmpl w:val="921A651C"/>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9">
    <w:nsid w:val="5D0B44FF"/>
    <w:multiLevelType w:val="hybridMultilevel"/>
    <w:tmpl w:val="763A0D0E"/>
    <w:lvl w:ilvl="0">
      <w:start w:val="1"/>
      <w:numFmt w:val="lowerLetter"/>
      <w:lvlText w:val="%1)"/>
      <w:lvlJc w:val="left"/>
      <w:pPr>
        <w:tabs>
          <w:tab w:val="num" w:pos="720"/>
        </w:tabs>
        <w:ind w:left="720" w:hanging="360"/>
      </w:pPr>
      <w:rPr>
        <w:rFonts w:ascii="Arial Narrow" w:eastAsia="Times New Roman" w:hAnsi="Arial Narrow" w:cs="Arial Unicode MS" w:hint="default"/>
        <w:sz w:val="22"/>
        <w:szCs w:val="22"/>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BF03261"/>
    <w:multiLevelType w:val="hybridMultilevel"/>
    <w:tmpl w:val="D8A269E6"/>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8"/>
  </w:num>
  <w:num w:numId="2">
    <w:abstractNumId w:val="4"/>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9"/>
  </w:num>
  <w:num w:numId="5">
    <w:abstractNumId w:val="3"/>
  </w:num>
  <w:num w:numId="6">
    <w:abstractNumId w:val="2"/>
  </w:num>
  <w:num w:numId="7">
    <w:abstractNumId w:val="0"/>
  </w:num>
  <w:num w:numId="8">
    <w:abstractNumId w:val="1"/>
  </w:num>
  <w:num w:numId="9">
    <w:abstractNumId w:val="7"/>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82673"/>
    <w:rsid w:val="000F15D5"/>
    <w:rsid w:val="00263176"/>
    <w:rsid w:val="002732A8"/>
    <w:rsid w:val="00283750"/>
    <w:rsid w:val="00392EE1"/>
    <w:rsid w:val="003D4F05"/>
    <w:rsid w:val="003E52BB"/>
    <w:rsid w:val="003F2EFD"/>
    <w:rsid w:val="00404501"/>
    <w:rsid w:val="0043586C"/>
    <w:rsid w:val="004452C1"/>
    <w:rsid w:val="00483F8E"/>
    <w:rsid w:val="004C70F4"/>
    <w:rsid w:val="00504AF7"/>
    <w:rsid w:val="005C1155"/>
    <w:rsid w:val="006B3432"/>
    <w:rsid w:val="00746428"/>
    <w:rsid w:val="007C2AB4"/>
    <w:rsid w:val="00805BC8"/>
    <w:rsid w:val="0080627B"/>
    <w:rsid w:val="00993335"/>
    <w:rsid w:val="00A73948"/>
    <w:rsid w:val="00AD1E10"/>
    <w:rsid w:val="00B8613D"/>
    <w:rsid w:val="00BC6897"/>
    <w:rsid w:val="00BE7620"/>
    <w:rsid w:val="00C06B3A"/>
    <w:rsid w:val="00D16716"/>
    <w:rsid w:val="00D82673"/>
    <w:rsid w:val="00DC40EB"/>
    <w:rsid w:val="00E27DA4"/>
    <w:rsid w:val="00E6760B"/>
    <w:rsid w:val="00E90AD6"/>
    <w:rsid w:val="00EB7003"/>
    <w:rsid w:val="00ED5517"/>
    <w:rsid w:val="00F045D1"/>
    <w:rsid w:val="00F7111E"/>
    <w:rsid w:val="00F83589"/>
    <w:rsid w:val="00FC57A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67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82673"/>
    <w:pPr>
      <w:keepNext/>
      <w:spacing w:before="240" w:after="60"/>
      <w:jc w:val="left"/>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82673"/>
    <w:rPr>
      <w:rFonts w:ascii="Arial" w:hAnsi="Arial" w:cs="Arial"/>
      <w:b/>
      <w:bCs/>
      <w:kern w:val="28"/>
      <w:sz w:val="28"/>
      <w:szCs w:val="28"/>
      <w:rtl w:val="0"/>
      <w:cs w:val="0"/>
      <w:lang w:val="x-none" w:eastAsia="sk-SK"/>
    </w:rPr>
  </w:style>
  <w:style w:type="paragraph" w:styleId="List2">
    <w:name w:val="List 2"/>
    <w:basedOn w:val="Normal"/>
    <w:uiPriority w:val="99"/>
    <w:semiHidden/>
    <w:rsid w:val="00D82673"/>
    <w:pPr>
      <w:widowControl w:val="0"/>
      <w:ind w:left="566" w:hanging="283"/>
      <w:jc w:val="left"/>
    </w:pPr>
    <w:rPr>
      <w:sz w:val="20"/>
      <w:szCs w:val="20"/>
    </w:rPr>
  </w:style>
  <w:style w:type="paragraph" w:styleId="BodyText">
    <w:name w:val="Body Text"/>
    <w:basedOn w:val="Normal"/>
    <w:link w:val="ZkladntextChar"/>
    <w:uiPriority w:val="99"/>
    <w:rsid w:val="00D82673"/>
    <w:pPr>
      <w:widowControl w:val="0"/>
      <w:jc w:val="left"/>
    </w:pPr>
    <w:rPr>
      <w:color w:val="000000"/>
    </w:rPr>
  </w:style>
  <w:style w:type="character" w:customStyle="1" w:styleId="ZkladntextChar">
    <w:name w:val="Základný text Char"/>
    <w:basedOn w:val="DefaultParagraphFont"/>
    <w:link w:val="BodyText"/>
    <w:uiPriority w:val="99"/>
    <w:locked/>
    <w:rsid w:val="00D82673"/>
    <w:rPr>
      <w:rFonts w:ascii="Times New Roman" w:hAnsi="Times New Roman" w:cs="Times New Roman"/>
      <w:color w:val="000000"/>
      <w:sz w:val="24"/>
      <w:szCs w:val="24"/>
      <w:rtl w:val="0"/>
      <w:cs w:val="0"/>
      <w:lang w:val="x-none" w:eastAsia="sk-SK"/>
    </w:rPr>
  </w:style>
  <w:style w:type="paragraph" w:styleId="BodyText2">
    <w:name w:val="Body Text 2"/>
    <w:basedOn w:val="Normal"/>
    <w:link w:val="Zkladntext2Char"/>
    <w:uiPriority w:val="99"/>
    <w:semiHidden/>
    <w:rsid w:val="00D82673"/>
    <w:pPr>
      <w:spacing w:after="120"/>
      <w:jc w:val="both"/>
    </w:pPr>
    <w:rPr>
      <w:szCs w:val="20"/>
    </w:rPr>
  </w:style>
  <w:style w:type="character" w:customStyle="1" w:styleId="Zkladntext2Char">
    <w:name w:val="Základný text 2 Char"/>
    <w:basedOn w:val="DefaultParagraphFont"/>
    <w:link w:val="BodyText2"/>
    <w:uiPriority w:val="99"/>
    <w:semiHidden/>
    <w:locked/>
    <w:rsid w:val="00D82673"/>
    <w:rPr>
      <w:rFonts w:ascii="Times New Roman" w:hAnsi="Times New Roman" w:cs="Times New Roman"/>
      <w:sz w:val="20"/>
      <w:szCs w:val="20"/>
      <w:rtl w:val="0"/>
      <w:cs w:val="0"/>
      <w:lang w:val="x-none" w:eastAsia="sk-SK"/>
    </w:rPr>
  </w:style>
  <w:style w:type="character" w:customStyle="1" w:styleId="apple-style-span">
    <w:name w:val="apple-style-span"/>
    <w:basedOn w:val="DefaultParagraphFont"/>
    <w:rsid w:val="00D82673"/>
    <w:rPr>
      <w:rFonts w:cs="Times New Roman"/>
      <w:rtl w:val="0"/>
      <w:cs w:val="0"/>
    </w:rPr>
  </w:style>
  <w:style w:type="paragraph" w:styleId="Header">
    <w:name w:val="header"/>
    <w:basedOn w:val="Normal"/>
    <w:link w:val="HlavikaChar"/>
    <w:uiPriority w:val="99"/>
    <w:unhideWhenUsed/>
    <w:rsid w:val="00D82673"/>
    <w:pPr>
      <w:tabs>
        <w:tab w:val="center" w:pos="4536"/>
        <w:tab w:val="right" w:pos="9072"/>
      </w:tabs>
      <w:jc w:val="left"/>
    </w:pPr>
  </w:style>
  <w:style w:type="character" w:customStyle="1" w:styleId="HlavikaChar">
    <w:name w:val="Hlavička Char"/>
    <w:basedOn w:val="DefaultParagraphFont"/>
    <w:link w:val="Header"/>
    <w:uiPriority w:val="99"/>
    <w:locked/>
    <w:rsid w:val="00D82673"/>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D82673"/>
    <w:pPr>
      <w:tabs>
        <w:tab w:val="center" w:pos="4536"/>
        <w:tab w:val="right" w:pos="9072"/>
      </w:tabs>
      <w:jc w:val="left"/>
    </w:pPr>
  </w:style>
  <w:style w:type="character" w:customStyle="1" w:styleId="PtaChar">
    <w:name w:val="Päta Char"/>
    <w:basedOn w:val="DefaultParagraphFont"/>
    <w:link w:val="Footer"/>
    <w:uiPriority w:val="99"/>
    <w:locked/>
    <w:rsid w:val="00D82673"/>
    <w:rPr>
      <w:rFonts w:ascii="Times New Roman" w:hAnsi="Times New Roman" w:cs="Times New Roman"/>
      <w:sz w:val="24"/>
      <w:szCs w:val="24"/>
      <w:rtl w:val="0"/>
      <w:cs w:val="0"/>
      <w:lang w:val="x-none" w:eastAsia="sk-SK"/>
    </w:rPr>
  </w:style>
  <w:style w:type="paragraph" w:styleId="BodyTextIndent">
    <w:name w:val="Body Text Indent"/>
    <w:basedOn w:val="Normal"/>
    <w:link w:val="ZarkazkladnhotextuChar"/>
    <w:uiPriority w:val="99"/>
    <w:semiHidden/>
    <w:unhideWhenUsed/>
    <w:rsid w:val="000F15D5"/>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0F15D5"/>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0F15D5"/>
    <w:rPr>
      <w:rFonts w:cs="Times New Roman"/>
      <w:i/>
      <w:iCs/>
      <w:rtl w:val="0"/>
      <w:cs w:val="0"/>
    </w:rPr>
  </w:style>
  <w:style w:type="paragraph" w:styleId="ListParagraph">
    <w:name w:val="List Paragraph"/>
    <w:basedOn w:val="Normal"/>
    <w:uiPriority w:val="99"/>
    <w:qFormat/>
    <w:rsid w:val="000F15D5"/>
    <w:pPr>
      <w:widowControl w:val="0"/>
      <w:adjustRightInd w:val="0"/>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TotalTime>
  <Pages>9</Pages>
  <Words>2923</Words>
  <Characters>16665</Characters>
  <Application>Microsoft Office Word</Application>
  <DocSecurity>0</DocSecurity>
  <Lines>0</Lines>
  <Paragraphs>0</Paragraphs>
  <ScaleCrop>false</ScaleCrop>
  <Company>Ministerstvo financií SR</Company>
  <LinksUpToDate>false</LinksUpToDate>
  <CharactersWithSpaces>19549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Vlkolinsky Robert</dc:creator>
  <cp:lastModifiedBy>Kassovic Jan</cp:lastModifiedBy>
  <cp:revision>3</cp:revision>
  <dcterms:created xsi:type="dcterms:W3CDTF">2015-08-25T08:47:00Z</dcterms:created>
  <dcterms:modified xsi:type="dcterms:W3CDTF">2015-08-26T11:06:00Z</dcterms:modified>
</cp:coreProperties>
</file>