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53954" w:rsidP="000F16A6">
      <w:pPr>
        <w:tabs>
          <w:tab w:val="left" w:pos="2977"/>
        </w:tabs>
        <w:bidi w:val="0"/>
        <w:spacing w:after="0" w:line="240" w:lineRule="auto"/>
        <w:jc w:val="center"/>
        <w:rPr>
          <w:rFonts w:ascii="Times New Roman" w:hAnsi="Times New Roman" w:cs="Times New Roman"/>
          <w:b/>
          <w:bCs/>
        </w:rPr>
      </w:pPr>
      <w:r w:rsidR="000F16A6">
        <w:rPr>
          <w:rFonts w:ascii="Times New Roman" w:hAnsi="Times New Roman" w:cs="Times New Roman"/>
          <w:b/>
          <w:bCs/>
        </w:rPr>
        <w:t xml:space="preserve">         </w:t>
      </w:r>
      <w:r>
        <w:rPr>
          <w:rFonts w:ascii="Times New Roman" w:hAnsi="Times New Roman" w:cs="Times New Roman"/>
          <w:b/>
          <w:bCs/>
        </w:rPr>
        <w:t>Návrh</w:t>
      </w:r>
    </w:p>
    <w:p w:rsidR="006B08F1" w:rsidP="005825D2">
      <w:pPr>
        <w:tabs>
          <w:tab w:val="left" w:pos="2977"/>
        </w:tabs>
        <w:bidi w:val="0"/>
        <w:spacing w:after="0" w:line="240" w:lineRule="auto"/>
        <w:ind w:firstLine="708"/>
        <w:jc w:val="center"/>
        <w:rPr>
          <w:rFonts w:ascii="Times New Roman" w:hAnsi="Times New Roman" w:cs="Times New Roman"/>
          <w:b/>
          <w:bCs/>
        </w:rPr>
      </w:pPr>
      <w:r w:rsidRPr="005724D5" w:rsidR="00E92233">
        <w:rPr>
          <w:rFonts w:ascii="Times New Roman" w:hAnsi="Times New Roman" w:cs="Times New Roman"/>
          <w:b/>
          <w:bCs/>
        </w:rPr>
        <w:t>VYHLÁŠKA</w:t>
      </w:r>
    </w:p>
    <w:p w:rsidR="005724D5" w:rsidP="005825D2">
      <w:pPr>
        <w:tabs>
          <w:tab w:val="left" w:pos="2977"/>
        </w:tabs>
        <w:bidi w:val="0"/>
        <w:spacing w:after="0" w:line="240" w:lineRule="auto"/>
        <w:ind w:firstLine="708"/>
        <w:jc w:val="center"/>
        <w:rPr>
          <w:rFonts w:ascii="Times New Roman" w:hAnsi="Times New Roman" w:cs="Times New Roman"/>
          <w:b/>
          <w:bCs/>
        </w:rPr>
      </w:pPr>
      <w:r>
        <w:rPr>
          <w:rFonts w:ascii="Times New Roman" w:hAnsi="Times New Roman" w:cs="Times New Roman"/>
          <w:b/>
          <w:bCs/>
        </w:rPr>
        <w:t>č. ......</w:t>
      </w:r>
    </w:p>
    <w:p w:rsidR="005724D5" w:rsidP="005825D2">
      <w:pPr>
        <w:tabs>
          <w:tab w:val="left" w:pos="2977"/>
        </w:tabs>
        <w:bidi w:val="0"/>
        <w:spacing w:after="0" w:line="240" w:lineRule="auto"/>
        <w:ind w:firstLine="708"/>
        <w:jc w:val="center"/>
        <w:rPr>
          <w:rFonts w:ascii="Times New Roman" w:hAnsi="Times New Roman" w:cs="Times New Roman"/>
          <w:b/>
          <w:bCs/>
        </w:rPr>
      </w:pPr>
      <w:r>
        <w:rPr>
          <w:rFonts w:ascii="Times New Roman" w:hAnsi="Times New Roman" w:cs="Times New Roman"/>
          <w:b/>
          <w:bCs/>
        </w:rPr>
        <w:t>Ministerstva financií Slovenskej republiky</w:t>
      </w:r>
    </w:p>
    <w:p w:rsidR="005724D5" w:rsidP="005825D2">
      <w:pPr>
        <w:tabs>
          <w:tab w:val="left" w:pos="2977"/>
        </w:tabs>
        <w:bidi w:val="0"/>
        <w:spacing w:after="0" w:line="240" w:lineRule="auto"/>
        <w:ind w:firstLine="708"/>
        <w:jc w:val="center"/>
        <w:rPr>
          <w:rFonts w:ascii="Times New Roman" w:hAnsi="Times New Roman" w:cs="Times New Roman"/>
          <w:b/>
          <w:bCs/>
        </w:rPr>
      </w:pPr>
      <w:r>
        <w:rPr>
          <w:rFonts w:ascii="Times New Roman" w:hAnsi="Times New Roman" w:cs="Times New Roman"/>
          <w:b/>
          <w:bCs/>
        </w:rPr>
        <w:t>z.........2015</w:t>
      </w:r>
    </w:p>
    <w:p w:rsidR="005724D5" w:rsidRPr="005724D5" w:rsidP="005825D2">
      <w:pPr>
        <w:tabs>
          <w:tab w:val="left" w:pos="2977"/>
        </w:tabs>
        <w:bidi w:val="0"/>
        <w:spacing w:after="0" w:line="240" w:lineRule="auto"/>
        <w:ind w:firstLine="708"/>
        <w:jc w:val="center"/>
        <w:rPr>
          <w:rFonts w:ascii="Times New Roman" w:hAnsi="Times New Roman" w:cs="Times New Roman"/>
          <w:b/>
          <w:bCs/>
        </w:rPr>
      </w:pPr>
      <w:r>
        <w:rPr>
          <w:rFonts w:ascii="Times New Roman" w:hAnsi="Times New Roman" w:cs="Times New Roman"/>
          <w:b/>
          <w:bCs/>
        </w:rPr>
        <w:t xml:space="preserve">o podrobnostiach preverovania finančných účtov </w:t>
      </w:r>
    </w:p>
    <w:p w:rsidR="00353954" w:rsidP="005825D2">
      <w:pPr>
        <w:bidi w:val="0"/>
        <w:spacing w:after="0" w:line="240" w:lineRule="auto"/>
        <w:jc w:val="both"/>
        <w:rPr>
          <w:rFonts w:ascii="Times New Roman" w:hAnsi="Times New Roman" w:cs="Times New Roman"/>
        </w:rPr>
      </w:pPr>
    </w:p>
    <w:p w:rsidR="006B08F1" w:rsidRPr="005724D5" w:rsidP="005825D2">
      <w:pPr>
        <w:bidi w:val="0"/>
        <w:spacing w:after="0" w:line="240" w:lineRule="auto"/>
        <w:jc w:val="both"/>
        <w:rPr>
          <w:rFonts w:ascii="Times New Roman" w:hAnsi="Times New Roman" w:cs="Times New Roman"/>
        </w:rPr>
      </w:pPr>
      <w:r w:rsidR="005724D5">
        <w:rPr>
          <w:rFonts w:ascii="Times New Roman" w:hAnsi="Times New Roman" w:cs="Times New Roman"/>
        </w:rPr>
        <w:t xml:space="preserve">Ministerstvo financií Slovenskej republiky podľa § </w:t>
      </w:r>
      <w:r w:rsidR="00A923B8">
        <w:rPr>
          <w:rFonts w:ascii="Times New Roman" w:hAnsi="Times New Roman" w:cs="Times New Roman"/>
        </w:rPr>
        <w:t>7</w:t>
      </w:r>
      <w:r w:rsidR="005724D5">
        <w:rPr>
          <w:rFonts w:ascii="Times New Roman" w:hAnsi="Times New Roman" w:cs="Times New Roman"/>
        </w:rPr>
        <w:t xml:space="preserve"> ods. 2 </w:t>
      </w:r>
      <w:r w:rsidRPr="005724D5" w:rsidR="005724D5">
        <w:rPr>
          <w:rFonts w:ascii="Times New Roman" w:hAnsi="Times New Roman" w:cs="Times New Roman"/>
        </w:rPr>
        <w:t>zákona</w:t>
      </w:r>
      <w:r w:rsidR="005724D5">
        <w:rPr>
          <w:rFonts w:ascii="Times New Roman" w:hAnsi="Times New Roman" w:cs="Times New Roman"/>
        </w:rPr>
        <w:t xml:space="preserve"> č..........</w:t>
      </w:r>
      <w:r w:rsidRPr="005724D5" w:rsidR="005724D5">
        <w:rPr>
          <w:rFonts w:ascii="Times New Roman" w:hAnsi="Times New Roman" w:cs="Times New Roman"/>
        </w:rPr>
        <w:t xml:space="preserve"> o automatickej výmene informácií o finančných účtoch </w:t>
      </w:r>
      <w:r w:rsidR="005724D5">
        <w:rPr>
          <w:rFonts w:ascii="Times New Roman" w:hAnsi="Times New Roman" w:cs="Times New Roman"/>
        </w:rPr>
        <w:t>na</w:t>
      </w:r>
      <w:r w:rsidRPr="005724D5" w:rsidR="005724D5">
        <w:rPr>
          <w:rFonts w:ascii="Times New Roman" w:hAnsi="Times New Roman" w:cs="Times New Roman"/>
        </w:rPr>
        <w:t xml:space="preserve"> účely správy daní a o zmene a doplnení niektorých zákonov</w:t>
      </w:r>
      <w:r w:rsidR="005724D5">
        <w:rPr>
          <w:rFonts w:ascii="Times New Roman" w:hAnsi="Times New Roman" w:cs="Times New Roman"/>
        </w:rPr>
        <w:t xml:space="preserve"> (ďalej len „zákon“) ustanovuje:</w:t>
      </w:r>
    </w:p>
    <w:p w:rsidR="001125F8" w:rsidP="005825D2">
      <w:pPr>
        <w:pStyle w:val="ListParagraph"/>
        <w:bidi w:val="0"/>
        <w:spacing w:after="0" w:line="240" w:lineRule="auto"/>
        <w:jc w:val="center"/>
        <w:rPr>
          <w:rFonts w:ascii="Times New Roman" w:hAnsi="Times New Roman" w:cs="Times New Roman"/>
          <w:b/>
          <w:bCs/>
        </w:rPr>
      </w:pPr>
      <w:r w:rsidR="005724D5">
        <w:rPr>
          <w:rFonts w:ascii="Times New Roman" w:hAnsi="Times New Roman" w:cs="Times New Roman"/>
          <w:b/>
          <w:bCs/>
        </w:rPr>
        <w:t>§ 1</w:t>
      </w:r>
    </w:p>
    <w:p w:rsidR="005724D5" w:rsidP="005825D2">
      <w:pPr>
        <w:pStyle w:val="ListParagraph"/>
        <w:bidi w:val="0"/>
        <w:spacing w:after="0" w:line="240" w:lineRule="auto"/>
        <w:jc w:val="center"/>
        <w:rPr>
          <w:rFonts w:ascii="Times New Roman" w:hAnsi="Times New Roman" w:cs="Times New Roman"/>
          <w:b/>
          <w:bCs/>
        </w:rPr>
      </w:pPr>
    </w:p>
    <w:p w:rsidR="005724D5" w:rsidP="005825D2">
      <w:pPr>
        <w:pStyle w:val="ListParagraph"/>
        <w:bidi w:val="0"/>
        <w:spacing w:after="0" w:line="240" w:lineRule="auto"/>
        <w:jc w:val="center"/>
        <w:rPr>
          <w:rFonts w:ascii="Times New Roman" w:hAnsi="Times New Roman" w:cs="Times New Roman"/>
          <w:b/>
          <w:bCs/>
        </w:rPr>
      </w:pPr>
      <w:r>
        <w:rPr>
          <w:rFonts w:ascii="Times New Roman" w:hAnsi="Times New Roman" w:cs="Times New Roman"/>
          <w:b/>
          <w:bCs/>
        </w:rPr>
        <w:t>Predmet úpravy</w:t>
      </w:r>
    </w:p>
    <w:p w:rsidR="005724D5" w:rsidP="005825D2">
      <w:pPr>
        <w:pStyle w:val="ListParagraph"/>
        <w:bidi w:val="0"/>
        <w:spacing w:after="0" w:line="240" w:lineRule="auto"/>
        <w:jc w:val="center"/>
        <w:rPr>
          <w:rFonts w:ascii="Times New Roman" w:hAnsi="Times New Roman" w:cs="Times New Roman"/>
          <w:b/>
          <w:bCs/>
        </w:rPr>
      </w:pPr>
    </w:p>
    <w:p w:rsidR="005724D5" w:rsidRPr="005724D5" w:rsidP="005825D2">
      <w:pPr>
        <w:pStyle w:val="ListParagraph"/>
        <w:bidi w:val="0"/>
        <w:spacing w:after="0" w:line="240" w:lineRule="auto"/>
        <w:rPr>
          <w:rFonts w:ascii="Times New Roman" w:hAnsi="Times New Roman" w:cs="Times New Roman"/>
        </w:rPr>
      </w:pPr>
      <w:r w:rsidRPr="005724D5">
        <w:rPr>
          <w:rFonts w:ascii="Times New Roman" w:hAnsi="Times New Roman" w:cs="Times New Roman"/>
        </w:rPr>
        <w:t>Táto vyhláška upravuje</w:t>
      </w:r>
    </w:p>
    <w:p w:rsidR="005724D5" w:rsidP="005825D2">
      <w:pPr>
        <w:pStyle w:val="ListParagraph"/>
        <w:bidi w:val="0"/>
        <w:spacing w:after="0" w:line="240" w:lineRule="auto"/>
        <w:rPr>
          <w:rFonts w:ascii="Times New Roman" w:hAnsi="Times New Roman" w:cs="Times New Roman"/>
          <w:b/>
          <w:bCs/>
        </w:rPr>
      </w:pPr>
    </w:p>
    <w:p w:rsidR="009D1175" w:rsidP="005825D2">
      <w:pPr>
        <w:pStyle w:val="ListParagraph"/>
        <w:bidi w:val="0"/>
        <w:spacing w:after="0" w:line="240" w:lineRule="auto"/>
        <w:rPr>
          <w:rFonts w:ascii="Times New Roman" w:hAnsi="Times New Roman" w:cs="Times New Roman"/>
        </w:rPr>
      </w:pPr>
      <w:r w:rsidRPr="009D1175" w:rsidR="005724D5">
        <w:rPr>
          <w:rFonts w:ascii="Times New Roman" w:hAnsi="Times New Roman" w:cs="Times New Roman"/>
        </w:rPr>
        <w:t>a)</w:t>
      </w:r>
      <w:r w:rsidRPr="009D1175">
        <w:rPr>
          <w:rFonts w:ascii="Times New Roman" w:hAnsi="Times New Roman" w:cs="Times New Roman"/>
          <w:szCs w:val="22"/>
          <w:lang w:eastAsia="sk-SK"/>
        </w:rPr>
        <w:t xml:space="preserve"> </w:t>
      </w:r>
      <w:r>
        <w:rPr>
          <w:rFonts w:ascii="Times New Roman" w:hAnsi="Times New Roman" w:cs="Times New Roman"/>
        </w:rPr>
        <w:t>v</w:t>
      </w:r>
      <w:r w:rsidRPr="009D1175">
        <w:rPr>
          <w:rFonts w:ascii="Times New Roman" w:hAnsi="Times New Roman" w:cs="Times New Roman"/>
        </w:rPr>
        <w:t>šeobecné požiadavky týkajúce sa preverovania</w:t>
      </w:r>
      <w:r>
        <w:rPr>
          <w:rFonts w:ascii="Times New Roman" w:hAnsi="Times New Roman" w:cs="Times New Roman"/>
        </w:rPr>
        <w:t>,</w:t>
      </w:r>
    </w:p>
    <w:p w:rsidR="009D1175" w:rsidP="005825D2">
      <w:pPr>
        <w:pStyle w:val="ListParagraph"/>
        <w:bidi w:val="0"/>
        <w:spacing w:after="0" w:line="240" w:lineRule="auto"/>
        <w:rPr>
          <w:rFonts w:ascii="Times New Roman" w:hAnsi="Times New Roman" w:cs="Times New Roman"/>
        </w:rPr>
      </w:pPr>
      <w:r>
        <w:rPr>
          <w:rFonts w:ascii="Times New Roman" w:hAnsi="Times New Roman" w:cs="Times New Roman"/>
        </w:rPr>
        <w:t>b) p</w:t>
      </w:r>
      <w:r w:rsidRPr="009D1175">
        <w:rPr>
          <w:rFonts w:ascii="Times New Roman" w:hAnsi="Times New Roman" w:cs="Times New Roman"/>
        </w:rPr>
        <w:t>reverovanie v prípade existujúcich účtov fyzických osôb</w:t>
      </w:r>
      <w:r>
        <w:rPr>
          <w:rFonts w:ascii="Times New Roman" w:hAnsi="Times New Roman" w:cs="Times New Roman"/>
        </w:rPr>
        <w:t xml:space="preserve"> s</w:t>
      </w:r>
      <w:r w:rsidRPr="009D1175">
        <w:rPr>
          <w:rFonts w:ascii="Times New Roman" w:hAnsi="Times New Roman" w:cs="Times New Roman"/>
        </w:rPr>
        <w:t xml:space="preserve"> nižšou hodnotou</w:t>
      </w:r>
      <w:r>
        <w:rPr>
          <w:rFonts w:ascii="Times New Roman" w:hAnsi="Times New Roman" w:cs="Times New Roman"/>
        </w:rPr>
        <w:t xml:space="preserve"> a v</w:t>
      </w:r>
      <w:r w:rsidRPr="009D1175">
        <w:rPr>
          <w:rFonts w:ascii="Times New Roman" w:hAnsi="Times New Roman" w:cs="Times New Roman"/>
        </w:rPr>
        <w:t xml:space="preserve"> prípade účtov s vyššou hodnotou</w:t>
      </w:r>
      <w:r>
        <w:rPr>
          <w:rFonts w:ascii="Times New Roman" w:hAnsi="Times New Roman" w:cs="Times New Roman"/>
        </w:rPr>
        <w:t>,</w:t>
      </w:r>
    </w:p>
    <w:p w:rsidR="009D1175" w:rsidP="005825D2">
      <w:pPr>
        <w:pStyle w:val="ListParagraph"/>
        <w:bidi w:val="0"/>
        <w:spacing w:after="0" w:line="240" w:lineRule="auto"/>
        <w:rPr>
          <w:rFonts w:ascii="Times New Roman" w:hAnsi="Times New Roman" w:cs="Times New Roman"/>
        </w:rPr>
      </w:pPr>
      <w:r>
        <w:rPr>
          <w:rFonts w:ascii="Times New Roman" w:hAnsi="Times New Roman" w:cs="Times New Roman"/>
        </w:rPr>
        <w:t>c) p</w:t>
      </w:r>
      <w:r w:rsidRPr="009D1175">
        <w:rPr>
          <w:rFonts w:ascii="Times New Roman" w:hAnsi="Times New Roman" w:cs="Times New Roman"/>
        </w:rPr>
        <w:t>reverovanie v prípade nových účtov fyzických osôb</w:t>
      </w:r>
      <w:r>
        <w:rPr>
          <w:rFonts w:ascii="Times New Roman" w:hAnsi="Times New Roman" w:cs="Times New Roman"/>
        </w:rPr>
        <w:t>,</w:t>
      </w:r>
    </w:p>
    <w:p w:rsidR="009D1175" w:rsidP="005825D2">
      <w:pPr>
        <w:pStyle w:val="ListParagraph"/>
        <w:bidi w:val="0"/>
        <w:spacing w:after="0" w:line="240" w:lineRule="auto"/>
        <w:rPr>
          <w:rFonts w:ascii="Times New Roman" w:hAnsi="Times New Roman" w:cs="Times New Roman"/>
        </w:rPr>
      </w:pPr>
      <w:r>
        <w:rPr>
          <w:rFonts w:ascii="Times New Roman" w:hAnsi="Times New Roman" w:cs="Times New Roman"/>
        </w:rPr>
        <w:t>d) p</w:t>
      </w:r>
      <w:r w:rsidRPr="009D1175">
        <w:rPr>
          <w:rFonts w:ascii="Times New Roman" w:hAnsi="Times New Roman" w:cs="Times New Roman"/>
        </w:rPr>
        <w:t>reverovanie v prípade existujúcich účtov subjektov</w:t>
      </w:r>
      <w:r>
        <w:rPr>
          <w:rFonts w:ascii="Times New Roman" w:hAnsi="Times New Roman" w:cs="Times New Roman"/>
        </w:rPr>
        <w:t>,</w:t>
      </w:r>
    </w:p>
    <w:p w:rsidR="009D1175" w:rsidP="005825D2">
      <w:pPr>
        <w:pStyle w:val="ListParagraph"/>
        <w:bidi w:val="0"/>
        <w:spacing w:after="0" w:line="240" w:lineRule="auto"/>
        <w:rPr>
          <w:rFonts w:ascii="Times New Roman" w:hAnsi="Times New Roman" w:cs="Times New Roman"/>
        </w:rPr>
      </w:pPr>
      <w:r>
        <w:rPr>
          <w:rFonts w:ascii="Times New Roman" w:hAnsi="Times New Roman" w:cs="Times New Roman"/>
        </w:rPr>
        <w:t>e) p</w:t>
      </w:r>
      <w:r w:rsidRPr="009D1175">
        <w:rPr>
          <w:rFonts w:ascii="Times New Roman" w:hAnsi="Times New Roman" w:cs="Times New Roman"/>
        </w:rPr>
        <w:t>reverovanie v prípade nových účtov subjektov</w:t>
      </w:r>
      <w:r w:rsidR="003B623D">
        <w:rPr>
          <w:rFonts w:ascii="Times New Roman" w:hAnsi="Times New Roman" w:cs="Times New Roman"/>
        </w:rPr>
        <w:t>,</w:t>
      </w:r>
    </w:p>
    <w:p w:rsidR="001C51B7" w:rsidP="005825D2">
      <w:pPr>
        <w:pStyle w:val="ListParagraph"/>
        <w:bidi w:val="0"/>
        <w:spacing w:after="0" w:line="240" w:lineRule="auto"/>
        <w:rPr>
          <w:rFonts w:ascii="Times New Roman" w:hAnsi="Times New Roman" w:cs="Times New Roman"/>
        </w:rPr>
      </w:pPr>
      <w:r>
        <w:rPr>
          <w:rFonts w:ascii="Times New Roman" w:hAnsi="Times New Roman" w:cs="Times New Roman"/>
        </w:rPr>
        <w:t>f) o</w:t>
      </w:r>
      <w:r w:rsidRPr="001C51B7">
        <w:rPr>
          <w:rFonts w:ascii="Times New Roman" w:hAnsi="Times New Roman" w:cs="Times New Roman"/>
        </w:rPr>
        <w:t>sobitné pravidlá týkajúce sa preverovania</w:t>
      </w:r>
      <w:r>
        <w:rPr>
          <w:rFonts w:ascii="Times New Roman" w:hAnsi="Times New Roman" w:cs="Times New Roman"/>
        </w:rPr>
        <w:t>, a</w:t>
      </w:r>
    </w:p>
    <w:p w:rsidR="001C51B7" w:rsidP="005825D2">
      <w:pPr>
        <w:pStyle w:val="ListParagraph"/>
        <w:bidi w:val="0"/>
        <w:spacing w:after="0" w:line="240" w:lineRule="auto"/>
        <w:rPr>
          <w:rFonts w:ascii="Times New Roman" w:hAnsi="Times New Roman" w:cs="Times New Roman"/>
        </w:rPr>
      </w:pPr>
      <w:r>
        <w:rPr>
          <w:rFonts w:ascii="Times New Roman" w:hAnsi="Times New Roman" w:cs="Times New Roman"/>
        </w:rPr>
        <w:t xml:space="preserve">g) bližšie </w:t>
      </w:r>
      <w:r w:rsidR="009E0328">
        <w:rPr>
          <w:rFonts w:ascii="Times New Roman" w:hAnsi="Times New Roman" w:cs="Times New Roman"/>
        </w:rPr>
        <w:t>stanovenie používaných</w:t>
      </w:r>
      <w:r>
        <w:rPr>
          <w:rFonts w:ascii="Times New Roman" w:hAnsi="Times New Roman" w:cs="Times New Roman"/>
        </w:rPr>
        <w:t xml:space="preserve"> pojmov.</w:t>
      </w:r>
    </w:p>
    <w:p w:rsidR="001C51B7" w:rsidP="005825D2">
      <w:pPr>
        <w:pStyle w:val="ListParagraph"/>
        <w:bidi w:val="0"/>
        <w:spacing w:after="0" w:line="240" w:lineRule="auto"/>
        <w:rPr>
          <w:rFonts w:ascii="Times New Roman" w:hAnsi="Times New Roman" w:cs="Times New Roman"/>
        </w:rPr>
      </w:pPr>
    </w:p>
    <w:p w:rsidR="003B623D" w:rsidP="005825D2">
      <w:pPr>
        <w:pStyle w:val="ListParagraph"/>
        <w:bidi w:val="0"/>
        <w:spacing w:after="0" w:line="240" w:lineRule="auto"/>
        <w:rPr>
          <w:rFonts w:ascii="Times New Roman" w:hAnsi="Times New Roman" w:cs="Times New Roman"/>
        </w:rPr>
      </w:pPr>
    </w:p>
    <w:p w:rsidR="005724D5" w:rsidP="005825D2">
      <w:pPr>
        <w:pStyle w:val="ListParagraph"/>
        <w:bidi w:val="0"/>
        <w:spacing w:after="0" w:line="240" w:lineRule="auto"/>
        <w:jc w:val="center"/>
        <w:rPr>
          <w:rFonts w:ascii="Times New Roman" w:hAnsi="Times New Roman" w:cs="Times New Roman"/>
          <w:b/>
          <w:bCs/>
        </w:rPr>
      </w:pPr>
      <w:r w:rsidRPr="001C51B7" w:rsidR="001C51B7">
        <w:rPr>
          <w:rFonts w:ascii="Times New Roman" w:hAnsi="Times New Roman" w:cs="Times New Roman"/>
          <w:b/>
          <w:bCs/>
        </w:rPr>
        <w:t>§</w:t>
      </w:r>
      <w:r w:rsidR="001C51B7">
        <w:rPr>
          <w:rFonts w:ascii="Times New Roman" w:hAnsi="Times New Roman" w:cs="Times New Roman"/>
          <w:b/>
          <w:bCs/>
        </w:rPr>
        <w:t xml:space="preserve"> </w:t>
      </w:r>
      <w:r w:rsidRPr="001C51B7" w:rsidR="001C51B7">
        <w:rPr>
          <w:rFonts w:ascii="Times New Roman" w:hAnsi="Times New Roman" w:cs="Times New Roman"/>
          <w:b/>
          <w:bCs/>
        </w:rPr>
        <w:t>2</w:t>
      </w:r>
    </w:p>
    <w:p w:rsidR="005825D2" w:rsidRPr="00812968" w:rsidP="005825D2">
      <w:pPr>
        <w:pStyle w:val="ListParagraph"/>
        <w:bidi w:val="0"/>
        <w:spacing w:after="0" w:line="240" w:lineRule="auto"/>
        <w:jc w:val="center"/>
        <w:rPr>
          <w:rFonts w:ascii="Times New Roman" w:hAnsi="Times New Roman" w:cs="Times New Roman"/>
          <w:b/>
          <w:bCs/>
        </w:rPr>
      </w:pPr>
    </w:p>
    <w:p w:rsidR="006B08F1" w:rsidP="005825D2">
      <w:pPr>
        <w:bidi w:val="0"/>
        <w:spacing w:after="0" w:line="240" w:lineRule="auto"/>
        <w:jc w:val="center"/>
        <w:rPr>
          <w:rFonts w:ascii="Times New Roman" w:hAnsi="Times New Roman" w:cs="Times New Roman"/>
          <w:b/>
          <w:bCs/>
        </w:rPr>
      </w:pPr>
      <w:r w:rsidRPr="00A923B8">
        <w:rPr>
          <w:rFonts w:ascii="Times New Roman" w:hAnsi="Times New Roman" w:cs="Times New Roman"/>
          <w:b/>
          <w:bCs/>
        </w:rPr>
        <w:t>V</w:t>
      </w:r>
      <w:r w:rsidRPr="00A923B8" w:rsidR="00A923B8">
        <w:rPr>
          <w:rFonts w:ascii="Times New Roman" w:hAnsi="Times New Roman" w:cs="Times New Roman"/>
          <w:b/>
          <w:bCs/>
        </w:rPr>
        <w:t>šeobecné požiadavky týkajúce sa preverovania</w:t>
      </w:r>
      <w:r w:rsidRPr="00A923B8">
        <w:rPr>
          <w:rFonts w:ascii="Times New Roman" w:hAnsi="Times New Roman" w:cs="Times New Roman"/>
          <w:b/>
          <w:bCs/>
        </w:rPr>
        <w:t xml:space="preserve"> </w:t>
      </w:r>
    </w:p>
    <w:p w:rsidR="009E0328" w:rsidRPr="00A923B8" w:rsidP="005825D2">
      <w:pPr>
        <w:bidi w:val="0"/>
        <w:spacing w:after="0" w:line="240" w:lineRule="auto"/>
        <w:jc w:val="center"/>
        <w:rPr>
          <w:rFonts w:ascii="Times New Roman" w:hAnsi="Times New Roman" w:cs="Times New Roman"/>
          <w:b/>
          <w:bCs/>
        </w:rPr>
      </w:pPr>
    </w:p>
    <w:p w:rsidR="00812968" w:rsidP="005825D2">
      <w:pPr>
        <w:pStyle w:val="ListParagraph"/>
        <w:numPr>
          <w:numId w:val="26"/>
        </w:numPr>
        <w:bidi w:val="0"/>
        <w:spacing w:after="0" w:line="240" w:lineRule="auto"/>
        <w:jc w:val="both"/>
        <w:rPr>
          <w:rFonts w:ascii="Times New Roman" w:hAnsi="Times New Roman" w:cs="Times New Roman"/>
        </w:rPr>
      </w:pPr>
      <w:r w:rsidRPr="00812968" w:rsidR="006B08F1">
        <w:rPr>
          <w:rFonts w:ascii="Times New Roman" w:hAnsi="Times New Roman" w:cs="Times New Roman"/>
        </w:rPr>
        <w:t>Účet sa považuje za účet podliehajúci oznamovaniu od dátumu, keď je ako taký identifikovaný podľa postupov preverovania uvedených v</w:t>
      </w:r>
      <w:r w:rsidR="004E637B">
        <w:rPr>
          <w:rFonts w:ascii="Times New Roman" w:hAnsi="Times New Roman" w:cs="Times New Roman"/>
        </w:rPr>
        <w:t> tomto všeobecne záväznom predpise</w:t>
      </w:r>
      <w:r w:rsidRPr="00812968" w:rsidR="006B08F1">
        <w:rPr>
          <w:rFonts w:ascii="Times New Roman" w:hAnsi="Times New Roman" w:cs="Times New Roman"/>
        </w:rPr>
        <w:t>, a pokiaľ sa neustanovuje inak, informácie týkajúce sa účtu podliehajúceho oznamovaniu sa musia predkladať každý rok v kalendárnom roku nasledujúcom po roku, na ktorý sa informácie vzťahujú.</w:t>
      </w:r>
    </w:p>
    <w:p w:rsidR="007E6AE0" w:rsidRPr="007E6AE0" w:rsidP="005825D2">
      <w:pPr>
        <w:pStyle w:val="ListParagraph"/>
        <w:bidi w:val="0"/>
        <w:spacing w:after="0" w:line="240" w:lineRule="auto"/>
        <w:jc w:val="both"/>
        <w:rPr>
          <w:rFonts w:ascii="Times New Roman" w:hAnsi="Times New Roman" w:cs="Times New Roman"/>
        </w:rPr>
      </w:pPr>
    </w:p>
    <w:p w:rsidR="007E6AE0" w:rsidP="005825D2">
      <w:pPr>
        <w:pStyle w:val="ListParagraph"/>
        <w:numPr>
          <w:numId w:val="26"/>
        </w:numPr>
        <w:bidi w:val="0"/>
        <w:spacing w:after="0" w:line="240" w:lineRule="auto"/>
        <w:jc w:val="both"/>
        <w:rPr>
          <w:rFonts w:ascii="Times New Roman" w:hAnsi="Times New Roman" w:cs="Times New Roman"/>
        </w:rPr>
      </w:pPr>
      <w:r w:rsidRPr="00812968" w:rsidR="006B08F1">
        <w:rPr>
          <w:rFonts w:ascii="Times New Roman" w:hAnsi="Times New Roman" w:cs="Times New Roman"/>
        </w:rPr>
        <w:t>Zostatok na účte alebo hodnota účtu sa stanovuje k poslednému dň</w:t>
      </w:r>
      <w:r w:rsidRPr="00812968" w:rsidR="005D406A">
        <w:rPr>
          <w:rFonts w:ascii="Times New Roman" w:hAnsi="Times New Roman" w:cs="Times New Roman"/>
        </w:rPr>
        <w:t xml:space="preserve">u kalendárneho roka alebo iného </w:t>
      </w:r>
      <w:r w:rsidRPr="00812968" w:rsidR="006B08F1">
        <w:rPr>
          <w:rFonts w:ascii="Times New Roman" w:hAnsi="Times New Roman" w:cs="Times New Roman"/>
        </w:rPr>
        <w:t>primeraného oznamovacieho obdobia.</w:t>
      </w:r>
    </w:p>
    <w:p w:rsidR="007E6AE0" w:rsidRPr="007E6AE0" w:rsidP="005825D2">
      <w:pPr>
        <w:bidi w:val="0"/>
        <w:spacing w:after="0" w:line="240" w:lineRule="auto"/>
        <w:jc w:val="both"/>
        <w:rPr>
          <w:rFonts w:ascii="Times New Roman" w:hAnsi="Times New Roman" w:cs="Times New Roman"/>
        </w:rPr>
      </w:pPr>
    </w:p>
    <w:p w:rsidR="006B08F1" w:rsidP="005825D2">
      <w:pPr>
        <w:pStyle w:val="ListParagraph"/>
        <w:numPr>
          <w:numId w:val="26"/>
        </w:numPr>
        <w:bidi w:val="0"/>
        <w:spacing w:after="0" w:line="240" w:lineRule="auto"/>
        <w:jc w:val="both"/>
        <w:rPr>
          <w:rFonts w:ascii="Times New Roman" w:hAnsi="Times New Roman" w:cs="Times New Roman"/>
        </w:rPr>
      </w:pPr>
      <w:r w:rsidRPr="00812968">
        <w:rPr>
          <w:rFonts w:ascii="Times New Roman" w:hAnsi="Times New Roman" w:cs="Times New Roman"/>
        </w:rPr>
        <w:t>Ak sa má prahová hodnota týkajúca sa zostatku na účte alebo hodnoty účtu stanoviť k poslednému dňu kalendárneho roka, musí sa príslušný zostatok alebo hodnota stanoviť k poslednému dňu oznamovacieho obdobia, ktoré sa končí s kalendárnym rokom alebo v kalendárnom roku.</w:t>
      </w:r>
    </w:p>
    <w:p w:rsidR="007E6AE0" w:rsidRPr="007E6AE0" w:rsidP="005825D2">
      <w:pPr>
        <w:bidi w:val="0"/>
        <w:spacing w:after="0" w:line="240" w:lineRule="auto"/>
        <w:jc w:val="both"/>
        <w:rPr>
          <w:rFonts w:ascii="Times New Roman" w:hAnsi="Times New Roman" w:cs="Times New Roman"/>
        </w:rPr>
      </w:pPr>
    </w:p>
    <w:p w:rsidR="006B08F1" w:rsidP="005825D2">
      <w:pPr>
        <w:pStyle w:val="ListParagraph"/>
        <w:numPr>
          <w:numId w:val="26"/>
        </w:numPr>
        <w:bidi w:val="0"/>
        <w:spacing w:after="0" w:line="240" w:lineRule="auto"/>
        <w:jc w:val="both"/>
        <w:rPr>
          <w:rFonts w:ascii="Times New Roman" w:hAnsi="Times New Roman" w:cs="Times New Roman"/>
        </w:rPr>
      </w:pPr>
      <w:r w:rsidRPr="00812968" w:rsidR="005D406A">
        <w:rPr>
          <w:rFonts w:ascii="Times New Roman" w:hAnsi="Times New Roman" w:cs="Times New Roman"/>
        </w:rPr>
        <w:t>Oznamujúc</w:t>
      </w:r>
      <w:r w:rsidR="00A923B8">
        <w:rPr>
          <w:rFonts w:ascii="Times New Roman" w:hAnsi="Times New Roman" w:cs="Times New Roman"/>
        </w:rPr>
        <w:t>a</w:t>
      </w:r>
      <w:r w:rsidRPr="00812968" w:rsidR="005D406A">
        <w:rPr>
          <w:rFonts w:ascii="Times New Roman" w:hAnsi="Times New Roman" w:cs="Times New Roman"/>
        </w:rPr>
        <w:t xml:space="preserve"> finančn</w:t>
      </w:r>
      <w:r w:rsidR="00A923B8">
        <w:rPr>
          <w:rFonts w:ascii="Times New Roman" w:hAnsi="Times New Roman" w:cs="Times New Roman"/>
        </w:rPr>
        <w:t>á</w:t>
      </w:r>
      <w:r w:rsidRPr="00812968" w:rsidR="005D406A">
        <w:rPr>
          <w:rFonts w:ascii="Times New Roman" w:hAnsi="Times New Roman" w:cs="Times New Roman"/>
        </w:rPr>
        <w:t xml:space="preserve"> inštitúci</w:t>
      </w:r>
      <w:r w:rsidR="00A923B8">
        <w:rPr>
          <w:rFonts w:ascii="Times New Roman" w:hAnsi="Times New Roman" w:cs="Times New Roman"/>
        </w:rPr>
        <w:t>a</w:t>
      </w:r>
      <w:r w:rsidRPr="00812968">
        <w:rPr>
          <w:rFonts w:ascii="Times New Roman" w:hAnsi="Times New Roman" w:cs="Times New Roman"/>
        </w:rPr>
        <w:t xml:space="preserve"> </w:t>
      </w:r>
      <w:r w:rsidRPr="00812968" w:rsidR="005D406A">
        <w:rPr>
          <w:rFonts w:ascii="Times New Roman" w:hAnsi="Times New Roman" w:cs="Times New Roman"/>
        </w:rPr>
        <w:t>môžu na splnenie povinnosti oznamovania  a preverovania použiť</w:t>
      </w:r>
      <w:r w:rsidRPr="00812968">
        <w:rPr>
          <w:rFonts w:ascii="Times New Roman" w:hAnsi="Times New Roman" w:cs="Times New Roman"/>
        </w:rPr>
        <w:t xml:space="preserve"> poskytovateľov služieb, pričom však tieto povinnosti sú naďalej zodpovednosťou oznamujúcich finančných inštitúcií.</w:t>
      </w:r>
    </w:p>
    <w:p w:rsidR="007E6AE0" w:rsidRPr="007E6AE0" w:rsidP="005825D2">
      <w:pPr>
        <w:bidi w:val="0"/>
        <w:spacing w:after="0" w:line="240" w:lineRule="auto"/>
        <w:jc w:val="both"/>
        <w:rPr>
          <w:rFonts w:ascii="Times New Roman" w:hAnsi="Times New Roman" w:cs="Times New Roman"/>
        </w:rPr>
      </w:pPr>
    </w:p>
    <w:p w:rsidR="001125F8" w:rsidRPr="00812968" w:rsidP="005825D2">
      <w:pPr>
        <w:pStyle w:val="ListParagraph"/>
        <w:numPr>
          <w:numId w:val="26"/>
        </w:numPr>
        <w:bidi w:val="0"/>
        <w:spacing w:after="0" w:line="240" w:lineRule="auto"/>
        <w:jc w:val="both"/>
        <w:rPr>
          <w:rFonts w:ascii="Times New Roman" w:hAnsi="Times New Roman" w:cs="Times New Roman"/>
        </w:rPr>
      </w:pPr>
      <w:r w:rsidRPr="00812968" w:rsidR="005D406A">
        <w:rPr>
          <w:rFonts w:ascii="Times New Roman" w:hAnsi="Times New Roman" w:cs="Times New Roman"/>
        </w:rPr>
        <w:t>Oznamujúc</w:t>
      </w:r>
      <w:r w:rsidR="00A923B8">
        <w:rPr>
          <w:rFonts w:ascii="Times New Roman" w:hAnsi="Times New Roman" w:cs="Times New Roman"/>
        </w:rPr>
        <w:t>a</w:t>
      </w:r>
      <w:r w:rsidRPr="00812968" w:rsidR="005D406A">
        <w:rPr>
          <w:rFonts w:ascii="Times New Roman" w:hAnsi="Times New Roman" w:cs="Times New Roman"/>
        </w:rPr>
        <w:t xml:space="preserve"> finančn</w:t>
      </w:r>
      <w:r w:rsidR="00A923B8">
        <w:rPr>
          <w:rFonts w:ascii="Times New Roman" w:hAnsi="Times New Roman" w:cs="Times New Roman"/>
        </w:rPr>
        <w:t>á</w:t>
      </w:r>
      <w:r w:rsidRPr="00812968" w:rsidR="006B08F1">
        <w:rPr>
          <w:rFonts w:ascii="Times New Roman" w:hAnsi="Times New Roman" w:cs="Times New Roman"/>
        </w:rPr>
        <w:t xml:space="preserve"> inštitúci</w:t>
      </w:r>
      <w:r w:rsidR="00A923B8">
        <w:rPr>
          <w:rFonts w:ascii="Times New Roman" w:hAnsi="Times New Roman" w:cs="Times New Roman"/>
        </w:rPr>
        <w:t>a</w:t>
      </w:r>
      <w:r w:rsidR="007E6AE0">
        <w:rPr>
          <w:rFonts w:ascii="Times New Roman" w:hAnsi="Times New Roman" w:cs="Times New Roman"/>
        </w:rPr>
        <w:t xml:space="preserve"> môže </w:t>
      </w:r>
      <w:r w:rsidRPr="00812968" w:rsidR="00136F85">
        <w:rPr>
          <w:rFonts w:ascii="Times New Roman" w:hAnsi="Times New Roman" w:cs="Times New Roman"/>
        </w:rPr>
        <w:t>uplatn</w:t>
      </w:r>
      <w:r w:rsidR="00136F85">
        <w:rPr>
          <w:rFonts w:ascii="Times New Roman" w:hAnsi="Times New Roman" w:cs="Times New Roman"/>
        </w:rPr>
        <w:t xml:space="preserve">iť </w:t>
      </w:r>
      <w:r w:rsidRPr="00812968" w:rsidR="006B08F1">
        <w:rPr>
          <w:rFonts w:ascii="Times New Roman" w:hAnsi="Times New Roman" w:cs="Times New Roman"/>
        </w:rPr>
        <w:t xml:space="preserve">postupy hĺbkového preverovania pre nové účty na existujúce účty, a postupy hĺbkového preverovania pre účty s vysokou hodnotou na účty s nižšou hodnotou. </w:t>
      </w:r>
      <w:r w:rsidRPr="00A923B8" w:rsidR="00A923B8">
        <w:rPr>
          <w:rFonts w:ascii="Times New Roman" w:hAnsi="Times New Roman" w:cs="Times New Roman"/>
        </w:rPr>
        <w:t xml:space="preserve">Oznamujúca finančná inštitúcia môže </w:t>
      </w:r>
      <w:r w:rsidR="00A923B8">
        <w:rPr>
          <w:rFonts w:ascii="Times New Roman" w:hAnsi="Times New Roman" w:cs="Times New Roman"/>
        </w:rPr>
        <w:t>použiť</w:t>
      </w:r>
      <w:r w:rsidRPr="00812968" w:rsidR="006B08F1">
        <w:rPr>
          <w:rFonts w:ascii="Times New Roman" w:hAnsi="Times New Roman" w:cs="Times New Roman"/>
        </w:rPr>
        <w:t xml:space="preserve"> postupy hĺbkového preverovania pre nové účty </w:t>
      </w:r>
      <w:r w:rsidR="00A923B8">
        <w:rPr>
          <w:rFonts w:ascii="Times New Roman" w:hAnsi="Times New Roman" w:cs="Times New Roman"/>
        </w:rPr>
        <w:t xml:space="preserve">aj </w:t>
      </w:r>
      <w:r w:rsidRPr="00812968" w:rsidR="006B08F1">
        <w:rPr>
          <w:rFonts w:ascii="Times New Roman" w:hAnsi="Times New Roman" w:cs="Times New Roman"/>
        </w:rPr>
        <w:t>v prípade existujúcich účtov, pravidlá, ktoré sa inak uplatňujú na existujúce účty, naďalej platia.</w:t>
      </w:r>
    </w:p>
    <w:p w:rsidR="005D406A" w:rsidRPr="005724D5" w:rsidP="005825D2">
      <w:pPr>
        <w:bidi w:val="0"/>
        <w:spacing w:after="0" w:line="240" w:lineRule="auto"/>
        <w:jc w:val="center"/>
        <w:rPr>
          <w:rFonts w:ascii="Times New Roman" w:hAnsi="Times New Roman" w:cs="Times New Roman"/>
          <w:b/>
          <w:bCs/>
        </w:rPr>
      </w:pPr>
    </w:p>
    <w:p w:rsidR="007C479B" w:rsidRPr="005724D5" w:rsidP="005825D2">
      <w:pPr>
        <w:bidi w:val="0"/>
        <w:spacing w:after="0" w:line="240" w:lineRule="auto"/>
        <w:jc w:val="center"/>
        <w:rPr>
          <w:rFonts w:ascii="Times New Roman" w:hAnsi="Times New Roman" w:cs="Times New Roman"/>
          <w:b/>
          <w:bCs/>
        </w:rPr>
      </w:pPr>
    </w:p>
    <w:p w:rsidR="009E0328" w:rsidP="005825D2">
      <w:pPr>
        <w:bidi w:val="0"/>
        <w:spacing w:after="0" w:line="240" w:lineRule="auto"/>
        <w:jc w:val="center"/>
        <w:rPr>
          <w:rFonts w:ascii="Times New Roman" w:hAnsi="Times New Roman" w:cs="Times New Roman"/>
          <w:b/>
          <w:bCs/>
        </w:rPr>
      </w:pPr>
    </w:p>
    <w:p w:rsidR="009E0328" w:rsidP="005825D2">
      <w:pPr>
        <w:bidi w:val="0"/>
        <w:spacing w:after="0" w:line="240" w:lineRule="auto"/>
        <w:jc w:val="center"/>
        <w:rPr>
          <w:rFonts w:ascii="Times New Roman" w:hAnsi="Times New Roman" w:cs="Times New Roman"/>
          <w:b/>
          <w:bCs/>
        </w:rPr>
      </w:pPr>
    </w:p>
    <w:p w:rsidR="006B08F1" w:rsidP="005825D2">
      <w:pPr>
        <w:bidi w:val="0"/>
        <w:spacing w:after="0" w:line="240" w:lineRule="auto"/>
        <w:jc w:val="center"/>
        <w:rPr>
          <w:rFonts w:ascii="Times New Roman" w:hAnsi="Times New Roman" w:cs="Times New Roman"/>
          <w:b/>
          <w:bCs/>
        </w:rPr>
      </w:pPr>
      <w:r w:rsidR="00136F85">
        <w:rPr>
          <w:rFonts w:ascii="Times New Roman" w:hAnsi="Times New Roman" w:cs="Times New Roman"/>
          <w:b/>
          <w:bCs/>
        </w:rPr>
        <w:t xml:space="preserve">§ </w:t>
      </w:r>
      <w:r w:rsidR="00A923B8">
        <w:rPr>
          <w:rFonts w:ascii="Times New Roman" w:hAnsi="Times New Roman" w:cs="Times New Roman"/>
          <w:b/>
          <w:bCs/>
        </w:rPr>
        <w:t>3</w:t>
      </w:r>
    </w:p>
    <w:p w:rsidR="00A923B8" w:rsidRPr="005724D5" w:rsidP="005825D2">
      <w:pPr>
        <w:bidi w:val="0"/>
        <w:spacing w:after="0" w:line="240" w:lineRule="auto"/>
        <w:jc w:val="center"/>
        <w:rPr>
          <w:rFonts w:ascii="Times New Roman" w:hAnsi="Times New Roman" w:cs="Times New Roman"/>
          <w:b/>
          <w:bCs/>
        </w:rPr>
      </w:pPr>
    </w:p>
    <w:p w:rsidR="006B08F1" w:rsidRPr="00136F85" w:rsidP="005825D2">
      <w:pPr>
        <w:bidi w:val="0"/>
        <w:spacing w:after="0" w:line="240" w:lineRule="auto"/>
        <w:jc w:val="center"/>
        <w:rPr>
          <w:rFonts w:ascii="Times New Roman" w:hAnsi="Times New Roman" w:cs="Times New Roman"/>
          <w:b/>
          <w:bCs/>
        </w:rPr>
      </w:pPr>
      <w:r w:rsidRPr="00136F85">
        <w:rPr>
          <w:rFonts w:ascii="Times New Roman" w:hAnsi="Times New Roman" w:cs="Times New Roman"/>
          <w:b/>
          <w:bCs/>
        </w:rPr>
        <w:t>P</w:t>
      </w:r>
      <w:r w:rsidRPr="00136F85" w:rsidR="00136F85">
        <w:rPr>
          <w:rFonts w:ascii="Times New Roman" w:hAnsi="Times New Roman" w:cs="Times New Roman"/>
          <w:b/>
          <w:bCs/>
        </w:rPr>
        <w:t>reverovanie v prípade existujúcich účtov fyzických osôb</w:t>
      </w:r>
      <w:r w:rsidRPr="00136F85">
        <w:rPr>
          <w:rFonts w:ascii="Times New Roman" w:hAnsi="Times New Roman" w:cs="Times New Roman"/>
          <w:b/>
          <w:bCs/>
        </w:rPr>
        <w:t xml:space="preserve"> </w:t>
      </w:r>
    </w:p>
    <w:p w:rsidR="00136F85" w:rsidRPr="005724D5" w:rsidP="005825D2">
      <w:pPr>
        <w:bidi w:val="0"/>
        <w:spacing w:after="0" w:line="240" w:lineRule="auto"/>
        <w:jc w:val="center"/>
        <w:rPr>
          <w:rFonts w:ascii="Times New Roman" w:hAnsi="Times New Roman" w:cs="Times New Roman"/>
        </w:rPr>
      </w:pPr>
    </w:p>
    <w:p w:rsidR="001D18D3" w:rsidRPr="00136F85" w:rsidP="005825D2">
      <w:pPr>
        <w:pStyle w:val="ListParagraph"/>
        <w:numPr>
          <w:numId w:val="2"/>
        </w:numPr>
        <w:bidi w:val="0"/>
        <w:spacing w:after="0" w:line="240" w:lineRule="auto"/>
        <w:jc w:val="both"/>
        <w:rPr>
          <w:rFonts w:ascii="Times New Roman" w:hAnsi="Times New Roman" w:cs="Times New Roman"/>
        </w:rPr>
      </w:pPr>
      <w:r w:rsidR="00136F85">
        <w:rPr>
          <w:rFonts w:ascii="Times New Roman" w:hAnsi="Times New Roman" w:cs="Times New Roman"/>
        </w:rPr>
        <w:t>Na</w:t>
      </w:r>
      <w:r w:rsidRPr="00136F85" w:rsidR="006B08F1">
        <w:rPr>
          <w:rFonts w:ascii="Times New Roman" w:hAnsi="Times New Roman" w:cs="Times New Roman"/>
        </w:rPr>
        <w:t xml:space="preserve"> účely identifikovania úč</w:t>
      </w:r>
      <w:r w:rsidR="00136F85">
        <w:rPr>
          <w:rFonts w:ascii="Times New Roman" w:hAnsi="Times New Roman" w:cs="Times New Roman"/>
        </w:rPr>
        <w:t xml:space="preserve">tov podliehajúcich oznamovaniu, </w:t>
      </w:r>
      <w:r w:rsidRPr="00136F85" w:rsidR="006B08F1">
        <w:rPr>
          <w:rFonts w:ascii="Times New Roman" w:hAnsi="Times New Roman" w:cs="Times New Roman"/>
        </w:rPr>
        <w:t xml:space="preserve">medzi existujúcimi účtami fyzických </w:t>
      </w:r>
      <w:r w:rsidR="00136F85">
        <w:rPr>
          <w:rFonts w:ascii="Times New Roman" w:hAnsi="Times New Roman" w:cs="Times New Roman"/>
        </w:rPr>
        <w:t>osôb sa uplatňujú tieto postupy, p</w:t>
      </w:r>
      <w:r w:rsidRPr="00136F85" w:rsidR="00136F85">
        <w:rPr>
          <w:rFonts w:ascii="Times New Roman" w:hAnsi="Times New Roman" w:cs="Times New Roman"/>
        </w:rPr>
        <w:t xml:space="preserve">okiaľ ide o </w:t>
      </w:r>
      <w:r w:rsidRPr="005825D2" w:rsidR="00136F85">
        <w:rPr>
          <w:rFonts w:ascii="Times New Roman" w:hAnsi="Times New Roman" w:cs="Times New Roman"/>
        </w:rPr>
        <w:t>účty s nižšou hodnotou</w:t>
      </w:r>
      <w:r w:rsidRPr="005825D2" w:rsidR="006B08F1">
        <w:rPr>
          <w:rFonts w:ascii="Times New Roman" w:hAnsi="Times New Roman" w:cs="Times New Roman"/>
        </w:rPr>
        <w:t>,</w:t>
      </w:r>
      <w:r w:rsidR="00136F85">
        <w:rPr>
          <w:rFonts w:ascii="Times New Roman" w:hAnsi="Times New Roman" w:cs="Times New Roman"/>
        </w:rPr>
        <w:t xml:space="preserve"> sa</w:t>
      </w:r>
      <w:r w:rsidRPr="00136F85" w:rsidR="006B08F1">
        <w:rPr>
          <w:rFonts w:ascii="Times New Roman" w:hAnsi="Times New Roman" w:cs="Times New Roman"/>
        </w:rPr>
        <w:t xml:space="preserve"> uplatňujú tieto postupy:</w:t>
      </w:r>
    </w:p>
    <w:p w:rsidR="001D18D3" w:rsidRPr="005724D5" w:rsidP="005825D2">
      <w:pPr>
        <w:pStyle w:val="ListParagraph"/>
        <w:numPr>
          <w:numId w:val="3"/>
        </w:numPr>
        <w:bidi w:val="0"/>
        <w:spacing w:after="0" w:line="240" w:lineRule="auto"/>
        <w:jc w:val="both"/>
        <w:rPr>
          <w:rFonts w:ascii="Times New Roman" w:hAnsi="Times New Roman" w:cs="Times New Roman"/>
        </w:rPr>
      </w:pPr>
      <w:r w:rsidRPr="005724D5">
        <w:rPr>
          <w:rFonts w:ascii="Times New Roman" w:hAnsi="Times New Roman" w:cs="Times New Roman"/>
        </w:rPr>
        <w:t>a</w:t>
      </w:r>
      <w:r w:rsidRPr="005724D5" w:rsidR="006B08F1">
        <w:rPr>
          <w:rFonts w:ascii="Times New Roman" w:hAnsi="Times New Roman" w:cs="Times New Roman"/>
        </w:rPr>
        <w:t xml:space="preserve">k má oznamujúca finančná inštitúcia vo svojich záznamoch </w:t>
      </w:r>
      <w:r w:rsidRPr="005724D5" w:rsidR="006B08F1">
        <w:rPr>
          <w:rFonts w:ascii="Times New Roman" w:hAnsi="Times New Roman" w:cs="Times New Roman"/>
          <w:i/>
          <w:iCs/>
        </w:rPr>
        <w:t>adresu súčasného</w:t>
      </w:r>
      <w:r w:rsidRPr="005724D5" w:rsidR="006B08F1">
        <w:rPr>
          <w:rFonts w:ascii="Times New Roman" w:hAnsi="Times New Roman" w:cs="Times New Roman"/>
        </w:rPr>
        <w:t xml:space="preserve"> </w:t>
      </w:r>
      <w:r w:rsidRPr="005724D5" w:rsidR="006B08F1">
        <w:rPr>
          <w:rFonts w:ascii="Times New Roman" w:hAnsi="Times New Roman" w:cs="Times New Roman"/>
          <w:i/>
          <w:iCs/>
        </w:rPr>
        <w:t>bydliska</w:t>
      </w:r>
      <w:r w:rsidRPr="005724D5" w:rsidR="006B08F1">
        <w:rPr>
          <w:rFonts w:ascii="Times New Roman" w:hAnsi="Times New Roman" w:cs="Times New Roman"/>
        </w:rPr>
        <w:t xml:space="preserve"> držiteľa účtu – fyzickej osoby </w:t>
      </w:r>
      <w:r w:rsidRPr="005724D5" w:rsidR="006B08F1">
        <w:rPr>
          <w:rFonts w:ascii="Times New Roman" w:hAnsi="Times New Roman" w:cs="Times New Roman"/>
          <w:i/>
          <w:iCs/>
        </w:rPr>
        <w:t>na základe písomných dôkazov</w:t>
      </w:r>
      <w:r w:rsidRPr="005724D5" w:rsidR="006B08F1">
        <w:rPr>
          <w:rFonts w:ascii="Times New Roman" w:hAnsi="Times New Roman" w:cs="Times New Roman"/>
        </w:rPr>
        <w:t>, oznamujúca finančná inštitúcia môže považovať držiteľa účtu – fyzickú osobu za takého, ktorý je na daňové účely rezidentom členského štátu alebo inej jurisdikcie, v ktorej sa adresa nachádza, na účely určenia, či je takýto držiteľ účtu – fyzická osoba o</w:t>
      </w:r>
      <w:r w:rsidR="00372897">
        <w:rPr>
          <w:rFonts w:ascii="Times New Roman" w:hAnsi="Times New Roman" w:cs="Times New Roman"/>
        </w:rPr>
        <w:t>sobou podliehajúcou oznamovaniu,</w:t>
      </w:r>
    </w:p>
    <w:p w:rsidR="001D18D3" w:rsidRPr="00A923B8" w:rsidP="005825D2">
      <w:pPr>
        <w:pStyle w:val="ListParagraph"/>
        <w:numPr>
          <w:numId w:val="3"/>
        </w:numPr>
        <w:bidi w:val="0"/>
        <w:spacing w:after="0" w:line="240" w:lineRule="auto"/>
        <w:jc w:val="both"/>
        <w:rPr>
          <w:rFonts w:ascii="Times New Roman" w:hAnsi="Times New Roman" w:cs="Times New Roman"/>
        </w:rPr>
      </w:pPr>
      <w:r w:rsidR="005825D2">
        <w:rPr>
          <w:rFonts w:ascii="Times New Roman" w:hAnsi="Times New Roman" w:cs="Times New Roman"/>
        </w:rPr>
        <w:t>a</w:t>
      </w:r>
      <w:r w:rsidRPr="005724D5" w:rsidR="006B08F1">
        <w:rPr>
          <w:rFonts w:ascii="Times New Roman" w:hAnsi="Times New Roman" w:cs="Times New Roman"/>
        </w:rPr>
        <w:t>k sa oznamujúca finančná inštitúcia nespolieha v prípade držiteľa účtu – fyzickej osoby na adresu súčasného bydliska na základe písomných dôkazov, ako sa uvádza v</w:t>
      </w:r>
      <w:r w:rsidRPr="005724D5">
        <w:rPr>
          <w:rFonts w:ascii="Times New Roman" w:hAnsi="Times New Roman" w:cs="Times New Roman"/>
        </w:rPr>
        <w:t> písm. a)</w:t>
      </w:r>
      <w:r w:rsidRPr="005724D5" w:rsidR="006B08F1">
        <w:rPr>
          <w:rFonts w:ascii="Times New Roman" w:hAnsi="Times New Roman" w:cs="Times New Roman"/>
        </w:rPr>
        <w:t xml:space="preserve">, oznamujúca finančná inštitúcia musí preskúmať údaje uchovávané oznamujúcou finančnou inštitúciou, ktoré možno vyhľadávať elektronicky, pokiaľ ide o akúkoľvek z nasledujúcich indícií, a uplatniť </w:t>
      </w:r>
      <w:r w:rsidR="004E637B">
        <w:rPr>
          <w:rFonts w:ascii="Times New Roman" w:hAnsi="Times New Roman" w:cs="Times New Roman"/>
        </w:rPr>
        <w:t>písm. c) až f)</w:t>
      </w:r>
      <w:r w:rsidRPr="00A923B8" w:rsidR="006B08F1">
        <w:rPr>
          <w:rFonts w:ascii="Times New Roman" w:hAnsi="Times New Roman" w:cs="Times New Roman"/>
        </w:rPr>
        <w:t>:</w:t>
      </w:r>
    </w:p>
    <w:p w:rsidR="006B08F1" w:rsidRPr="005724D5" w:rsidP="005825D2">
      <w:pPr>
        <w:pStyle w:val="ListParagraph"/>
        <w:numPr>
          <w:numId w:val="5"/>
        </w:numPr>
        <w:bidi w:val="0"/>
        <w:spacing w:after="0" w:line="240" w:lineRule="auto"/>
        <w:jc w:val="both"/>
        <w:rPr>
          <w:rFonts w:ascii="Times New Roman" w:hAnsi="Times New Roman" w:cs="Times New Roman"/>
        </w:rPr>
      </w:pPr>
      <w:r w:rsidRPr="005724D5">
        <w:rPr>
          <w:rFonts w:ascii="Times New Roman" w:hAnsi="Times New Roman" w:cs="Times New Roman"/>
        </w:rPr>
        <w:t>identifikáciu držiteľa účtu ako rezidenta členského štátu;</w:t>
      </w:r>
    </w:p>
    <w:p w:rsidR="001D18D3" w:rsidRPr="005724D5" w:rsidP="005825D2">
      <w:pPr>
        <w:pStyle w:val="ListParagraph"/>
        <w:numPr>
          <w:numId w:val="5"/>
        </w:numPr>
        <w:bidi w:val="0"/>
        <w:spacing w:after="0" w:line="240" w:lineRule="auto"/>
        <w:jc w:val="both"/>
        <w:rPr>
          <w:rFonts w:ascii="Times New Roman" w:hAnsi="Times New Roman" w:cs="Times New Roman"/>
        </w:rPr>
      </w:pPr>
      <w:r w:rsidRPr="005724D5">
        <w:rPr>
          <w:rFonts w:ascii="Times New Roman" w:hAnsi="Times New Roman" w:cs="Times New Roman"/>
        </w:rPr>
        <w:t>súčasnú poštovú adresu alebo adresu bydliska v členskom štáte alebo v zmluvnom štáte;</w:t>
      </w:r>
    </w:p>
    <w:p w:rsidR="00A13749" w:rsidRPr="005724D5" w:rsidP="005825D2">
      <w:pPr>
        <w:pStyle w:val="ListParagraph"/>
        <w:numPr>
          <w:numId w:val="5"/>
        </w:numPr>
        <w:bidi w:val="0"/>
        <w:spacing w:after="0" w:line="240" w:lineRule="auto"/>
        <w:jc w:val="both"/>
        <w:rPr>
          <w:rFonts w:ascii="Times New Roman" w:hAnsi="Times New Roman" w:cs="Times New Roman"/>
        </w:rPr>
      </w:pPr>
      <w:r w:rsidRPr="005724D5" w:rsidR="006B08F1">
        <w:rPr>
          <w:rFonts w:ascii="Times New Roman" w:hAnsi="Times New Roman" w:cs="Times New Roman"/>
        </w:rPr>
        <w:t>jedno alebo viacero telefónnych čísel v členskom štáte</w:t>
      </w:r>
      <w:r w:rsidRPr="005724D5" w:rsidR="001D18D3">
        <w:rPr>
          <w:rFonts w:ascii="Times New Roman" w:hAnsi="Times New Roman" w:cs="Times New Roman"/>
        </w:rPr>
        <w:t xml:space="preserve"> alebo v zmluvnom štáte</w:t>
      </w:r>
      <w:r w:rsidRPr="005724D5" w:rsidR="006B08F1">
        <w:rPr>
          <w:rFonts w:ascii="Times New Roman" w:hAnsi="Times New Roman" w:cs="Times New Roman"/>
        </w:rPr>
        <w:t xml:space="preserve"> a žiadne telefónne číslo v štáte oznamujúcej finančnej inštitúcie;</w:t>
      </w:r>
    </w:p>
    <w:p w:rsidR="00A13749" w:rsidRPr="005724D5" w:rsidP="005825D2">
      <w:pPr>
        <w:pStyle w:val="ListParagraph"/>
        <w:numPr>
          <w:numId w:val="5"/>
        </w:numPr>
        <w:bidi w:val="0"/>
        <w:spacing w:after="0" w:line="240" w:lineRule="auto"/>
        <w:jc w:val="both"/>
        <w:rPr>
          <w:rFonts w:ascii="Times New Roman" w:hAnsi="Times New Roman" w:cs="Times New Roman"/>
        </w:rPr>
      </w:pPr>
      <w:r w:rsidRPr="005724D5" w:rsidR="006B08F1">
        <w:rPr>
          <w:rFonts w:ascii="Times New Roman" w:hAnsi="Times New Roman" w:cs="Times New Roman"/>
        </w:rPr>
        <w:t>trvalé príkazy (okrem tých, ktoré sa týkajú vkladového účtu) na prevod finančných prostriedkov na účet vedený v členskom štáte;</w:t>
      </w:r>
    </w:p>
    <w:p w:rsidR="00A13749" w:rsidRPr="005724D5" w:rsidP="005825D2">
      <w:pPr>
        <w:pStyle w:val="ListParagraph"/>
        <w:numPr>
          <w:numId w:val="5"/>
        </w:numPr>
        <w:bidi w:val="0"/>
        <w:spacing w:after="0" w:line="240" w:lineRule="auto"/>
        <w:jc w:val="both"/>
        <w:rPr>
          <w:rFonts w:ascii="Times New Roman" w:hAnsi="Times New Roman" w:cs="Times New Roman"/>
        </w:rPr>
      </w:pPr>
      <w:r w:rsidRPr="005724D5" w:rsidR="006B08F1">
        <w:rPr>
          <w:rFonts w:ascii="Times New Roman" w:hAnsi="Times New Roman" w:cs="Times New Roman"/>
        </w:rPr>
        <w:t>aktuálne platnú plnú moc alebo podpisové právo udelené osobe s adresou v členskom štáte alebo</w:t>
      </w:r>
    </w:p>
    <w:p w:rsidR="00B03EEE" w:rsidRPr="005724D5" w:rsidP="005825D2">
      <w:pPr>
        <w:pStyle w:val="ListParagraph"/>
        <w:numPr>
          <w:numId w:val="5"/>
        </w:numPr>
        <w:bidi w:val="0"/>
        <w:spacing w:after="0" w:line="240" w:lineRule="auto"/>
        <w:jc w:val="both"/>
        <w:rPr>
          <w:rFonts w:ascii="Times New Roman" w:hAnsi="Times New Roman" w:cs="Times New Roman"/>
        </w:rPr>
      </w:pPr>
      <w:r w:rsidRPr="005724D5" w:rsidR="006B08F1">
        <w:rPr>
          <w:rFonts w:ascii="Times New Roman" w:hAnsi="Times New Roman" w:cs="Times New Roman"/>
        </w:rPr>
        <w:t xml:space="preserve">pokyn na úschovu pošty alebo adresu na preberanie pošty v členskom štáte, ak oznamujúca finančná inštitúcia nemá v spise pre </w:t>
      </w:r>
      <w:r w:rsidR="00372897">
        <w:rPr>
          <w:rFonts w:ascii="Times New Roman" w:hAnsi="Times New Roman" w:cs="Times New Roman"/>
        </w:rPr>
        <w:t>držiteľa účtu žiadnu inú adresu,</w:t>
      </w:r>
    </w:p>
    <w:p w:rsidR="00B03EEE" w:rsidRPr="005724D5" w:rsidP="005825D2">
      <w:pPr>
        <w:pStyle w:val="ListParagraph"/>
        <w:numPr>
          <w:numId w:val="3"/>
        </w:numPr>
        <w:bidi w:val="0"/>
        <w:spacing w:after="0" w:line="240" w:lineRule="auto"/>
        <w:jc w:val="both"/>
        <w:rPr>
          <w:rFonts w:ascii="Times New Roman" w:hAnsi="Times New Roman" w:cs="Times New Roman"/>
        </w:rPr>
      </w:pPr>
      <w:r w:rsidR="005825D2">
        <w:rPr>
          <w:rFonts w:ascii="Times New Roman" w:hAnsi="Times New Roman" w:cs="Times New Roman"/>
        </w:rPr>
        <w:t>a</w:t>
      </w:r>
      <w:r w:rsidRPr="005724D5" w:rsidR="006B08F1">
        <w:rPr>
          <w:rFonts w:ascii="Times New Roman" w:hAnsi="Times New Roman" w:cs="Times New Roman"/>
        </w:rPr>
        <w:t>k sa elektronickým vyhľadávaním nezistia žiadne z indícií uvedených v</w:t>
      </w:r>
      <w:r w:rsidRPr="005724D5" w:rsidR="006D32DD">
        <w:rPr>
          <w:rFonts w:ascii="Times New Roman" w:hAnsi="Times New Roman" w:cs="Times New Roman"/>
        </w:rPr>
        <w:t> písm. b) bode 1</w:t>
      </w:r>
      <w:r w:rsidR="004E637B">
        <w:rPr>
          <w:rFonts w:ascii="Times New Roman" w:hAnsi="Times New Roman" w:cs="Times New Roman"/>
        </w:rPr>
        <w:t>.</w:t>
      </w:r>
      <w:r w:rsidRPr="005724D5" w:rsidR="006D32DD">
        <w:rPr>
          <w:rFonts w:ascii="Times New Roman" w:hAnsi="Times New Roman" w:cs="Times New Roman"/>
        </w:rPr>
        <w:t xml:space="preserve"> až 6</w:t>
      </w:r>
      <w:r w:rsidR="004E637B">
        <w:rPr>
          <w:rFonts w:ascii="Times New Roman" w:hAnsi="Times New Roman" w:cs="Times New Roman"/>
        </w:rPr>
        <w:t>.</w:t>
      </w:r>
      <w:r w:rsidRPr="005724D5" w:rsidR="006B08F1">
        <w:rPr>
          <w:rFonts w:ascii="Times New Roman" w:hAnsi="Times New Roman" w:cs="Times New Roman"/>
        </w:rPr>
        <w:t xml:space="preserve">, potom sa nevyžadujú žiadne ďalšie kroky, pokiaľ sa </w:t>
      </w:r>
      <w:r w:rsidRPr="005825D2" w:rsidR="006B08F1">
        <w:rPr>
          <w:rFonts w:ascii="Times New Roman" w:hAnsi="Times New Roman" w:cs="Times New Roman"/>
        </w:rPr>
        <w:t>nezmenia okolnosti,</w:t>
      </w:r>
      <w:r w:rsidRPr="005724D5" w:rsidR="006B08F1">
        <w:rPr>
          <w:rFonts w:ascii="Times New Roman" w:hAnsi="Times New Roman" w:cs="Times New Roman"/>
        </w:rPr>
        <w:t xml:space="preserve"> ktoré vedú k tomu, že sa s účtom spojí jedna alebo viacero indícií alebo sa účet</w:t>
      </w:r>
      <w:r w:rsidR="00372897">
        <w:rPr>
          <w:rFonts w:ascii="Times New Roman" w:hAnsi="Times New Roman" w:cs="Times New Roman"/>
        </w:rPr>
        <w:t xml:space="preserve"> stane účtom s vysokou hodnotou,</w:t>
      </w:r>
    </w:p>
    <w:p w:rsidR="00B03EEE" w:rsidRPr="005724D5" w:rsidP="005825D2">
      <w:pPr>
        <w:pStyle w:val="ListParagraph"/>
        <w:numPr>
          <w:numId w:val="3"/>
        </w:numPr>
        <w:bidi w:val="0"/>
        <w:spacing w:after="0" w:line="240" w:lineRule="auto"/>
        <w:jc w:val="both"/>
        <w:rPr>
          <w:rFonts w:ascii="Times New Roman" w:hAnsi="Times New Roman" w:cs="Times New Roman"/>
        </w:rPr>
      </w:pPr>
      <w:r w:rsidR="005825D2">
        <w:rPr>
          <w:rFonts w:ascii="Times New Roman" w:hAnsi="Times New Roman" w:cs="Times New Roman"/>
        </w:rPr>
        <w:t>a</w:t>
      </w:r>
      <w:r w:rsidRPr="005724D5" w:rsidR="006B08F1">
        <w:rPr>
          <w:rFonts w:ascii="Times New Roman" w:hAnsi="Times New Roman" w:cs="Times New Roman"/>
        </w:rPr>
        <w:t>k sa elektronickým vyhľadávaním zistí akákoľvek z indícií uvedených v</w:t>
      </w:r>
      <w:r w:rsidRPr="005724D5" w:rsidR="00CE5A3E">
        <w:rPr>
          <w:rFonts w:ascii="Times New Roman" w:hAnsi="Times New Roman" w:cs="Times New Roman"/>
        </w:rPr>
        <w:t> písm. b)</w:t>
      </w:r>
      <w:r w:rsidRPr="005724D5" w:rsidR="006B08F1">
        <w:rPr>
          <w:rFonts w:ascii="Times New Roman" w:hAnsi="Times New Roman" w:cs="Times New Roman"/>
        </w:rPr>
        <w:t xml:space="preserve"> </w:t>
      </w:r>
      <w:r w:rsidRPr="005724D5" w:rsidR="00CE5A3E">
        <w:rPr>
          <w:rFonts w:ascii="Times New Roman" w:hAnsi="Times New Roman" w:cs="Times New Roman"/>
        </w:rPr>
        <w:t>bode 1</w:t>
      </w:r>
      <w:r w:rsidR="004E637B">
        <w:rPr>
          <w:rFonts w:ascii="Times New Roman" w:hAnsi="Times New Roman" w:cs="Times New Roman"/>
        </w:rPr>
        <w:t>.</w:t>
      </w:r>
      <w:r w:rsidRPr="005724D5" w:rsidR="00CE5A3E">
        <w:rPr>
          <w:rFonts w:ascii="Times New Roman" w:hAnsi="Times New Roman" w:cs="Times New Roman"/>
        </w:rPr>
        <w:t xml:space="preserve"> až </w:t>
      </w:r>
      <w:r w:rsidR="004E637B">
        <w:rPr>
          <w:rFonts w:ascii="Times New Roman" w:hAnsi="Times New Roman" w:cs="Times New Roman"/>
        </w:rPr>
        <w:t>5.</w:t>
      </w:r>
      <w:r w:rsidRPr="005724D5" w:rsidR="00CE5A3E">
        <w:rPr>
          <w:rFonts w:ascii="Times New Roman" w:hAnsi="Times New Roman" w:cs="Times New Roman"/>
        </w:rPr>
        <w:t xml:space="preserve">, </w:t>
      </w:r>
      <w:r w:rsidRPr="005724D5" w:rsidR="006B08F1">
        <w:rPr>
          <w:rFonts w:ascii="Times New Roman" w:hAnsi="Times New Roman" w:cs="Times New Roman"/>
        </w:rPr>
        <w:t xml:space="preserve"> alebo ak sa </w:t>
      </w:r>
      <w:r w:rsidRPr="005825D2" w:rsidR="006B08F1">
        <w:rPr>
          <w:rFonts w:ascii="Times New Roman" w:hAnsi="Times New Roman" w:cs="Times New Roman"/>
        </w:rPr>
        <w:t>zmenia okolnosti,</w:t>
      </w:r>
      <w:r w:rsidRPr="005724D5" w:rsidR="006B08F1">
        <w:rPr>
          <w:rFonts w:ascii="Times New Roman" w:hAnsi="Times New Roman" w:cs="Times New Roman"/>
        </w:rPr>
        <w:t xml:space="preserve"> ktoré vedú k tomu, že sa s účtom spojí jedna alebo viacero indícií, potom musí oznamujúca finančná inštitúcia považovať držiteľa účtu za rezidenta na daňové účely každého členského štátu, v súvislosti s ktorým sa indícia identifikuje, pokiaľ sa nerozhodne uplatniť </w:t>
      </w:r>
      <w:r w:rsidRPr="005724D5" w:rsidR="008F5C1A">
        <w:rPr>
          <w:rFonts w:ascii="Times New Roman" w:hAnsi="Times New Roman" w:cs="Times New Roman"/>
        </w:rPr>
        <w:t>v písm. f)</w:t>
      </w:r>
      <w:r w:rsidRPr="005724D5" w:rsidR="006B08F1">
        <w:rPr>
          <w:rFonts w:ascii="Times New Roman" w:hAnsi="Times New Roman" w:cs="Times New Roman"/>
        </w:rPr>
        <w:t xml:space="preserve"> a na daný účet sa nevzťahuje j</w:t>
      </w:r>
      <w:r w:rsidR="005825D2">
        <w:rPr>
          <w:rFonts w:ascii="Times New Roman" w:hAnsi="Times New Roman" w:cs="Times New Roman"/>
        </w:rPr>
        <w:t>edna z výnimiek v uvedenom bode,</w:t>
      </w:r>
    </w:p>
    <w:p w:rsidR="00B03EEE" w:rsidRPr="005724D5" w:rsidP="005825D2">
      <w:pPr>
        <w:pStyle w:val="ListParagraph"/>
        <w:numPr>
          <w:numId w:val="3"/>
        </w:numPr>
        <w:bidi w:val="0"/>
        <w:spacing w:after="0" w:line="240" w:lineRule="auto"/>
        <w:jc w:val="both"/>
        <w:rPr>
          <w:rFonts w:ascii="Times New Roman" w:hAnsi="Times New Roman" w:cs="Times New Roman"/>
        </w:rPr>
      </w:pPr>
      <w:r w:rsidR="005825D2">
        <w:rPr>
          <w:rFonts w:ascii="Times New Roman" w:hAnsi="Times New Roman" w:cs="Times New Roman"/>
        </w:rPr>
        <w:t>a</w:t>
      </w:r>
      <w:r w:rsidRPr="005724D5" w:rsidR="006B08F1">
        <w:rPr>
          <w:rFonts w:ascii="Times New Roman" w:hAnsi="Times New Roman" w:cs="Times New Roman"/>
        </w:rPr>
        <w:t>k sa elektronickým vyhľadávaním zistí existencia pokynu ‚na úschovu pošty‘ alebo adresa na preberanie pošty a v súvislosti s držiteľom účtu sa nezistí žiadna ďalšia adresa ani žiadne</w:t>
      </w:r>
      <w:r w:rsidRPr="005724D5" w:rsidR="00694F04">
        <w:rPr>
          <w:rFonts w:ascii="Times New Roman" w:hAnsi="Times New Roman" w:cs="Times New Roman"/>
        </w:rPr>
        <w:t xml:space="preserve"> ďalšie indície uvedené v písm. b) bod 1. až 5.</w:t>
      </w:r>
      <w:r w:rsidRPr="005724D5" w:rsidR="006B08F1">
        <w:rPr>
          <w:rFonts w:ascii="Times New Roman" w:hAnsi="Times New Roman" w:cs="Times New Roman"/>
        </w:rPr>
        <w:t>, musí oznamujúca finančná inštitúcia spôsobom, ktorý je najprimeranejší okolnostiam, uplatniť vyhľadávanie v papierových záznamoch stanovených v</w:t>
      </w:r>
      <w:r w:rsidR="004E637B">
        <w:rPr>
          <w:rFonts w:ascii="Times New Roman" w:hAnsi="Times New Roman" w:cs="Times New Roman"/>
        </w:rPr>
        <w:t> ods.</w:t>
      </w:r>
      <w:r w:rsidRPr="005724D5" w:rsidR="00694F04">
        <w:rPr>
          <w:rFonts w:ascii="Times New Roman" w:hAnsi="Times New Roman" w:cs="Times New Roman"/>
        </w:rPr>
        <w:t xml:space="preserve"> </w:t>
      </w:r>
      <w:r w:rsidR="004E637B">
        <w:rPr>
          <w:rFonts w:ascii="Times New Roman" w:hAnsi="Times New Roman" w:cs="Times New Roman"/>
        </w:rPr>
        <w:t>2</w:t>
      </w:r>
      <w:r w:rsidRPr="005724D5" w:rsidR="00694F04">
        <w:rPr>
          <w:rFonts w:ascii="Times New Roman" w:hAnsi="Times New Roman" w:cs="Times New Roman"/>
        </w:rPr>
        <w:t xml:space="preserve"> písm. b) </w:t>
      </w:r>
      <w:r w:rsidRPr="005724D5" w:rsidR="006B08F1">
        <w:rPr>
          <w:rFonts w:ascii="Times New Roman" w:hAnsi="Times New Roman" w:cs="Times New Roman"/>
        </w:rPr>
        <w:t xml:space="preserve"> alebo sa usilovať o to, aby od držiteľa účtu získala čestné vyhlásenie alebo písomné dôkazy s cieľom stanoviť rezidenciu</w:t>
      </w:r>
      <w:r w:rsidRPr="005724D5" w:rsidR="00694F04">
        <w:rPr>
          <w:rFonts w:ascii="Times New Roman" w:hAnsi="Times New Roman" w:cs="Times New Roman"/>
        </w:rPr>
        <w:t xml:space="preserve"> </w:t>
      </w:r>
      <w:r w:rsidRPr="005724D5" w:rsidR="006B08F1">
        <w:rPr>
          <w:rFonts w:ascii="Times New Roman" w:hAnsi="Times New Roman" w:cs="Times New Roman"/>
        </w:rPr>
        <w:t xml:space="preserve">takéhoto držiteľa účtu na daňové účely. Ak sa papierovým vyhľadávaním nezistia indície a pokus o získanie čestného vyhlásenia alebo písomných dôkazov nie je úspešný, musí oznamujúca finančná inštitúcia nahlásiť tento účet príslušnému orgánu svojho členského </w:t>
      </w:r>
      <w:r w:rsidR="005825D2">
        <w:rPr>
          <w:rFonts w:ascii="Times New Roman" w:hAnsi="Times New Roman" w:cs="Times New Roman"/>
        </w:rPr>
        <w:t>štátu ako nezdokumentovaný účet,</w:t>
      </w:r>
    </w:p>
    <w:p w:rsidR="006D32DD" w:rsidRPr="005724D5" w:rsidP="005825D2">
      <w:pPr>
        <w:pStyle w:val="ListParagraph"/>
        <w:numPr>
          <w:numId w:val="3"/>
        </w:numPr>
        <w:bidi w:val="0"/>
        <w:spacing w:after="0" w:line="240" w:lineRule="auto"/>
        <w:jc w:val="both"/>
        <w:rPr>
          <w:rFonts w:ascii="Times New Roman" w:hAnsi="Times New Roman" w:cs="Times New Roman"/>
        </w:rPr>
      </w:pPr>
      <w:r w:rsidR="005825D2">
        <w:rPr>
          <w:rFonts w:ascii="Times New Roman" w:hAnsi="Times New Roman" w:cs="Times New Roman"/>
        </w:rPr>
        <w:t>b</w:t>
      </w:r>
      <w:r w:rsidRPr="005724D5" w:rsidR="006B08F1">
        <w:rPr>
          <w:rFonts w:ascii="Times New Roman" w:hAnsi="Times New Roman" w:cs="Times New Roman"/>
        </w:rPr>
        <w:t xml:space="preserve">ez ohľadu na zistenie indícií podľa </w:t>
      </w:r>
      <w:r w:rsidRPr="005724D5" w:rsidR="00694F04">
        <w:rPr>
          <w:rFonts w:ascii="Times New Roman" w:hAnsi="Times New Roman" w:cs="Times New Roman"/>
        </w:rPr>
        <w:t xml:space="preserve">písm. b)  bod 1. až 6. </w:t>
      </w:r>
      <w:r w:rsidRPr="005724D5" w:rsidR="006B08F1">
        <w:rPr>
          <w:rFonts w:ascii="Times New Roman" w:hAnsi="Times New Roman" w:cs="Times New Roman"/>
        </w:rPr>
        <w:t xml:space="preserve">sa od oznamujúcej finančnej inštitúcie nevyžaduje, aby považovala držiteľa účtu za rezidenta </w:t>
      </w:r>
      <w:r w:rsidRPr="005724D5" w:rsidR="00A562BF">
        <w:rPr>
          <w:rFonts w:ascii="Times New Roman" w:hAnsi="Times New Roman" w:cs="Times New Roman"/>
        </w:rPr>
        <w:t>zúčastňujúcej sa jurisdikcie</w:t>
      </w:r>
      <w:r w:rsidRPr="005724D5" w:rsidR="006B08F1">
        <w:rPr>
          <w:rFonts w:ascii="Times New Roman" w:hAnsi="Times New Roman" w:cs="Times New Roman"/>
        </w:rPr>
        <w:t>, ak:</w:t>
      </w:r>
    </w:p>
    <w:p w:rsidR="006D32DD" w:rsidRPr="005724D5" w:rsidP="005825D2">
      <w:pPr>
        <w:pStyle w:val="ListParagraph"/>
        <w:numPr>
          <w:numId w:val="6"/>
        </w:numPr>
        <w:bidi w:val="0"/>
        <w:spacing w:after="0" w:line="240" w:lineRule="auto"/>
        <w:jc w:val="both"/>
        <w:rPr>
          <w:rFonts w:ascii="Times New Roman" w:hAnsi="Times New Roman" w:cs="Times New Roman"/>
        </w:rPr>
      </w:pPr>
      <w:r w:rsidRPr="005724D5" w:rsidR="006B08F1">
        <w:rPr>
          <w:rFonts w:ascii="Times New Roman" w:hAnsi="Times New Roman" w:cs="Times New Roman"/>
        </w:rPr>
        <w:t>sa v údajoch o držiteľovi účtu uvádza súčasná poštová adre</w:t>
      </w:r>
      <w:r w:rsidRPr="005724D5" w:rsidR="005F1B46">
        <w:rPr>
          <w:rFonts w:ascii="Times New Roman" w:hAnsi="Times New Roman" w:cs="Times New Roman"/>
        </w:rPr>
        <w:t>sa alebo adresa bydliska v</w:t>
      </w:r>
      <w:r w:rsidRPr="005724D5" w:rsidR="00A562BF">
        <w:rPr>
          <w:rFonts w:ascii="Times New Roman" w:hAnsi="Times New Roman" w:cs="Times New Roman"/>
        </w:rPr>
        <w:t> zúčastňujúcej sa jurisdikcii</w:t>
      </w:r>
      <w:r w:rsidRPr="005724D5" w:rsidR="006B08F1">
        <w:rPr>
          <w:rFonts w:ascii="Times New Roman" w:hAnsi="Times New Roman" w:cs="Times New Roman"/>
        </w:rPr>
        <w:t>, jedno alebo viacero telefónnych čísel v</w:t>
      </w:r>
      <w:r w:rsidRPr="005724D5" w:rsidR="00A562BF">
        <w:rPr>
          <w:rFonts w:ascii="Times New Roman" w:hAnsi="Times New Roman" w:cs="Times New Roman"/>
        </w:rPr>
        <w:t> zúčastňujúcej sa jurisdikcii</w:t>
      </w:r>
      <w:r w:rsidRPr="005724D5" w:rsidR="006B08F1">
        <w:rPr>
          <w:rFonts w:ascii="Times New Roman" w:hAnsi="Times New Roman" w:cs="Times New Roman"/>
        </w:rPr>
        <w:t xml:space="preserve"> (a žiadne telefónne číslo v</w:t>
      </w:r>
      <w:r w:rsidRPr="005724D5" w:rsidR="00A562BF">
        <w:rPr>
          <w:rFonts w:ascii="Times New Roman" w:hAnsi="Times New Roman" w:cs="Times New Roman"/>
        </w:rPr>
        <w:t xml:space="preserve"> štáte oznamujúcej finančnej inštitúcie </w:t>
      </w:r>
      <w:r w:rsidRPr="005724D5" w:rsidR="002C7DD3">
        <w:rPr>
          <w:rFonts w:ascii="Times New Roman" w:hAnsi="Times New Roman" w:cs="Times New Roman"/>
        </w:rPr>
        <w:t>–</w:t>
      </w:r>
      <w:r w:rsidRPr="005724D5" w:rsidR="00A562BF">
        <w:rPr>
          <w:rFonts w:ascii="Times New Roman" w:hAnsi="Times New Roman" w:cs="Times New Roman"/>
        </w:rPr>
        <w:t xml:space="preserve"> </w:t>
      </w:r>
      <w:r w:rsidRPr="005724D5" w:rsidR="002C7DD3">
        <w:rPr>
          <w:rFonts w:ascii="Times New Roman" w:hAnsi="Times New Roman" w:cs="Times New Roman"/>
        </w:rPr>
        <w:t xml:space="preserve">v </w:t>
      </w:r>
      <w:r w:rsidRPr="005724D5" w:rsidR="00694F04">
        <w:rPr>
          <w:rFonts w:ascii="Times New Roman" w:hAnsi="Times New Roman" w:cs="Times New Roman"/>
        </w:rPr>
        <w:t>Slovenskej republike</w:t>
      </w:r>
      <w:r w:rsidRPr="005724D5" w:rsidR="006B08F1">
        <w:rPr>
          <w:rFonts w:ascii="Times New Roman" w:hAnsi="Times New Roman" w:cs="Times New Roman"/>
        </w:rPr>
        <w:t>) alebo trvalé príkazy (pokiaľ ide o iné finančné účty ako vkladové účty) na prevod finančných prostriedkov na účet vedený v</w:t>
      </w:r>
      <w:r w:rsidRPr="005724D5" w:rsidR="00A562BF">
        <w:rPr>
          <w:rFonts w:ascii="Times New Roman" w:hAnsi="Times New Roman" w:cs="Times New Roman"/>
        </w:rPr>
        <w:t> zúčastňujúcej sa jurisdikcii</w:t>
      </w:r>
      <w:r w:rsidRPr="005724D5" w:rsidR="006B08F1">
        <w:rPr>
          <w:rFonts w:ascii="Times New Roman" w:hAnsi="Times New Roman" w:cs="Times New Roman"/>
        </w:rPr>
        <w:t xml:space="preserve"> a oznamujúca finančná inštitúcia získa alebo predtým preskúmala a uchováva záznam o:</w:t>
      </w:r>
    </w:p>
    <w:p w:rsidR="006D32DD" w:rsidRPr="005724D5" w:rsidP="005825D2">
      <w:pPr>
        <w:pStyle w:val="ListParagraph"/>
        <w:bidi w:val="0"/>
        <w:spacing w:after="0" w:line="240" w:lineRule="auto"/>
        <w:ind w:left="1440"/>
        <w:jc w:val="both"/>
        <w:rPr>
          <w:rFonts w:ascii="Times New Roman" w:hAnsi="Times New Roman" w:cs="Times New Roman"/>
        </w:rPr>
      </w:pPr>
      <w:r w:rsidRPr="005724D5">
        <w:rPr>
          <w:rFonts w:ascii="Times New Roman" w:hAnsi="Times New Roman" w:cs="Times New Roman"/>
        </w:rPr>
        <w:t>1a.</w:t>
        <w:tab/>
      </w:r>
      <w:r w:rsidRPr="005724D5" w:rsidR="006B08F1">
        <w:rPr>
          <w:rFonts w:ascii="Times New Roman" w:hAnsi="Times New Roman" w:cs="Times New Roman"/>
        </w:rPr>
        <w:t>čestnom vyhlásení od držiteľa účtu o č</w:t>
      </w:r>
      <w:r w:rsidRPr="005724D5" w:rsidR="00BC5851">
        <w:rPr>
          <w:rFonts w:ascii="Times New Roman" w:hAnsi="Times New Roman" w:cs="Times New Roman"/>
        </w:rPr>
        <w:t xml:space="preserve">lenskom štáte </w:t>
      </w:r>
      <w:r w:rsidRPr="005724D5" w:rsidR="006B08F1">
        <w:rPr>
          <w:rFonts w:ascii="Times New Roman" w:hAnsi="Times New Roman" w:cs="Times New Roman"/>
        </w:rPr>
        <w:t>alebo inej jurisdikcii (jurisdikciách) bydliska takéhoto držiteľa účtu, ktoré nezahŕňa daný členský štát, a</w:t>
      </w:r>
    </w:p>
    <w:p w:rsidR="006D32DD" w:rsidRPr="005724D5" w:rsidP="005825D2">
      <w:pPr>
        <w:pStyle w:val="ListParagraph"/>
        <w:bidi w:val="0"/>
        <w:spacing w:after="0" w:line="240" w:lineRule="auto"/>
        <w:ind w:left="1440"/>
        <w:jc w:val="both"/>
        <w:rPr>
          <w:rFonts w:ascii="Times New Roman" w:hAnsi="Times New Roman" w:cs="Times New Roman"/>
        </w:rPr>
      </w:pPr>
      <w:r w:rsidRPr="005724D5">
        <w:rPr>
          <w:rFonts w:ascii="Times New Roman" w:hAnsi="Times New Roman" w:cs="Times New Roman"/>
        </w:rPr>
        <w:t>1b.</w:t>
        <w:tab/>
      </w:r>
      <w:r w:rsidRPr="005724D5" w:rsidR="006B08F1">
        <w:rPr>
          <w:rFonts w:ascii="Times New Roman" w:hAnsi="Times New Roman" w:cs="Times New Roman"/>
        </w:rPr>
        <w:t>písomných dôkazoch, ktorými sa preukazuje, že držiteľ účtu má status nepodliehajúci oznamovaniu;</w:t>
      </w:r>
    </w:p>
    <w:p w:rsidR="006D32DD" w:rsidRPr="005724D5" w:rsidP="005825D2">
      <w:pPr>
        <w:pStyle w:val="ListParagraph"/>
        <w:numPr>
          <w:numId w:val="6"/>
        </w:numPr>
        <w:bidi w:val="0"/>
        <w:spacing w:after="0" w:line="240" w:lineRule="auto"/>
        <w:jc w:val="both"/>
        <w:rPr>
          <w:rFonts w:ascii="Times New Roman" w:hAnsi="Times New Roman" w:cs="Times New Roman"/>
        </w:rPr>
      </w:pPr>
      <w:r w:rsidRPr="005724D5" w:rsidR="006B08F1">
        <w:rPr>
          <w:rFonts w:ascii="Times New Roman" w:hAnsi="Times New Roman" w:cs="Times New Roman"/>
        </w:rPr>
        <w:t>sa v údajoch o držiteľovi účtu uvádza aktuálne platná plná moc alebo podpisové právo udelené osobe s adresou v danom členskom štáte a oznamujúca finančná inštitúcia získa alebo predtým preskúmala a uchováva záznam o:</w:t>
      </w:r>
    </w:p>
    <w:p w:rsidR="006D32DD" w:rsidRPr="005724D5" w:rsidP="005825D2">
      <w:pPr>
        <w:pStyle w:val="ListParagraph"/>
        <w:bidi w:val="0"/>
        <w:spacing w:after="0" w:line="240" w:lineRule="auto"/>
        <w:ind w:left="1440"/>
        <w:jc w:val="both"/>
        <w:rPr>
          <w:rFonts w:ascii="Times New Roman" w:hAnsi="Times New Roman" w:cs="Times New Roman"/>
        </w:rPr>
      </w:pPr>
      <w:r w:rsidRPr="005724D5">
        <w:rPr>
          <w:rFonts w:ascii="Times New Roman" w:hAnsi="Times New Roman" w:cs="Times New Roman"/>
        </w:rPr>
        <w:t>1a.</w:t>
        <w:tab/>
      </w:r>
      <w:r w:rsidRPr="005724D5" w:rsidR="006B08F1">
        <w:rPr>
          <w:rFonts w:ascii="Times New Roman" w:hAnsi="Times New Roman" w:cs="Times New Roman"/>
        </w:rPr>
        <w:t>čestnom vyhlásení od držiteľa účtu o členskom štáte (členských štátoch) alebo inej jurisdikcii (jurisdikciách) bydliska takéhoto držiteľa účtu, ktoré nezahŕňa daný členský štát, alebo</w:t>
      </w:r>
    </w:p>
    <w:p w:rsidR="005F1B46" w:rsidP="005825D2">
      <w:pPr>
        <w:pStyle w:val="ListParagraph"/>
        <w:bidi w:val="0"/>
        <w:spacing w:after="0" w:line="240" w:lineRule="auto"/>
        <w:ind w:left="1440"/>
        <w:jc w:val="both"/>
        <w:rPr>
          <w:rFonts w:ascii="Times New Roman" w:hAnsi="Times New Roman" w:cs="Times New Roman"/>
        </w:rPr>
      </w:pPr>
      <w:r w:rsidRPr="005724D5" w:rsidR="006D32DD">
        <w:rPr>
          <w:rFonts w:ascii="Times New Roman" w:hAnsi="Times New Roman" w:cs="Times New Roman"/>
        </w:rPr>
        <w:t>1b.</w:t>
        <w:tab/>
      </w:r>
      <w:r w:rsidRPr="005724D5" w:rsidR="006B08F1">
        <w:rPr>
          <w:rFonts w:ascii="Times New Roman" w:hAnsi="Times New Roman" w:cs="Times New Roman"/>
        </w:rPr>
        <w:t>písomných dôkazoch, ktorými sa preukazuje, že držiteľ účtu má status nepodliehajúci oznamovaniu.</w:t>
      </w:r>
    </w:p>
    <w:p w:rsidR="00A923B8" w:rsidRPr="005724D5" w:rsidP="005825D2">
      <w:pPr>
        <w:pStyle w:val="ListParagraph"/>
        <w:bidi w:val="0"/>
        <w:spacing w:after="0" w:line="240" w:lineRule="auto"/>
        <w:ind w:left="1440"/>
        <w:jc w:val="both"/>
        <w:rPr>
          <w:rFonts w:ascii="Times New Roman" w:hAnsi="Times New Roman" w:cs="Times New Roman"/>
        </w:rPr>
      </w:pPr>
    </w:p>
    <w:p w:rsidR="00136F85" w:rsidRPr="00136F85" w:rsidP="005825D2">
      <w:pPr>
        <w:pStyle w:val="ListParagraph"/>
        <w:numPr>
          <w:numId w:val="2"/>
        </w:numPr>
        <w:bidi w:val="0"/>
        <w:spacing w:after="0" w:line="240" w:lineRule="auto"/>
        <w:jc w:val="both"/>
        <w:rPr>
          <w:rFonts w:ascii="Times New Roman" w:hAnsi="Times New Roman" w:cs="Times New Roman"/>
        </w:rPr>
      </w:pPr>
      <w:r w:rsidRPr="00136F85">
        <w:rPr>
          <w:rFonts w:ascii="Times New Roman" w:hAnsi="Times New Roman" w:cs="Times New Roman"/>
        </w:rPr>
        <w:t xml:space="preserve">Na účely identifikovania účtov podliehajúcich oznamovaniu, medzi existujúcimi účtami fyzických osôb sa uplatňujú tieto postupy, pokiaľ ide o účty s </w:t>
      </w:r>
      <w:r>
        <w:rPr>
          <w:rFonts w:ascii="Times New Roman" w:hAnsi="Times New Roman" w:cs="Times New Roman"/>
        </w:rPr>
        <w:t>vyššou</w:t>
      </w:r>
      <w:r w:rsidRPr="00136F85">
        <w:rPr>
          <w:rFonts w:ascii="Times New Roman" w:hAnsi="Times New Roman" w:cs="Times New Roman"/>
        </w:rPr>
        <w:t xml:space="preserve"> hodnotou, sa uplatňujú tieto postupy:</w:t>
      </w:r>
    </w:p>
    <w:p w:rsidR="005F1B46" w:rsidRPr="005825D2" w:rsidP="005825D2">
      <w:pPr>
        <w:pStyle w:val="ListParagraph"/>
        <w:numPr>
          <w:numId w:val="7"/>
        </w:numPr>
        <w:bidi w:val="0"/>
        <w:spacing w:after="0" w:line="240" w:lineRule="auto"/>
        <w:jc w:val="both"/>
        <w:rPr>
          <w:rFonts w:ascii="Times New Roman" w:hAnsi="Times New Roman" w:cs="Times New Roman"/>
        </w:rPr>
      </w:pPr>
      <w:r w:rsidR="005825D2">
        <w:rPr>
          <w:rFonts w:ascii="Times New Roman" w:hAnsi="Times New Roman" w:cs="Times New Roman"/>
        </w:rPr>
        <w:t>v</w:t>
      </w:r>
      <w:r w:rsidRPr="005825D2" w:rsidR="006B08F1">
        <w:rPr>
          <w:rFonts w:ascii="Times New Roman" w:hAnsi="Times New Roman" w:cs="Times New Roman"/>
        </w:rPr>
        <w:t xml:space="preserve"> súvislosti s účtami s vysokou hodnotou musí oznamujúca finančná inštitúcia preveriť údaje uchovávané oznamujúcou finančnou inštitúciou, ktoré možno vyhľadať elektronicky, pokiaľ ide o akékoľvek indície stanovené </w:t>
      </w:r>
      <w:r w:rsidRPr="005825D2">
        <w:rPr>
          <w:rFonts w:ascii="Times New Roman" w:hAnsi="Times New Roman" w:cs="Times New Roman"/>
        </w:rPr>
        <w:t xml:space="preserve">v odseku </w:t>
      </w:r>
      <w:r w:rsidRPr="005825D2" w:rsidR="005825D2">
        <w:rPr>
          <w:rFonts w:ascii="Times New Roman" w:hAnsi="Times New Roman" w:cs="Times New Roman"/>
        </w:rPr>
        <w:t>2 písmeno b,</w:t>
      </w:r>
    </w:p>
    <w:p w:rsidR="005F1B46" w:rsidRPr="004E637B" w:rsidP="004E637B">
      <w:pPr>
        <w:pStyle w:val="ListParagraph"/>
        <w:numPr>
          <w:numId w:val="7"/>
        </w:numPr>
        <w:bidi w:val="0"/>
        <w:spacing w:after="0" w:line="240" w:lineRule="auto"/>
        <w:jc w:val="both"/>
        <w:rPr>
          <w:rFonts w:ascii="Times New Roman" w:hAnsi="Times New Roman" w:cs="Times New Roman"/>
        </w:rPr>
      </w:pPr>
      <w:r w:rsidR="005825D2">
        <w:rPr>
          <w:rFonts w:ascii="Times New Roman" w:hAnsi="Times New Roman" w:cs="Times New Roman"/>
        </w:rPr>
        <w:t>a</w:t>
      </w:r>
      <w:r w:rsidRPr="005724D5" w:rsidR="006B08F1">
        <w:rPr>
          <w:rFonts w:ascii="Times New Roman" w:hAnsi="Times New Roman" w:cs="Times New Roman"/>
        </w:rPr>
        <w:t xml:space="preserve">k databázy oznamujúcej finančnej inštitúcie, v ktorých možno vyhľadávať elektronicky, obsahujú polia </w:t>
      </w:r>
      <w:r w:rsidRPr="005724D5" w:rsidR="00424667">
        <w:rPr>
          <w:rFonts w:ascii="Times New Roman" w:hAnsi="Times New Roman" w:cs="Times New Roman"/>
        </w:rPr>
        <w:t xml:space="preserve">podľa </w:t>
      </w:r>
      <w:r w:rsidR="004E637B">
        <w:rPr>
          <w:rFonts w:ascii="Times New Roman" w:hAnsi="Times New Roman" w:cs="Times New Roman"/>
        </w:rPr>
        <w:t xml:space="preserve">bodu 1. až 6. </w:t>
      </w:r>
      <w:r w:rsidRPr="005724D5" w:rsidR="00424667">
        <w:rPr>
          <w:rFonts w:ascii="Times New Roman" w:hAnsi="Times New Roman" w:cs="Times New Roman"/>
        </w:rPr>
        <w:t xml:space="preserve">a </w:t>
      </w:r>
      <w:r w:rsidRPr="005724D5" w:rsidR="006B08F1">
        <w:rPr>
          <w:rFonts w:ascii="Times New Roman" w:hAnsi="Times New Roman" w:cs="Times New Roman"/>
        </w:rPr>
        <w:t xml:space="preserve">sú v nich zachytené všetky informácie stanovené v uvedenom </w:t>
      </w:r>
      <w:r w:rsidRPr="005724D5" w:rsidR="00424667">
        <w:rPr>
          <w:rFonts w:ascii="Times New Roman" w:hAnsi="Times New Roman" w:cs="Times New Roman"/>
        </w:rPr>
        <w:t>písmene</w:t>
      </w:r>
      <w:r w:rsidRPr="005724D5" w:rsidR="006B08F1">
        <w:rPr>
          <w:rFonts w:ascii="Times New Roman" w:hAnsi="Times New Roman" w:cs="Times New Roman"/>
        </w:rPr>
        <w:t>, potom sa ďalšie vyhľadávanie v papierových záznamoch nevyžaduje. Ak v elektronických databázach nie sú zachytené všetky tieto informácie, potom – pokiaľ ide o účet s vysokou hodnotou – musí oznamujúca finančná inštitúcia preveriť súčasn</w:t>
      </w:r>
      <w:r w:rsidRPr="005724D5" w:rsidR="00424667">
        <w:rPr>
          <w:rFonts w:ascii="Times New Roman" w:hAnsi="Times New Roman" w:cs="Times New Roman"/>
        </w:rPr>
        <w:t>ú spisovú dokumentáciu</w:t>
      </w:r>
      <w:r w:rsidRPr="005724D5" w:rsidR="006B08F1">
        <w:rPr>
          <w:rFonts w:ascii="Times New Roman" w:hAnsi="Times New Roman" w:cs="Times New Roman"/>
        </w:rPr>
        <w:t xml:space="preserve"> klienta, a pokiaľ ide o informácie, ktoré sa nenachádzajú v súčasn</w:t>
      </w:r>
      <w:r w:rsidRPr="005724D5" w:rsidR="00424667">
        <w:rPr>
          <w:rFonts w:ascii="Times New Roman" w:hAnsi="Times New Roman" w:cs="Times New Roman"/>
        </w:rPr>
        <w:t>ej</w:t>
      </w:r>
      <w:r w:rsidRPr="005724D5" w:rsidR="006B08F1">
        <w:rPr>
          <w:rFonts w:ascii="Times New Roman" w:hAnsi="Times New Roman" w:cs="Times New Roman"/>
        </w:rPr>
        <w:t xml:space="preserve"> </w:t>
      </w:r>
      <w:r w:rsidRPr="005724D5" w:rsidR="00424667">
        <w:rPr>
          <w:rFonts w:ascii="Times New Roman" w:hAnsi="Times New Roman" w:cs="Times New Roman"/>
        </w:rPr>
        <w:t>spisovej dokumentácií klienta</w:t>
      </w:r>
      <w:r w:rsidRPr="005724D5" w:rsidR="006B08F1">
        <w:rPr>
          <w:rFonts w:ascii="Times New Roman" w:hAnsi="Times New Roman" w:cs="Times New Roman"/>
        </w:rPr>
        <w:t xml:space="preserve">, </w:t>
      </w:r>
      <w:r w:rsidRPr="005724D5" w:rsidR="00424667">
        <w:rPr>
          <w:rFonts w:ascii="Times New Roman" w:hAnsi="Times New Roman" w:cs="Times New Roman"/>
        </w:rPr>
        <w:t xml:space="preserve">aj </w:t>
      </w:r>
      <w:r w:rsidRPr="005724D5" w:rsidR="006B08F1">
        <w:rPr>
          <w:rFonts w:ascii="Times New Roman" w:hAnsi="Times New Roman" w:cs="Times New Roman"/>
        </w:rPr>
        <w:t>nasledujúce dokumenty súvisiace s účtom, ktoré oznamujúca finančná inštitúcia získala v posledných piatich rokoch, a to v súvislosti s akýmikoľvek</w:t>
      </w:r>
      <w:r w:rsidR="004E637B">
        <w:rPr>
          <w:rFonts w:ascii="Times New Roman" w:hAnsi="Times New Roman" w:cs="Times New Roman"/>
        </w:rPr>
        <w:t xml:space="preserve"> indíciami stanovenými v ods. 1. písm. </w:t>
      </w:r>
      <w:r w:rsidRPr="004E637B" w:rsidR="00424667">
        <w:rPr>
          <w:rFonts w:ascii="Times New Roman" w:hAnsi="Times New Roman" w:cs="Times New Roman"/>
        </w:rPr>
        <w:t>b</w:t>
      </w:r>
      <w:r w:rsidR="004E637B">
        <w:rPr>
          <w:rFonts w:ascii="Times New Roman" w:hAnsi="Times New Roman" w:cs="Times New Roman"/>
        </w:rPr>
        <w:t>):</w:t>
      </w:r>
    </w:p>
    <w:p w:rsidR="005F1B46" w:rsidRPr="005724D5" w:rsidP="005825D2">
      <w:pPr>
        <w:pStyle w:val="ListParagraph"/>
        <w:numPr>
          <w:numId w:val="8"/>
        </w:numPr>
        <w:bidi w:val="0"/>
        <w:spacing w:after="0" w:line="240" w:lineRule="auto"/>
        <w:rPr>
          <w:rFonts w:ascii="Times New Roman" w:hAnsi="Times New Roman" w:cs="Times New Roman"/>
        </w:rPr>
      </w:pPr>
      <w:r w:rsidRPr="005724D5" w:rsidR="006B08F1">
        <w:rPr>
          <w:rFonts w:ascii="Times New Roman" w:hAnsi="Times New Roman" w:cs="Times New Roman"/>
        </w:rPr>
        <w:t>najaktuálnejšie písomné dôka</w:t>
      </w:r>
      <w:r w:rsidRPr="005724D5" w:rsidR="009D3F96">
        <w:rPr>
          <w:rFonts w:ascii="Times New Roman" w:hAnsi="Times New Roman" w:cs="Times New Roman"/>
        </w:rPr>
        <w:t>zy získané v súvislosti s účtom,</w:t>
      </w:r>
    </w:p>
    <w:p w:rsidR="005F1B46" w:rsidRPr="005724D5" w:rsidP="005825D2">
      <w:pPr>
        <w:pStyle w:val="ListParagraph"/>
        <w:numPr>
          <w:numId w:val="8"/>
        </w:numPr>
        <w:bidi w:val="0"/>
        <w:spacing w:after="0" w:line="240" w:lineRule="auto"/>
        <w:rPr>
          <w:rFonts w:ascii="Times New Roman" w:hAnsi="Times New Roman" w:cs="Times New Roman"/>
        </w:rPr>
      </w:pPr>
      <w:r w:rsidRPr="005724D5" w:rsidR="006B08F1">
        <w:rPr>
          <w:rFonts w:ascii="Times New Roman" w:hAnsi="Times New Roman" w:cs="Times New Roman"/>
        </w:rPr>
        <w:t>najaktuálnejšiu zmluvu o zriadení účtu alebo dokumen</w:t>
      </w:r>
      <w:r w:rsidRPr="005724D5" w:rsidR="009D3F96">
        <w:rPr>
          <w:rFonts w:ascii="Times New Roman" w:hAnsi="Times New Roman" w:cs="Times New Roman"/>
        </w:rPr>
        <w:t>táciu k účtu,</w:t>
      </w:r>
    </w:p>
    <w:p w:rsidR="005F1B46" w:rsidRPr="005724D5" w:rsidP="005825D2">
      <w:pPr>
        <w:pStyle w:val="ListParagraph"/>
        <w:numPr>
          <w:numId w:val="8"/>
        </w:numPr>
        <w:bidi w:val="0"/>
        <w:spacing w:after="0" w:line="240" w:lineRule="auto"/>
        <w:rPr>
          <w:rFonts w:ascii="Times New Roman" w:hAnsi="Times New Roman" w:cs="Times New Roman"/>
        </w:rPr>
      </w:pPr>
      <w:r w:rsidRPr="005724D5" w:rsidR="006B08F1">
        <w:rPr>
          <w:rFonts w:ascii="Times New Roman" w:hAnsi="Times New Roman" w:cs="Times New Roman"/>
        </w:rPr>
        <w:t>najaktuálnejšiu dokumentáciu, ktorú oznamujúca finančná inštitúcia získala postupmi preverovania v rámci boja proti praniu špinavých peňazí a poznávania svojich klie</w:t>
      </w:r>
      <w:r w:rsidRPr="005724D5" w:rsidR="009D3F96">
        <w:rPr>
          <w:rFonts w:ascii="Times New Roman" w:hAnsi="Times New Roman" w:cs="Times New Roman"/>
        </w:rPr>
        <w:t>ntov alebo na iné zákonné účely,</w:t>
      </w:r>
    </w:p>
    <w:p w:rsidR="005F1B46" w:rsidRPr="005724D5" w:rsidP="005825D2">
      <w:pPr>
        <w:pStyle w:val="ListParagraph"/>
        <w:numPr>
          <w:numId w:val="8"/>
        </w:numPr>
        <w:bidi w:val="0"/>
        <w:spacing w:after="0" w:line="240" w:lineRule="auto"/>
        <w:rPr>
          <w:rFonts w:ascii="Times New Roman" w:hAnsi="Times New Roman" w:cs="Times New Roman"/>
        </w:rPr>
      </w:pPr>
      <w:r w:rsidRPr="005724D5" w:rsidR="006B08F1">
        <w:rPr>
          <w:rFonts w:ascii="Times New Roman" w:hAnsi="Times New Roman" w:cs="Times New Roman"/>
        </w:rPr>
        <w:t>aktuálnu plnú moc alebo podpisové právo a</w:t>
      </w:r>
    </w:p>
    <w:p w:rsidR="005F1B46" w:rsidRPr="005724D5" w:rsidP="005825D2">
      <w:pPr>
        <w:pStyle w:val="ListParagraph"/>
        <w:numPr>
          <w:numId w:val="8"/>
        </w:numPr>
        <w:bidi w:val="0"/>
        <w:spacing w:after="0" w:line="240" w:lineRule="auto"/>
        <w:rPr>
          <w:rFonts w:ascii="Times New Roman" w:hAnsi="Times New Roman" w:cs="Times New Roman"/>
        </w:rPr>
      </w:pPr>
      <w:r w:rsidRPr="005724D5" w:rsidR="006B08F1">
        <w:rPr>
          <w:rFonts w:ascii="Times New Roman" w:hAnsi="Times New Roman" w:cs="Times New Roman"/>
        </w:rPr>
        <w:t>platné trvalé príkazy (okrem tých, ktoré sa týkajú vkladového účtu) na prevod finančných prostri</w:t>
      </w:r>
      <w:r w:rsidR="005825D2">
        <w:rPr>
          <w:rFonts w:ascii="Times New Roman" w:hAnsi="Times New Roman" w:cs="Times New Roman"/>
        </w:rPr>
        <w:t>edkov,</w:t>
      </w:r>
    </w:p>
    <w:p w:rsidR="005F1B46" w:rsidRPr="005724D5" w:rsidP="005825D2">
      <w:pPr>
        <w:pStyle w:val="ListParagraph"/>
        <w:numPr>
          <w:numId w:val="7"/>
        </w:numPr>
        <w:bidi w:val="0"/>
        <w:spacing w:after="0" w:line="240" w:lineRule="auto"/>
        <w:jc w:val="both"/>
        <w:rPr>
          <w:rFonts w:ascii="Times New Roman" w:hAnsi="Times New Roman" w:cs="Times New Roman"/>
        </w:rPr>
      </w:pPr>
      <w:r w:rsidR="005825D2">
        <w:rPr>
          <w:rFonts w:ascii="Times New Roman" w:hAnsi="Times New Roman" w:cs="Times New Roman"/>
        </w:rPr>
        <w:t>o</w:t>
      </w:r>
      <w:r w:rsidRPr="005724D5" w:rsidR="006B08F1">
        <w:rPr>
          <w:rFonts w:ascii="Times New Roman" w:hAnsi="Times New Roman" w:cs="Times New Roman"/>
        </w:rPr>
        <w:t>znamujúca finančná inštitúcia nemusí vykonávať vyhľadávanie v papierových záznamoch stanovené v</w:t>
      </w:r>
      <w:r w:rsidRPr="005724D5" w:rsidR="009D3F96">
        <w:rPr>
          <w:rFonts w:ascii="Times New Roman" w:hAnsi="Times New Roman" w:cs="Times New Roman"/>
        </w:rPr>
        <w:t xml:space="preserve"> písmene </w:t>
      </w:r>
      <w:r w:rsidRPr="005724D5" w:rsidR="0006030C">
        <w:rPr>
          <w:rFonts w:ascii="Times New Roman" w:hAnsi="Times New Roman" w:cs="Times New Roman"/>
        </w:rPr>
        <w:t>b)</w:t>
      </w:r>
      <w:r w:rsidRPr="005724D5" w:rsidR="006B08F1">
        <w:rPr>
          <w:rFonts w:ascii="Times New Roman" w:hAnsi="Times New Roman" w:cs="Times New Roman"/>
        </w:rPr>
        <w:t>, pokiaľ informácie oznamujúcej finančnej inštitúcie, ktoré možno vyhľadať elektronicky, obsahujú:</w:t>
      </w:r>
    </w:p>
    <w:p w:rsidR="005F1B46" w:rsidRPr="005724D5" w:rsidP="005825D2">
      <w:pPr>
        <w:pStyle w:val="ListParagraph"/>
        <w:numPr>
          <w:numId w:val="9"/>
        </w:numPr>
        <w:bidi w:val="0"/>
        <w:spacing w:after="0" w:line="240" w:lineRule="auto"/>
        <w:jc w:val="both"/>
        <w:rPr>
          <w:rFonts w:ascii="Times New Roman" w:hAnsi="Times New Roman" w:cs="Times New Roman"/>
        </w:rPr>
      </w:pPr>
      <w:r w:rsidRPr="005724D5" w:rsidR="0006030C">
        <w:rPr>
          <w:rFonts w:ascii="Times New Roman" w:hAnsi="Times New Roman" w:cs="Times New Roman"/>
        </w:rPr>
        <w:t>údaj o štáte bydliska</w:t>
      </w:r>
      <w:r w:rsidRPr="005724D5" w:rsidR="006B08F1">
        <w:rPr>
          <w:rFonts w:ascii="Times New Roman" w:hAnsi="Times New Roman" w:cs="Times New Roman"/>
        </w:rPr>
        <w:t xml:space="preserve"> alebo sídl</w:t>
      </w:r>
      <w:r w:rsidRPr="005724D5" w:rsidR="0006030C">
        <w:rPr>
          <w:rFonts w:ascii="Times New Roman" w:hAnsi="Times New Roman" w:cs="Times New Roman"/>
        </w:rPr>
        <w:t>a</w:t>
      </w:r>
      <w:r w:rsidRPr="005724D5" w:rsidR="006B08F1">
        <w:rPr>
          <w:rFonts w:ascii="Times New Roman" w:hAnsi="Times New Roman" w:cs="Times New Roman"/>
        </w:rPr>
        <w:t xml:space="preserve"> držiteľa účtu</w:t>
      </w:r>
      <w:r w:rsidRPr="005724D5" w:rsidR="0006030C">
        <w:rPr>
          <w:rFonts w:ascii="Times New Roman" w:hAnsi="Times New Roman" w:cs="Times New Roman"/>
        </w:rPr>
        <w:t xml:space="preserve"> (štát rezidencie),</w:t>
      </w:r>
    </w:p>
    <w:p w:rsidR="005F1B46" w:rsidRPr="005724D5" w:rsidP="005825D2">
      <w:pPr>
        <w:pStyle w:val="ListParagraph"/>
        <w:numPr>
          <w:numId w:val="9"/>
        </w:numPr>
        <w:bidi w:val="0"/>
        <w:spacing w:after="0" w:line="240" w:lineRule="auto"/>
        <w:jc w:val="both"/>
        <w:rPr>
          <w:rFonts w:ascii="Times New Roman" w:hAnsi="Times New Roman" w:cs="Times New Roman"/>
        </w:rPr>
      </w:pPr>
      <w:r w:rsidRPr="005724D5" w:rsidR="006B08F1">
        <w:rPr>
          <w:rFonts w:ascii="Times New Roman" w:hAnsi="Times New Roman" w:cs="Times New Roman"/>
        </w:rPr>
        <w:t>adresu bydliska alebo sídla a poštovú adresu držiteľa účtu, ktoré má oznamujúca finančná inštitúcia v súčasnosti v</w:t>
      </w:r>
      <w:r w:rsidRPr="005724D5" w:rsidR="0006030C">
        <w:rPr>
          <w:rFonts w:ascii="Times New Roman" w:hAnsi="Times New Roman" w:cs="Times New Roman"/>
        </w:rPr>
        <w:t> </w:t>
      </w:r>
      <w:r w:rsidRPr="005724D5" w:rsidR="006B08F1">
        <w:rPr>
          <w:rFonts w:ascii="Times New Roman" w:hAnsi="Times New Roman" w:cs="Times New Roman"/>
        </w:rPr>
        <w:t>s</w:t>
      </w:r>
      <w:r w:rsidRPr="005724D5" w:rsidR="0006030C">
        <w:rPr>
          <w:rFonts w:ascii="Times New Roman" w:hAnsi="Times New Roman" w:cs="Times New Roman"/>
        </w:rPr>
        <w:t>pisovej dokumentácií klienta,</w:t>
      </w:r>
    </w:p>
    <w:p w:rsidR="00A562BF" w:rsidRPr="005724D5" w:rsidP="005825D2">
      <w:pPr>
        <w:pStyle w:val="ListParagraph"/>
        <w:numPr>
          <w:numId w:val="9"/>
        </w:numPr>
        <w:bidi w:val="0"/>
        <w:spacing w:after="0" w:line="240" w:lineRule="auto"/>
        <w:jc w:val="both"/>
        <w:rPr>
          <w:rFonts w:ascii="Times New Roman" w:hAnsi="Times New Roman" w:cs="Times New Roman"/>
        </w:rPr>
      </w:pPr>
      <w:r w:rsidRPr="005724D5" w:rsidR="006B08F1">
        <w:rPr>
          <w:rFonts w:ascii="Times New Roman" w:hAnsi="Times New Roman" w:cs="Times New Roman"/>
        </w:rPr>
        <w:t xml:space="preserve">telefónne číslo </w:t>
      </w:r>
      <w:r w:rsidRPr="005724D5" w:rsidR="0006030C">
        <w:rPr>
          <w:rFonts w:ascii="Times New Roman" w:hAnsi="Times New Roman" w:cs="Times New Roman"/>
        </w:rPr>
        <w:t xml:space="preserve">alebo čísla </w:t>
      </w:r>
      <w:r w:rsidRPr="005724D5" w:rsidR="006B08F1">
        <w:rPr>
          <w:rFonts w:ascii="Times New Roman" w:hAnsi="Times New Roman" w:cs="Times New Roman"/>
        </w:rPr>
        <w:t xml:space="preserve">držiteľa účtu, ktoré má oznamujúca finančná inštitúcia v súčasnosti v </w:t>
      </w:r>
      <w:r w:rsidRPr="005724D5" w:rsidR="0006030C">
        <w:rPr>
          <w:rFonts w:ascii="Times New Roman" w:hAnsi="Times New Roman" w:cs="Times New Roman"/>
        </w:rPr>
        <w:t>v spisovej dokumentácií klienta,</w:t>
      </w:r>
    </w:p>
    <w:p w:rsidR="00A562BF" w:rsidRPr="005724D5" w:rsidP="005825D2">
      <w:pPr>
        <w:pStyle w:val="ListParagraph"/>
        <w:numPr>
          <w:numId w:val="9"/>
        </w:numPr>
        <w:bidi w:val="0"/>
        <w:spacing w:after="0" w:line="240" w:lineRule="auto"/>
        <w:jc w:val="both"/>
        <w:rPr>
          <w:rFonts w:ascii="Times New Roman" w:hAnsi="Times New Roman" w:cs="Times New Roman"/>
        </w:rPr>
      </w:pPr>
      <w:r w:rsidRPr="005724D5" w:rsidR="006B08F1">
        <w:rPr>
          <w:rFonts w:ascii="Times New Roman" w:hAnsi="Times New Roman" w:cs="Times New Roman"/>
        </w:rPr>
        <w:t>v prípade iných finančných účtov, ako sú vkladové účty</w:t>
      </w:r>
      <w:r w:rsidRPr="005724D5" w:rsidR="006E144E">
        <w:rPr>
          <w:rFonts w:ascii="Times New Roman" w:hAnsi="Times New Roman" w:cs="Times New Roman"/>
        </w:rPr>
        <w:t xml:space="preserve"> (depozitné účty)</w:t>
      </w:r>
      <w:r w:rsidRPr="005724D5" w:rsidR="006B08F1">
        <w:rPr>
          <w:rFonts w:ascii="Times New Roman" w:hAnsi="Times New Roman" w:cs="Times New Roman"/>
        </w:rPr>
        <w:t>, údaje o tom, či existujú trvalé príkazy na prevod finan</w:t>
      </w:r>
      <w:r w:rsidRPr="005724D5" w:rsidR="00AB6119">
        <w:rPr>
          <w:rFonts w:ascii="Times New Roman" w:hAnsi="Times New Roman" w:cs="Times New Roman"/>
        </w:rPr>
        <w:t xml:space="preserve">čných prostriedkov na iný účet, </w:t>
      </w:r>
      <w:r w:rsidRPr="005724D5" w:rsidR="006B08F1">
        <w:rPr>
          <w:rFonts w:ascii="Times New Roman" w:hAnsi="Times New Roman" w:cs="Times New Roman"/>
        </w:rPr>
        <w:t xml:space="preserve">vrátane účtu v inej pobočke oznamujúcej finančnej inštitúcie </w:t>
      </w:r>
      <w:r w:rsidRPr="005724D5" w:rsidR="00AB6119">
        <w:rPr>
          <w:rFonts w:ascii="Times New Roman" w:hAnsi="Times New Roman" w:cs="Times New Roman"/>
        </w:rPr>
        <w:t>alebo inej finančnej inštitúcie,</w:t>
      </w:r>
    </w:p>
    <w:p w:rsidR="00A562BF" w:rsidRPr="005724D5" w:rsidP="005825D2">
      <w:pPr>
        <w:pStyle w:val="ListParagraph"/>
        <w:numPr>
          <w:numId w:val="9"/>
        </w:numPr>
        <w:bidi w:val="0"/>
        <w:spacing w:after="0" w:line="240" w:lineRule="auto"/>
        <w:rPr>
          <w:rFonts w:ascii="Times New Roman" w:hAnsi="Times New Roman" w:cs="Times New Roman"/>
        </w:rPr>
      </w:pPr>
      <w:r w:rsidRPr="005724D5" w:rsidR="006B08F1">
        <w:rPr>
          <w:rFonts w:ascii="Times New Roman" w:hAnsi="Times New Roman" w:cs="Times New Roman"/>
        </w:rPr>
        <w:t xml:space="preserve">údaje o tom, či pre držiteľa účtu v súčasnosti existuje adresa </w:t>
      </w:r>
      <w:r w:rsidRPr="005724D5" w:rsidR="00AB6119">
        <w:rPr>
          <w:rFonts w:ascii="Times New Roman" w:hAnsi="Times New Roman" w:cs="Times New Roman"/>
        </w:rPr>
        <w:t xml:space="preserve">osoby </w:t>
      </w:r>
      <w:r w:rsidRPr="005724D5" w:rsidR="006B08F1">
        <w:rPr>
          <w:rFonts w:ascii="Times New Roman" w:hAnsi="Times New Roman" w:cs="Times New Roman"/>
        </w:rPr>
        <w:t>na preberanie pošty alebo pokyn na úschovu pošty, a</w:t>
      </w:r>
    </w:p>
    <w:p w:rsidR="006B08F1" w:rsidRPr="005724D5" w:rsidP="005825D2">
      <w:pPr>
        <w:pStyle w:val="ListParagraph"/>
        <w:numPr>
          <w:numId w:val="9"/>
        </w:numPr>
        <w:bidi w:val="0"/>
        <w:spacing w:after="0" w:line="240" w:lineRule="auto"/>
        <w:rPr>
          <w:rFonts w:ascii="Times New Roman" w:hAnsi="Times New Roman" w:cs="Times New Roman"/>
        </w:rPr>
      </w:pPr>
      <w:r w:rsidRPr="005724D5">
        <w:rPr>
          <w:rFonts w:ascii="Times New Roman" w:hAnsi="Times New Roman" w:cs="Times New Roman"/>
        </w:rPr>
        <w:t>údaje o tom, či pre účet existuje plná moc alebo podpisové právo.</w:t>
      </w:r>
    </w:p>
    <w:p w:rsidR="00AB6119" w:rsidRPr="005724D5" w:rsidP="005825D2">
      <w:pPr>
        <w:pStyle w:val="ListParagraph"/>
        <w:bidi w:val="0"/>
        <w:spacing w:after="0" w:line="240" w:lineRule="auto"/>
        <w:ind w:left="1440"/>
        <w:rPr>
          <w:rFonts w:ascii="Times New Roman" w:hAnsi="Times New Roman" w:cs="Times New Roman"/>
        </w:rPr>
      </w:pPr>
    </w:p>
    <w:p w:rsidR="006B08F1" w:rsidRPr="005724D5" w:rsidP="005825D2">
      <w:pPr>
        <w:pStyle w:val="ListParagraph"/>
        <w:numPr>
          <w:numId w:val="2"/>
        </w:numPr>
        <w:bidi w:val="0"/>
        <w:spacing w:after="0" w:line="240" w:lineRule="auto"/>
        <w:jc w:val="both"/>
        <w:rPr>
          <w:rFonts w:ascii="Times New Roman" w:hAnsi="Times New Roman" w:cs="Times New Roman"/>
        </w:rPr>
      </w:pPr>
      <w:r w:rsidRPr="005724D5">
        <w:rPr>
          <w:rFonts w:ascii="Times New Roman" w:hAnsi="Times New Roman" w:cs="Times New Roman"/>
        </w:rPr>
        <w:t>Okrem vyhľadávania v elektro</w:t>
      </w:r>
      <w:r w:rsidR="005825D2">
        <w:rPr>
          <w:rFonts w:ascii="Times New Roman" w:hAnsi="Times New Roman" w:cs="Times New Roman"/>
        </w:rPr>
        <w:t>nických a papierových záznamoch</w:t>
      </w:r>
      <w:r w:rsidRPr="005724D5" w:rsidR="00733032">
        <w:rPr>
          <w:rFonts w:ascii="Times New Roman" w:hAnsi="Times New Roman" w:cs="Times New Roman"/>
        </w:rPr>
        <w:t>, ktoré sú stanovené v</w:t>
      </w:r>
      <w:r w:rsidR="004E637B">
        <w:rPr>
          <w:rFonts w:ascii="Times New Roman" w:hAnsi="Times New Roman" w:cs="Times New Roman"/>
        </w:rPr>
        <w:t> ods. 2 písm.</w:t>
      </w:r>
      <w:r w:rsidRPr="005724D5" w:rsidR="00733032">
        <w:rPr>
          <w:rFonts w:ascii="Times New Roman" w:hAnsi="Times New Roman" w:cs="Times New Roman"/>
        </w:rPr>
        <w:t xml:space="preserve"> </w:t>
      </w:r>
      <w:r w:rsidRPr="005724D5" w:rsidR="00936B27">
        <w:rPr>
          <w:rFonts w:ascii="Times New Roman" w:hAnsi="Times New Roman" w:cs="Times New Roman"/>
        </w:rPr>
        <w:t xml:space="preserve">a) </w:t>
      </w:r>
      <w:r w:rsidRPr="005724D5" w:rsidR="00733032">
        <w:rPr>
          <w:rFonts w:ascii="Times New Roman" w:hAnsi="Times New Roman" w:cs="Times New Roman"/>
        </w:rPr>
        <w:t xml:space="preserve">a b) </w:t>
      </w:r>
      <w:r w:rsidRPr="005724D5">
        <w:rPr>
          <w:rFonts w:ascii="Times New Roman" w:hAnsi="Times New Roman" w:cs="Times New Roman"/>
        </w:rPr>
        <w:t>je oznamujúca finančná inštitúcia povinná považovať za účet, ktorý podlieha oznamovaniu, akýkoľvek účet s vysokou hodnotou, ktorý bol pridelený manažérovi pre styk s klientmi (vrátane akýchkoľvek finančných účtov zlúčených s takýmto účtom s vysokou hodnotou), ak manažér pre styk s klientmi disponuje informáciou o tom, že držiteľ účtu je osoba, ktorá podlieha oznamovaniu.</w:t>
      </w:r>
    </w:p>
    <w:p w:rsidR="00936B27" w:rsidRPr="005724D5" w:rsidP="005825D2">
      <w:pPr>
        <w:pStyle w:val="ListParagraph"/>
        <w:bidi w:val="0"/>
        <w:spacing w:after="0" w:line="240" w:lineRule="auto"/>
        <w:jc w:val="both"/>
        <w:rPr>
          <w:rFonts w:ascii="Times New Roman" w:hAnsi="Times New Roman" w:cs="Times New Roman"/>
        </w:rPr>
      </w:pPr>
    </w:p>
    <w:p w:rsidR="00936B27" w:rsidRPr="005724D5" w:rsidP="005825D2">
      <w:pPr>
        <w:pStyle w:val="ListParagraph"/>
        <w:numPr>
          <w:numId w:val="2"/>
        </w:numPr>
        <w:bidi w:val="0"/>
        <w:spacing w:after="0" w:line="240" w:lineRule="auto"/>
        <w:jc w:val="both"/>
        <w:rPr>
          <w:rFonts w:ascii="Times New Roman" w:hAnsi="Times New Roman" w:cs="Times New Roman"/>
        </w:rPr>
      </w:pPr>
      <w:r w:rsidRPr="005724D5">
        <w:rPr>
          <w:rFonts w:ascii="Times New Roman" w:hAnsi="Times New Roman" w:cs="Times New Roman"/>
        </w:rPr>
        <w:t>Účinok zistenia indícií</w:t>
      </w:r>
    </w:p>
    <w:p w:rsidR="00936B27" w:rsidRPr="005724D5" w:rsidP="005825D2">
      <w:pPr>
        <w:pStyle w:val="ListParagraph"/>
        <w:numPr>
          <w:numId w:val="10"/>
        </w:numPr>
        <w:bidi w:val="0"/>
        <w:spacing w:after="0" w:line="240" w:lineRule="auto"/>
        <w:jc w:val="both"/>
        <w:rPr>
          <w:rFonts w:ascii="Times New Roman" w:hAnsi="Times New Roman" w:cs="Times New Roman"/>
        </w:rPr>
      </w:pPr>
      <w:r w:rsidRPr="005724D5" w:rsidR="006B08F1">
        <w:rPr>
          <w:rFonts w:ascii="Times New Roman" w:hAnsi="Times New Roman" w:cs="Times New Roman"/>
        </w:rPr>
        <w:t>ak sa počas rozšíreného preverovania účtov s vyso</w:t>
      </w:r>
      <w:r w:rsidR="004E637B">
        <w:rPr>
          <w:rFonts w:ascii="Times New Roman" w:hAnsi="Times New Roman" w:cs="Times New Roman"/>
        </w:rPr>
        <w:t>kou hodnotou stanovenou v ods. 2 a 3</w:t>
      </w:r>
      <w:r w:rsidRPr="005724D5" w:rsidR="006B08F1">
        <w:rPr>
          <w:rFonts w:ascii="Times New Roman" w:hAnsi="Times New Roman" w:cs="Times New Roman"/>
        </w:rPr>
        <w:t xml:space="preserve"> nezistí</w:t>
      </w:r>
      <w:r w:rsidR="008A616F">
        <w:rPr>
          <w:rFonts w:ascii="Times New Roman" w:hAnsi="Times New Roman" w:cs="Times New Roman"/>
        </w:rPr>
        <w:t xml:space="preserve"> žiadna z indícií podľa ods. 1 písm. b)</w:t>
      </w:r>
      <w:r w:rsidRPr="005724D5" w:rsidR="006B08F1">
        <w:rPr>
          <w:rFonts w:ascii="Times New Roman" w:hAnsi="Times New Roman" w:cs="Times New Roman"/>
        </w:rPr>
        <w:t>, pričom účet nebol identifikovaný ako účet, ktorého držiteľom je osoba podlieh</w:t>
      </w:r>
      <w:r w:rsidR="008A616F">
        <w:rPr>
          <w:rFonts w:ascii="Times New Roman" w:hAnsi="Times New Roman" w:cs="Times New Roman"/>
        </w:rPr>
        <w:t>ajúca oznamovaniu podľa ods. 3</w:t>
      </w:r>
      <w:r w:rsidRPr="005724D5" w:rsidR="006B08F1">
        <w:rPr>
          <w:rFonts w:ascii="Times New Roman" w:hAnsi="Times New Roman" w:cs="Times New Roman"/>
        </w:rPr>
        <w:t xml:space="preserve">, nebudú potrebné žiadne ďalšie úkony, ak nenastane zmena okolností, ktorá má za následok vznik jednej alebo viacerých </w:t>
      </w:r>
      <w:r w:rsidRPr="005724D5">
        <w:rPr>
          <w:rFonts w:ascii="Times New Roman" w:hAnsi="Times New Roman" w:cs="Times New Roman"/>
        </w:rPr>
        <w:t>indícií vo vzťahu k danému účtu,</w:t>
      </w:r>
    </w:p>
    <w:p w:rsidR="00936B27" w:rsidRPr="005724D5" w:rsidP="005825D2">
      <w:pPr>
        <w:pStyle w:val="ListParagraph"/>
        <w:numPr>
          <w:numId w:val="10"/>
        </w:numPr>
        <w:bidi w:val="0"/>
        <w:spacing w:after="0" w:line="240" w:lineRule="auto"/>
        <w:jc w:val="both"/>
        <w:rPr>
          <w:rFonts w:ascii="Times New Roman" w:hAnsi="Times New Roman" w:cs="Times New Roman"/>
        </w:rPr>
      </w:pPr>
      <w:r w:rsidRPr="005724D5" w:rsidR="006B08F1">
        <w:rPr>
          <w:rFonts w:ascii="Times New Roman" w:hAnsi="Times New Roman" w:cs="Times New Roman"/>
        </w:rPr>
        <w:t>ak sa počas rozšíreného preverovania účtov s vysokou</w:t>
      </w:r>
      <w:r w:rsidR="008A616F">
        <w:rPr>
          <w:rFonts w:ascii="Times New Roman" w:hAnsi="Times New Roman" w:cs="Times New Roman"/>
        </w:rPr>
        <w:t xml:space="preserve"> hodnotou stanoveného v ods. 2. až 8.</w:t>
      </w:r>
      <w:r w:rsidRPr="005724D5" w:rsidR="006B08F1">
        <w:rPr>
          <w:rFonts w:ascii="Times New Roman" w:hAnsi="Times New Roman" w:cs="Times New Roman"/>
        </w:rPr>
        <w:t xml:space="preserve"> zistí akákoľve</w:t>
      </w:r>
      <w:r w:rsidR="008A616F">
        <w:rPr>
          <w:rFonts w:ascii="Times New Roman" w:hAnsi="Times New Roman" w:cs="Times New Roman"/>
        </w:rPr>
        <w:t>k z indícií uvedených v ods. 1 písm. b) bod 1. až 5.</w:t>
      </w:r>
      <w:r w:rsidRPr="005724D5" w:rsidR="006B08F1">
        <w:rPr>
          <w:rFonts w:ascii="Times New Roman" w:hAnsi="Times New Roman" w:cs="Times New Roman"/>
        </w:rPr>
        <w:t xml:space="preserve"> písm. a) až e) alebo ak neskôr nastane zmena okolností, ktorá má za následok vznik jednej alebo viacerých indícií vo vzťahu k danému účtu, oznamujúca finančná inštitúcia je povinná považovať predmetný účet za účet podliehajúci oznamovaniu, pokiaľ ide o každý členský štát, v súvislosti s ktorým sa indícia identifikuje, ak sa nerozhodne uplatniť odsek B bod 6, ak sa na daný účet vzťahuje niektorá z výnimiek v uv</w:t>
      </w:r>
      <w:r w:rsidRPr="005724D5">
        <w:rPr>
          <w:rFonts w:ascii="Times New Roman" w:hAnsi="Times New Roman" w:cs="Times New Roman"/>
        </w:rPr>
        <w:t>edenom bode,</w:t>
      </w:r>
    </w:p>
    <w:p w:rsidR="006B08F1" w:rsidRPr="005724D5" w:rsidP="005825D2">
      <w:pPr>
        <w:pStyle w:val="ListParagraph"/>
        <w:numPr>
          <w:numId w:val="10"/>
        </w:numPr>
        <w:bidi w:val="0"/>
        <w:spacing w:after="0" w:line="240" w:lineRule="auto"/>
        <w:jc w:val="both"/>
        <w:rPr>
          <w:rFonts w:ascii="Times New Roman" w:hAnsi="Times New Roman" w:cs="Times New Roman"/>
        </w:rPr>
      </w:pPr>
      <w:r w:rsidRPr="005724D5">
        <w:rPr>
          <w:rFonts w:ascii="Times New Roman" w:hAnsi="Times New Roman" w:cs="Times New Roman"/>
        </w:rPr>
        <w:t>ak sa pri posilnenom preverovaní účtov s vysoko</w:t>
      </w:r>
      <w:r w:rsidR="00751CA4">
        <w:rPr>
          <w:rFonts w:ascii="Times New Roman" w:hAnsi="Times New Roman" w:cs="Times New Roman"/>
        </w:rPr>
        <w:t>u hodnotou stanovenom v ods. 2. až 8.</w:t>
      </w:r>
      <w:r w:rsidRPr="005724D5">
        <w:rPr>
          <w:rFonts w:ascii="Times New Roman" w:hAnsi="Times New Roman" w:cs="Times New Roman"/>
        </w:rPr>
        <w:t xml:space="preserve"> zistí existencia pokynu na úschovu pošty alebo adresy na preberanie pošty a v súvislosti s držiteľom účtu sa nezistí žiadna ďalšia adresa ani žiadne</w:t>
      </w:r>
      <w:r w:rsidR="00751CA4">
        <w:rPr>
          <w:rFonts w:ascii="Times New Roman" w:hAnsi="Times New Roman" w:cs="Times New Roman"/>
        </w:rPr>
        <w:t xml:space="preserve"> ďalšie indície uvedené v ods. 1 písm. b) bod 1. až 5., </w:t>
      </w:r>
      <w:r w:rsidRPr="005724D5">
        <w:rPr>
          <w:rFonts w:ascii="Times New Roman" w:hAnsi="Times New Roman" w:cs="Times New Roman"/>
        </w:rPr>
        <w:t xml:space="preserve">musí oznamujúca finančná inštitúcia od takéhoto držiteľa účtu získať čestné vyhlásenie alebo písomné dôkazy s cieľom stanoviť rezidenciu (rezidencie) držiteľa účtu na daňové účely. Ak oznamujúca finančná inštitúcia nemôže získať takéto čestné vyhlásenie alebo písomné dôkazy, musí účet nahlásiť príslušnému orgánu svojho členského </w:t>
      </w:r>
      <w:r w:rsidRPr="005724D5" w:rsidR="00936B27">
        <w:rPr>
          <w:rFonts w:ascii="Times New Roman" w:hAnsi="Times New Roman" w:cs="Times New Roman"/>
        </w:rPr>
        <w:t>štátu ako nezdokumentovaný účet.</w:t>
      </w:r>
    </w:p>
    <w:p w:rsidR="00936B27" w:rsidRPr="005724D5" w:rsidP="005825D2">
      <w:pPr>
        <w:pStyle w:val="ListParagraph"/>
        <w:bidi w:val="0"/>
        <w:spacing w:after="0" w:line="240" w:lineRule="auto"/>
        <w:ind w:left="1080"/>
        <w:jc w:val="both"/>
        <w:rPr>
          <w:rFonts w:ascii="Times New Roman" w:hAnsi="Times New Roman" w:cs="Times New Roman"/>
        </w:rPr>
      </w:pPr>
    </w:p>
    <w:p w:rsidR="00936B27" w:rsidRPr="005724D5" w:rsidP="005825D2">
      <w:pPr>
        <w:pStyle w:val="ListParagraph"/>
        <w:numPr>
          <w:numId w:val="2"/>
        </w:numPr>
        <w:bidi w:val="0"/>
        <w:spacing w:after="0" w:line="240" w:lineRule="auto"/>
        <w:jc w:val="both"/>
        <w:rPr>
          <w:rFonts w:ascii="Times New Roman" w:hAnsi="Times New Roman" w:cs="Times New Roman"/>
        </w:rPr>
      </w:pPr>
      <w:r w:rsidRPr="005724D5" w:rsidR="006B08F1">
        <w:rPr>
          <w:rFonts w:ascii="Times New Roman" w:hAnsi="Times New Roman" w:cs="Times New Roman"/>
        </w:rPr>
        <w:t>Ak existujúci účet fyzickej osoby nie je účtom s vysokou hodnotou k 31. decembru 2015, ale stane sa účtom s vysokou hodnotou k poslednému dňu nasledujúceho kalendárneho roka, oznamujúca finančná inštitúcia je povinná dokončiť postupy rozšíreného preverovania stanoveného v</w:t>
      </w:r>
      <w:r w:rsidR="00751CA4">
        <w:rPr>
          <w:rFonts w:ascii="Times New Roman" w:hAnsi="Times New Roman" w:cs="Times New Roman"/>
        </w:rPr>
        <w:t> </w:t>
      </w:r>
      <w:r w:rsidRPr="005724D5" w:rsidR="006B08F1">
        <w:rPr>
          <w:rFonts w:ascii="Times New Roman" w:hAnsi="Times New Roman" w:cs="Times New Roman"/>
        </w:rPr>
        <w:t>ods</w:t>
      </w:r>
      <w:r w:rsidR="00751CA4">
        <w:rPr>
          <w:rFonts w:ascii="Times New Roman" w:hAnsi="Times New Roman" w:cs="Times New Roman"/>
        </w:rPr>
        <w:t>. 2 až 8</w:t>
      </w:r>
      <w:r w:rsidRPr="005724D5" w:rsidR="006B08F1">
        <w:rPr>
          <w:rFonts w:ascii="Times New Roman" w:hAnsi="Times New Roman" w:cs="Times New Roman"/>
        </w:rPr>
        <w:t xml:space="preserve"> vo vzťahu k takémuto účtu v rámci kalendárneho roka, ktorý nasleduje po roku, v ktorom sa účet stal účtom s vysokou hodnotou. Ak sa na základe tohto preverenia zistí, že účet je účtom podliehajúcim oznamovaniu, oznamujúca finančná inštitúcia je povinná oznámiť požadované informácie o takomto účte v súvislosti s rokom, v ktorom bol predmetný účet identifikovaný, ako účet podliehajúci oznamovaniu a každoročne za nasledujúce roky, pokiaľ držiteľ účtu neprestane byť osobou podliehajúcou oznamovaniu.</w:t>
      </w:r>
    </w:p>
    <w:p w:rsidR="00936B27" w:rsidRPr="005724D5" w:rsidP="005825D2">
      <w:pPr>
        <w:pStyle w:val="ListParagraph"/>
        <w:bidi w:val="0"/>
        <w:spacing w:after="0" w:line="240" w:lineRule="auto"/>
        <w:jc w:val="both"/>
        <w:rPr>
          <w:rFonts w:ascii="Times New Roman" w:hAnsi="Times New Roman" w:cs="Times New Roman"/>
        </w:rPr>
      </w:pPr>
    </w:p>
    <w:p w:rsidR="00936B27" w:rsidRPr="005724D5" w:rsidP="005825D2">
      <w:pPr>
        <w:pStyle w:val="ListParagraph"/>
        <w:numPr>
          <w:numId w:val="2"/>
        </w:numPr>
        <w:bidi w:val="0"/>
        <w:spacing w:after="0" w:line="240" w:lineRule="auto"/>
        <w:jc w:val="both"/>
        <w:rPr>
          <w:rFonts w:ascii="Times New Roman" w:hAnsi="Times New Roman" w:cs="Times New Roman"/>
        </w:rPr>
      </w:pPr>
      <w:r w:rsidRPr="005724D5" w:rsidR="006B08F1">
        <w:rPr>
          <w:rFonts w:ascii="Times New Roman" w:hAnsi="Times New Roman" w:cs="Times New Roman"/>
        </w:rPr>
        <w:t>Ak oznamujúca finančná inštitúcia uplatní postupy rozšíreného</w:t>
      </w:r>
      <w:r w:rsidR="00CA2EB1">
        <w:rPr>
          <w:rFonts w:ascii="Times New Roman" w:hAnsi="Times New Roman" w:cs="Times New Roman"/>
        </w:rPr>
        <w:t xml:space="preserve"> preverovania stanoveného v ods. 2. až 8.</w:t>
      </w:r>
      <w:r w:rsidRPr="005724D5" w:rsidR="006B08F1">
        <w:rPr>
          <w:rFonts w:ascii="Times New Roman" w:hAnsi="Times New Roman" w:cs="Times New Roman"/>
        </w:rPr>
        <w:t xml:space="preserve"> na účet s vysokou hodnotou, oznamujúca finančná inštitúcia nebude musieť opätovne uplatňovať tieto postupy s výnimkou preverenia u manažéra pre styk s klientmi stanoveného v</w:t>
      </w:r>
      <w:r w:rsidR="00CA2EB1">
        <w:rPr>
          <w:rFonts w:ascii="Times New Roman" w:hAnsi="Times New Roman" w:cs="Times New Roman"/>
        </w:rPr>
        <w:t> </w:t>
      </w:r>
      <w:r w:rsidRPr="005724D5" w:rsidR="006B08F1">
        <w:rPr>
          <w:rFonts w:ascii="Times New Roman" w:hAnsi="Times New Roman" w:cs="Times New Roman"/>
        </w:rPr>
        <w:t>ods</w:t>
      </w:r>
      <w:r w:rsidR="00CA2EB1">
        <w:rPr>
          <w:rFonts w:ascii="Times New Roman" w:hAnsi="Times New Roman" w:cs="Times New Roman"/>
        </w:rPr>
        <w:t xml:space="preserve">. </w:t>
      </w:r>
      <w:r w:rsidRPr="005724D5" w:rsidR="006B08F1">
        <w:rPr>
          <w:rFonts w:ascii="Times New Roman" w:hAnsi="Times New Roman" w:cs="Times New Roman"/>
        </w:rPr>
        <w:t>4 na ten istý účet s vysokou hodnotou v nasledujúcich rokoch, pokiaľ nie je účet nezdokumentovaný, pričom v takom prípade by ich oznamujúca finančná inštitúcia mala opätovne každoročne uplatňovať, pokým takýto účet neprestane byť nezdokumentovaný.</w:t>
      </w:r>
    </w:p>
    <w:p w:rsidR="00936B27" w:rsidRPr="005724D5" w:rsidP="005825D2">
      <w:pPr>
        <w:pStyle w:val="ListParagraph"/>
        <w:bidi w:val="0"/>
        <w:spacing w:after="0" w:line="240" w:lineRule="auto"/>
        <w:rPr>
          <w:rFonts w:ascii="Times New Roman" w:hAnsi="Times New Roman" w:cs="Times New Roman"/>
        </w:rPr>
      </w:pPr>
    </w:p>
    <w:p w:rsidR="00936B27" w:rsidRPr="005724D5" w:rsidP="005825D2">
      <w:pPr>
        <w:pStyle w:val="ListParagraph"/>
        <w:numPr>
          <w:numId w:val="2"/>
        </w:numPr>
        <w:bidi w:val="0"/>
        <w:spacing w:after="0" w:line="240" w:lineRule="auto"/>
        <w:jc w:val="both"/>
        <w:rPr>
          <w:rFonts w:ascii="Times New Roman" w:hAnsi="Times New Roman" w:cs="Times New Roman"/>
        </w:rPr>
      </w:pPr>
      <w:r w:rsidRPr="005724D5" w:rsidR="006B08F1">
        <w:rPr>
          <w:rFonts w:ascii="Times New Roman" w:hAnsi="Times New Roman" w:cs="Times New Roman"/>
        </w:rPr>
        <w:t>Ak nastane zmena okolností v súvislosti s účtom s vysokou hodnotou, ktorá má za následok vznik jednej alebo viacerých indícií vo vzťahu k predmetnému účtu stanovených v</w:t>
      </w:r>
      <w:r w:rsidR="00CA2EB1">
        <w:rPr>
          <w:rFonts w:ascii="Times New Roman" w:hAnsi="Times New Roman" w:cs="Times New Roman"/>
        </w:rPr>
        <w:t> </w:t>
      </w:r>
      <w:r w:rsidRPr="005724D5" w:rsidR="006B08F1">
        <w:rPr>
          <w:rFonts w:ascii="Times New Roman" w:hAnsi="Times New Roman" w:cs="Times New Roman"/>
        </w:rPr>
        <w:t>ods</w:t>
      </w:r>
      <w:r w:rsidR="00CA2EB1">
        <w:rPr>
          <w:rFonts w:ascii="Times New Roman" w:hAnsi="Times New Roman" w:cs="Times New Roman"/>
        </w:rPr>
        <w:t>. 1 písm. b)</w:t>
      </w:r>
      <w:r w:rsidRPr="005724D5" w:rsidR="006B08F1">
        <w:rPr>
          <w:rFonts w:ascii="Times New Roman" w:hAnsi="Times New Roman" w:cs="Times New Roman"/>
        </w:rPr>
        <w:t>, potom je oznamujúca finančná inštitúcia povinná považovať daný účet za účet podliehajúci oznamovaniu, pokiaľ ide o každý členský štát, v súvislosti s ktorým sa indícia identifikuje, poki</w:t>
      </w:r>
      <w:r w:rsidR="00CA2EB1">
        <w:rPr>
          <w:rFonts w:ascii="Times New Roman" w:hAnsi="Times New Roman" w:cs="Times New Roman"/>
        </w:rPr>
        <w:t>aľ sa nerozhodne uplatniť ods. 5</w:t>
      </w:r>
      <w:r w:rsidRPr="005724D5" w:rsidR="006B08F1">
        <w:rPr>
          <w:rFonts w:ascii="Times New Roman" w:hAnsi="Times New Roman" w:cs="Times New Roman"/>
        </w:rPr>
        <w:t>, ak sa na daný účet vzťahuje niektorá z výnimiek v uvedenom bode.</w:t>
      </w:r>
    </w:p>
    <w:p w:rsidR="00936B27" w:rsidRPr="005724D5" w:rsidP="005825D2">
      <w:pPr>
        <w:pStyle w:val="ListParagraph"/>
        <w:bidi w:val="0"/>
        <w:spacing w:after="0" w:line="240" w:lineRule="auto"/>
        <w:rPr>
          <w:rFonts w:ascii="Times New Roman" w:hAnsi="Times New Roman" w:cs="Times New Roman"/>
        </w:rPr>
      </w:pPr>
    </w:p>
    <w:p w:rsidR="00FD4EE5" w:rsidRPr="005724D5" w:rsidP="005825D2">
      <w:pPr>
        <w:pStyle w:val="ListParagraph"/>
        <w:numPr>
          <w:numId w:val="2"/>
        </w:numPr>
        <w:bidi w:val="0"/>
        <w:spacing w:after="0" w:line="240" w:lineRule="auto"/>
        <w:jc w:val="both"/>
        <w:rPr>
          <w:rFonts w:ascii="Times New Roman" w:hAnsi="Times New Roman" w:cs="Times New Roman"/>
        </w:rPr>
      </w:pPr>
      <w:r w:rsidRPr="005724D5" w:rsidR="006B08F1">
        <w:rPr>
          <w:rFonts w:ascii="Times New Roman" w:hAnsi="Times New Roman" w:cs="Times New Roman"/>
        </w:rPr>
        <w:t xml:space="preserve">Oznamujúca finančná inštitúcia je povinná zaviesť postupy, ktorými zabezpečí, že manažér pre styk s klientmi zistí akúkoľvek zmenu okolností účtu. Napríklad v prípade, ak manažérovi pre styk s klientmi bolo oznámené, že držiteľ účtu má novú poštovú adresu v členskom štáte, oznamujúca finančná inštitúcia je povinná považovať novú adresu za zmenu okolností v prípade, ak sa rozhodne postupovať podľa </w:t>
      </w:r>
      <w:r w:rsidR="00CA2EB1">
        <w:rPr>
          <w:rFonts w:ascii="Times New Roman" w:hAnsi="Times New Roman" w:cs="Times New Roman"/>
        </w:rPr>
        <w:t>ods. 5</w:t>
      </w:r>
      <w:r w:rsidRPr="005724D5" w:rsidR="006B08F1">
        <w:rPr>
          <w:rFonts w:ascii="Times New Roman" w:hAnsi="Times New Roman" w:cs="Times New Roman"/>
        </w:rPr>
        <w:t>, je povinná získať príslušné dokumenty od držiteľa účtu.</w:t>
      </w:r>
    </w:p>
    <w:p w:rsidR="00FD4EE5" w:rsidRPr="005724D5" w:rsidP="005825D2">
      <w:pPr>
        <w:pStyle w:val="ListParagraph"/>
        <w:bidi w:val="0"/>
        <w:spacing w:after="0" w:line="240" w:lineRule="auto"/>
        <w:rPr>
          <w:rFonts w:ascii="Times New Roman" w:hAnsi="Times New Roman" w:cs="Times New Roman"/>
        </w:rPr>
      </w:pPr>
    </w:p>
    <w:p w:rsidR="005825D2" w:rsidP="005825D2">
      <w:pPr>
        <w:pStyle w:val="ListParagraph"/>
        <w:numPr>
          <w:numId w:val="2"/>
        </w:numPr>
        <w:bidi w:val="0"/>
        <w:spacing w:after="0" w:line="240" w:lineRule="auto"/>
        <w:jc w:val="both"/>
        <w:rPr>
          <w:rFonts w:ascii="Times New Roman" w:hAnsi="Times New Roman" w:cs="Times New Roman"/>
        </w:rPr>
      </w:pPr>
      <w:r w:rsidRPr="005724D5" w:rsidR="006B08F1">
        <w:rPr>
          <w:rFonts w:ascii="Times New Roman" w:hAnsi="Times New Roman" w:cs="Times New Roman"/>
        </w:rPr>
        <w:t xml:space="preserve">Preverovanie existujúcich účtov fyzických osôb s vysokou hodnotou sa </w:t>
      </w:r>
      <w:r w:rsidRPr="005724D5" w:rsidR="00FD4EE5">
        <w:rPr>
          <w:rFonts w:ascii="Times New Roman" w:hAnsi="Times New Roman" w:cs="Times New Roman"/>
        </w:rPr>
        <w:t>dokončí</w:t>
      </w:r>
      <w:r w:rsidRPr="005724D5" w:rsidR="006B08F1">
        <w:rPr>
          <w:rFonts w:ascii="Times New Roman" w:hAnsi="Times New Roman" w:cs="Times New Roman"/>
        </w:rPr>
        <w:t xml:space="preserve"> do 31. decembra 2016. Preverovanie existujúcich účtov i účtov fyzických osôb s nižšou hodnotou sa musí dokončiť do 31. decembra 2017.</w:t>
      </w:r>
      <w:r>
        <w:rPr>
          <w:rFonts w:ascii="Times New Roman" w:hAnsi="Times New Roman" w:cs="Times New Roman"/>
        </w:rPr>
        <w:t xml:space="preserve"> </w:t>
      </w:r>
      <w:r w:rsidRPr="005825D2" w:rsidR="006B08F1">
        <w:rPr>
          <w:rFonts w:ascii="Times New Roman" w:hAnsi="Times New Roman" w:cs="Times New Roman"/>
        </w:rPr>
        <w:t xml:space="preserve">Každý existujúci účet fyzickej osoby, ktorý bol podľa tohto </w:t>
      </w:r>
      <w:r>
        <w:rPr>
          <w:rFonts w:ascii="Times New Roman" w:hAnsi="Times New Roman" w:cs="Times New Roman"/>
        </w:rPr>
        <w:t>paragrafu</w:t>
      </w:r>
      <w:r w:rsidRPr="005825D2" w:rsidR="006B08F1">
        <w:rPr>
          <w:rFonts w:ascii="Times New Roman" w:hAnsi="Times New Roman" w:cs="Times New Roman"/>
        </w:rPr>
        <w:t xml:space="preserve"> identifikovaný ako podliehajúci oznamovaniu, sa musí považovať za účet podliehajúci oznamovaniu vo všetkých nasledujúcich rokoch, pokiaľ držiteľ účtu neprestane byť osobou podliehajúcou oznamovaniu.</w:t>
      </w:r>
    </w:p>
    <w:p w:rsidR="005825D2" w:rsidRPr="005825D2" w:rsidP="005825D2">
      <w:pPr>
        <w:bidi w:val="0"/>
        <w:spacing w:after="0" w:line="240" w:lineRule="auto"/>
        <w:jc w:val="both"/>
        <w:rPr>
          <w:rFonts w:ascii="Times New Roman" w:hAnsi="Times New Roman" w:cs="Times New Roman"/>
        </w:rPr>
      </w:pPr>
    </w:p>
    <w:p w:rsidR="00FD4EE5" w:rsidP="005825D2">
      <w:pPr>
        <w:bidi w:val="0"/>
        <w:spacing w:after="0" w:line="240" w:lineRule="auto"/>
        <w:jc w:val="center"/>
        <w:rPr>
          <w:rFonts w:ascii="Times New Roman" w:hAnsi="Times New Roman" w:cs="Times New Roman"/>
          <w:b/>
          <w:bCs/>
        </w:rPr>
      </w:pPr>
      <w:r w:rsidR="00136F85">
        <w:rPr>
          <w:rFonts w:ascii="Times New Roman" w:hAnsi="Times New Roman" w:cs="Times New Roman"/>
          <w:b/>
          <w:bCs/>
        </w:rPr>
        <w:t xml:space="preserve">§ </w:t>
      </w:r>
      <w:r w:rsidR="005825D2">
        <w:rPr>
          <w:rFonts w:ascii="Times New Roman" w:hAnsi="Times New Roman" w:cs="Times New Roman"/>
          <w:b/>
          <w:bCs/>
        </w:rPr>
        <w:t>4</w:t>
      </w:r>
    </w:p>
    <w:p w:rsidR="005825D2" w:rsidRPr="005724D5" w:rsidP="005825D2">
      <w:pPr>
        <w:bidi w:val="0"/>
        <w:spacing w:after="0" w:line="240" w:lineRule="auto"/>
        <w:jc w:val="center"/>
        <w:rPr>
          <w:rFonts w:ascii="Times New Roman" w:hAnsi="Times New Roman" w:cs="Times New Roman"/>
          <w:b/>
          <w:bCs/>
        </w:rPr>
      </w:pPr>
    </w:p>
    <w:p w:rsidR="006B08F1" w:rsidP="005825D2">
      <w:pPr>
        <w:bidi w:val="0"/>
        <w:spacing w:after="0" w:line="240" w:lineRule="auto"/>
        <w:jc w:val="center"/>
        <w:rPr>
          <w:rFonts w:ascii="Times New Roman" w:hAnsi="Times New Roman" w:cs="Times New Roman"/>
          <w:b/>
          <w:bCs/>
        </w:rPr>
      </w:pPr>
      <w:r w:rsidR="00953C0F">
        <w:rPr>
          <w:rFonts w:ascii="Times New Roman" w:hAnsi="Times New Roman" w:cs="Times New Roman"/>
          <w:b/>
          <w:bCs/>
        </w:rPr>
        <w:t>P</w:t>
      </w:r>
      <w:r w:rsidRPr="00136F85" w:rsidR="00136F85">
        <w:rPr>
          <w:rFonts w:ascii="Times New Roman" w:hAnsi="Times New Roman" w:cs="Times New Roman"/>
          <w:b/>
          <w:bCs/>
        </w:rPr>
        <w:t>reverovanie v prípade nových účtov fyzických osôb</w:t>
      </w:r>
      <w:r w:rsidRPr="00136F85">
        <w:rPr>
          <w:rFonts w:ascii="Times New Roman" w:hAnsi="Times New Roman" w:cs="Times New Roman"/>
          <w:b/>
          <w:bCs/>
        </w:rPr>
        <w:t xml:space="preserve"> </w:t>
      </w:r>
    </w:p>
    <w:p w:rsidR="005825D2" w:rsidRPr="00136F85" w:rsidP="005825D2">
      <w:pPr>
        <w:bidi w:val="0"/>
        <w:spacing w:after="0" w:line="240" w:lineRule="auto"/>
        <w:jc w:val="center"/>
        <w:rPr>
          <w:rFonts w:ascii="Times New Roman" w:hAnsi="Times New Roman" w:cs="Times New Roman"/>
          <w:b/>
          <w:bCs/>
        </w:rPr>
      </w:pPr>
    </w:p>
    <w:p w:rsidR="00136F85" w:rsidP="005825D2">
      <w:pPr>
        <w:pStyle w:val="ListParagraph"/>
        <w:numPr>
          <w:numId w:val="11"/>
        </w:numPr>
        <w:bidi w:val="0"/>
        <w:spacing w:after="0" w:line="240" w:lineRule="auto"/>
        <w:rPr>
          <w:rFonts w:ascii="Times New Roman" w:hAnsi="Times New Roman" w:cs="Times New Roman"/>
        </w:rPr>
      </w:pPr>
      <w:r w:rsidRPr="00136F85" w:rsidR="006B08F1">
        <w:rPr>
          <w:rFonts w:ascii="Times New Roman" w:hAnsi="Times New Roman" w:cs="Times New Roman"/>
        </w:rPr>
        <w:t xml:space="preserve">Na účely identifikovania účtov podliehajúcich oznamovaniu medzi novými účtami fyzických </w:t>
      </w:r>
      <w:r w:rsidRPr="00136F85" w:rsidR="00FD4EE5">
        <w:rPr>
          <w:rFonts w:ascii="Times New Roman" w:hAnsi="Times New Roman" w:cs="Times New Roman"/>
        </w:rPr>
        <w:t>osôb sa uplatňujú tieto postupy</w:t>
      </w:r>
      <w:r>
        <w:rPr>
          <w:rFonts w:ascii="Times New Roman" w:hAnsi="Times New Roman" w:cs="Times New Roman"/>
        </w:rPr>
        <w:t>:</w:t>
      </w:r>
    </w:p>
    <w:p w:rsidR="00136F85" w:rsidP="005825D2">
      <w:pPr>
        <w:pStyle w:val="ListParagraph"/>
        <w:numPr>
          <w:numId w:val="27"/>
        </w:numPr>
        <w:bidi w:val="0"/>
        <w:spacing w:after="0" w:line="240" w:lineRule="auto"/>
        <w:jc w:val="both"/>
        <w:rPr>
          <w:rFonts w:ascii="Times New Roman" w:hAnsi="Times New Roman" w:cs="Times New Roman"/>
        </w:rPr>
      </w:pPr>
      <w:r>
        <w:rPr>
          <w:rFonts w:ascii="Times New Roman" w:hAnsi="Times New Roman" w:cs="Times New Roman"/>
        </w:rPr>
        <w:t>p</w:t>
      </w:r>
      <w:r w:rsidRPr="00136F85" w:rsidR="006B08F1">
        <w:rPr>
          <w:rFonts w:ascii="Times New Roman" w:hAnsi="Times New Roman" w:cs="Times New Roman"/>
        </w:rPr>
        <w:t xml:space="preserve">okiaľ ide o </w:t>
      </w:r>
      <w:r w:rsidRPr="005825D2" w:rsidR="006B08F1">
        <w:rPr>
          <w:rFonts w:ascii="Times New Roman" w:hAnsi="Times New Roman" w:cs="Times New Roman"/>
        </w:rPr>
        <w:t>nové účty fyzických osôb</w:t>
      </w:r>
      <w:r w:rsidRPr="00136F85" w:rsidR="006B08F1">
        <w:rPr>
          <w:rFonts w:ascii="Times New Roman" w:hAnsi="Times New Roman" w:cs="Times New Roman"/>
        </w:rPr>
        <w:t xml:space="preserve">, oznamujúca finančná inštitúcia musí pri otvorení účtu získať </w:t>
      </w:r>
      <w:r w:rsidRPr="005825D2" w:rsidR="006B08F1">
        <w:rPr>
          <w:rFonts w:ascii="Times New Roman" w:hAnsi="Times New Roman" w:cs="Times New Roman"/>
        </w:rPr>
        <w:t>čestné vyhlásenie,</w:t>
      </w:r>
      <w:r w:rsidRPr="00136F85" w:rsidR="006B08F1">
        <w:rPr>
          <w:rFonts w:ascii="Times New Roman" w:hAnsi="Times New Roman" w:cs="Times New Roman"/>
        </w:rPr>
        <w:t xml:space="preserve"> ktoré môže byť súčasťou dokumentácie </w:t>
      </w:r>
      <w:r w:rsidRPr="00136F85" w:rsidR="00F85559">
        <w:rPr>
          <w:rFonts w:ascii="Times New Roman" w:hAnsi="Times New Roman" w:cs="Times New Roman"/>
        </w:rPr>
        <w:t>k založeniu</w:t>
      </w:r>
      <w:r w:rsidRPr="00136F85" w:rsidR="006B08F1">
        <w:rPr>
          <w:rFonts w:ascii="Times New Roman" w:hAnsi="Times New Roman" w:cs="Times New Roman"/>
        </w:rPr>
        <w:t xml:space="preserve"> účtu, ktoré oznamujúcej finančnej inštitúcii umožní stanoviť rezidenciu (rezidencie) držiteľa účtu na daňové účely a potvrdí primeranosť takéhoto čestného vyhlásenia založeného na informáciách, ktoré oznamujúca finančná inštitúcia získala v súvislosti s otvorením účtu, vrátane akejkoľvek dokumentácie z</w:t>
      </w:r>
      <w:r w:rsidRPr="00136F85" w:rsidR="00FA1297">
        <w:rPr>
          <w:rFonts w:ascii="Times New Roman" w:hAnsi="Times New Roman" w:cs="Times New Roman"/>
        </w:rPr>
        <w:t xml:space="preserve">ískanej </w:t>
      </w:r>
      <w:r w:rsidRPr="00136F85" w:rsidR="00F85559">
        <w:rPr>
          <w:rFonts w:ascii="Times New Roman" w:hAnsi="Times New Roman" w:cs="Times New Roman"/>
        </w:rPr>
        <w:t>v súlade s postupmi</w:t>
      </w:r>
      <w:r w:rsidRPr="00136F85" w:rsidR="006B08F1">
        <w:rPr>
          <w:rFonts w:ascii="Times New Roman" w:hAnsi="Times New Roman" w:cs="Times New Roman"/>
        </w:rPr>
        <w:t xml:space="preserve"> proti praniu špinavých peňazí a poznávania svojich</w:t>
      </w:r>
      <w:r>
        <w:rPr>
          <w:rFonts w:ascii="Times New Roman" w:hAnsi="Times New Roman" w:cs="Times New Roman"/>
        </w:rPr>
        <w:t xml:space="preserve"> klientov,</w:t>
      </w:r>
    </w:p>
    <w:p w:rsidR="00136F85" w:rsidP="005825D2">
      <w:pPr>
        <w:pStyle w:val="ListParagraph"/>
        <w:numPr>
          <w:numId w:val="27"/>
        </w:numPr>
        <w:bidi w:val="0"/>
        <w:spacing w:after="0" w:line="240" w:lineRule="auto"/>
        <w:jc w:val="both"/>
        <w:rPr>
          <w:rFonts w:ascii="Times New Roman" w:hAnsi="Times New Roman" w:cs="Times New Roman"/>
        </w:rPr>
      </w:pPr>
      <w:r>
        <w:rPr>
          <w:rFonts w:ascii="Times New Roman" w:hAnsi="Times New Roman" w:cs="Times New Roman"/>
        </w:rPr>
        <w:t>a</w:t>
      </w:r>
      <w:r w:rsidRPr="00136F85" w:rsidR="006B08F1">
        <w:rPr>
          <w:rFonts w:ascii="Times New Roman" w:hAnsi="Times New Roman" w:cs="Times New Roman"/>
        </w:rPr>
        <w:t xml:space="preserve">k sa na základe čestného vyhlásenia stanoví, že držiteľ účtu je na daňové účely rezidentom </w:t>
      </w:r>
      <w:r w:rsidRPr="00136F85" w:rsidR="00FA1297">
        <w:rPr>
          <w:rFonts w:ascii="Times New Roman" w:hAnsi="Times New Roman" w:cs="Times New Roman"/>
        </w:rPr>
        <w:t>zúčastňujúcej sa jurisdikcie</w:t>
      </w:r>
      <w:r w:rsidRPr="00136F85" w:rsidR="006B08F1">
        <w:rPr>
          <w:rFonts w:ascii="Times New Roman" w:hAnsi="Times New Roman" w:cs="Times New Roman"/>
        </w:rPr>
        <w:t>, oznamujúca finančná inštitúcia musí považovať účet za účet podliehajúci oznamovaniu a čestné vyhlásenie musí zahŕňať aj daňové identifikačné číslo držiteľa účtu týkajú</w:t>
      </w:r>
      <w:r w:rsidR="00CA2EB1">
        <w:rPr>
          <w:rFonts w:ascii="Times New Roman" w:hAnsi="Times New Roman" w:cs="Times New Roman"/>
        </w:rPr>
        <w:t xml:space="preserve">ce sa takéhoto členského štátu </w:t>
      </w:r>
      <w:r>
        <w:rPr>
          <w:rFonts w:ascii="Times New Roman" w:hAnsi="Times New Roman" w:cs="Times New Roman"/>
        </w:rPr>
        <w:t xml:space="preserve"> a dátum narodenia,</w:t>
      </w:r>
    </w:p>
    <w:p w:rsidR="006B08F1" w:rsidRPr="00136F85" w:rsidP="005825D2">
      <w:pPr>
        <w:pStyle w:val="ListParagraph"/>
        <w:numPr>
          <w:numId w:val="27"/>
        </w:numPr>
        <w:bidi w:val="0"/>
        <w:spacing w:after="0" w:line="240" w:lineRule="auto"/>
        <w:jc w:val="both"/>
        <w:rPr>
          <w:rFonts w:ascii="Times New Roman" w:hAnsi="Times New Roman" w:cs="Times New Roman"/>
        </w:rPr>
      </w:pPr>
      <w:r w:rsidR="00136F85">
        <w:rPr>
          <w:rFonts w:ascii="Times New Roman" w:hAnsi="Times New Roman" w:cs="Times New Roman"/>
        </w:rPr>
        <w:t>p</w:t>
      </w:r>
      <w:r w:rsidRPr="00136F85">
        <w:rPr>
          <w:rFonts w:ascii="Times New Roman" w:hAnsi="Times New Roman" w:cs="Times New Roman"/>
        </w:rPr>
        <w:t>okiaľ dôjde v súvislosti s novým účtom fyzickej osoby k zmene okolností, na základe ktorých oznamujúca finančná inštitúcia zistí alebo bude mať dôvod domnievať sa, že pôvodné čestné vyhlásenie je nesprávne alebo nespoľahlivé, oznamujúca finančná inštitúcia sa nemôže spoliehať na pôvodné čestné vyhlásenie a musí získať platné čestné vyhlásenie, na základe ktorého sa stanoví rezidencia (rezidencie) držiteľa účtu na daňové účely.</w:t>
      </w:r>
    </w:p>
    <w:p w:rsidR="006B08F1" w:rsidRPr="005724D5" w:rsidP="005825D2">
      <w:pPr>
        <w:bidi w:val="0"/>
        <w:spacing w:after="0" w:line="240" w:lineRule="auto"/>
        <w:rPr>
          <w:rFonts w:ascii="Times New Roman" w:hAnsi="Times New Roman" w:cs="Times New Roman"/>
        </w:rPr>
      </w:pPr>
      <w:r w:rsidRPr="005724D5">
        <w:rPr>
          <w:rFonts w:ascii="Times New Roman" w:hAnsi="Times New Roman" w:cs="Times New Roman"/>
        </w:rPr>
        <w:t xml:space="preserve"> </w:t>
      </w:r>
    </w:p>
    <w:p w:rsidR="00136F85" w:rsidP="00953C0F">
      <w:pPr>
        <w:bidi w:val="0"/>
        <w:spacing w:after="0" w:line="240" w:lineRule="auto"/>
        <w:rPr>
          <w:rFonts w:ascii="Times New Roman" w:hAnsi="Times New Roman" w:cs="Times New Roman"/>
          <w:b/>
          <w:bCs/>
        </w:rPr>
      </w:pPr>
    </w:p>
    <w:p w:rsidR="006B08F1" w:rsidP="005825D2">
      <w:pPr>
        <w:bidi w:val="0"/>
        <w:spacing w:after="0" w:line="240" w:lineRule="auto"/>
        <w:jc w:val="center"/>
        <w:rPr>
          <w:rFonts w:ascii="Times New Roman" w:hAnsi="Times New Roman" w:cs="Times New Roman"/>
          <w:b/>
          <w:bCs/>
        </w:rPr>
      </w:pPr>
      <w:r w:rsidR="005825D2">
        <w:rPr>
          <w:rFonts w:ascii="Times New Roman" w:hAnsi="Times New Roman" w:cs="Times New Roman"/>
          <w:b/>
          <w:bCs/>
        </w:rPr>
        <w:t>§ 5</w:t>
      </w:r>
    </w:p>
    <w:p w:rsidR="005825D2" w:rsidRPr="005724D5" w:rsidP="005825D2">
      <w:pPr>
        <w:bidi w:val="0"/>
        <w:spacing w:after="0" w:line="240" w:lineRule="auto"/>
        <w:jc w:val="center"/>
        <w:rPr>
          <w:rFonts w:ascii="Times New Roman" w:hAnsi="Times New Roman" w:cs="Times New Roman"/>
          <w:b/>
          <w:bCs/>
        </w:rPr>
      </w:pPr>
    </w:p>
    <w:p w:rsidR="006B08F1" w:rsidRPr="00136F85" w:rsidP="005825D2">
      <w:pPr>
        <w:bidi w:val="0"/>
        <w:spacing w:after="0" w:line="240" w:lineRule="auto"/>
        <w:jc w:val="center"/>
        <w:rPr>
          <w:rFonts w:ascii="Times New Roman" w:hAnsi="Times New Roman" w:cs="Times New Roman"/>
          <w:b/>
          <w:bCs/>
        </w:rPr>
      </w:pPr>
      <w:r w:rsidR="00953C0F">
        <w:rPr>
          <w:rFonts w:ascii="Times New Roman" w:hAnsi="Times New Roman" w:cs="Times New Roman"/>
          <w:b/>
          <w:bCs/>
        </w:rPr>
        <w:t>P</w:t>
      </w:r>
      <w:r w:rsidRPr="00136F85" w:rsidR="00136F85">
        <w:rPr>
          <w:rFonts w:ascii="Times New Roman" w:hAnsi="Times New Roman" w:cs="Times New Roman"/>
          <w:b/>
          <w:bCs/>
        </w:rPr>
        <w:t>reverovanie v prípade existujúcich účtov subjektov</w:t>
      </w:r>
    </w:p>
    <w:p w:rsidR="006B08F1" w:rsidRPr="005724D5" w:rsidP="005825D2">
      <w:pPr>
        <w:bidi w:val="0"/>
        <w:spacing w:after="0" w:line="240" w:lineRule="auto"/>
        <w:rPr>
          <w:rFonts w:ascii="Times New Roman" w:hAnsi="Times New Roman" w:cs="Times New Roman"/>
        </w:rPr>
      </w:pPr>
    </w:p>
    <w:p w:rsidR="00136F85" w:rsidP="005825D2">
      <w:pPr>
        <w:pStyle w:val="ListParagraph"/>
        <w:numPr>
          <w:numId w:val="13"/>
        </w:numPr>
        <w:bidi w:val="0"/>
        <w:spacing w:after="0" w:line="240" w:lineRule="auto"/>
        <w:rPr>
          <w:rFonts w:ascii="Times New Roman" w:hAnsi="Times New Roman" w:cs="Times New Roman"/>
        </w:rPr>
      </w:pPr>
      <w:r w:rsidRPr="00136F85" w:rsidR="006B08F1">
        <w:rPr>
          <w:rFonts w:ascii="Times New Roman" w:hAnsi="Times New Roman" w:cs="Times New Roman"/>
        </w:rPr>
        <w:t>Na účely identifikovania účtov podliehajúcich oznamovaniu medzi existujúcimi účtami subje</w:t>
      </w:r>
      <w:r w:rsidRPr="00136F85" w:rsidR="007C479B">
        <w:rPr>
          <w:rFonts w:ascii="Times New Roman" w:hAnsi="Times New Roman" w:cs="Times New Roman"/>
        </w:rPr>
        <w:t>ktov sa uplatňujú tieto postupy</w:t>
      </w:r>
      <w:r>
        <w:rPr>
          <w:rFonts w:ascii="Times New Roman" w:hAnsi="Times New Roman" w:cs="Times New Roman"/>
        </w:rPr>
        <w:t>:</w:t>
      </w:r>
    </w:p>
    <w:p w:rsidR="00136F85" w:rsidP="005825D2">
      <w:pPr>
        <w:pStyle w:val="ListParagraph"/>
        <w:numPr>
          <w:numId w:val="28"/>
        </w:numPr>
        <w:bidi w:val="0"/>
        <w:spacing w:after="0" w:line="240" w:lineRule="auto"/>
        <w:jc w:val="both"/>
        <w:rPr>
          <w:rFonts w:ascii="Times New Roman" w:hAnsi="Times New Roman" w:cs="Times New Roman"/>
        </w:rPr>
      </w:pPr>
      <w:r w:rsidR="00CA2EB1">
        <w:rPr>
          <w:rFonts w:ascii="Times New Roman" w:hAnsi="Times New Roman" w:cs="Times New Roman"/>
        </w:rPr>
        <w:t>p</w:t>
      </w:r>
      <w:r w:rsidRPr="00136F85" w:rsidR="006B08F1">
        <w:rPr>
          <w:rFonts w:ascii="Times New Roman" w:hAnsi="Times New Roman" w:cs="Times New Roman"/>
        </w:rPr>
        <w:t>okiaľ sa oznamujúca finančná inštitúcia nerozhodne inak, či už vo vzťahu k všetkým existujúcim účtom subjektov, alebo osobitne pre akúkoľvek jednoznačne identifikovanú skupinu takých účtov, existujúci účet subjektu s celkovým zostatkom alebo hodnotou, ktorá k 31. decembru 2015 nepresahuje sumu denominovanú v domácej mene každého členského štátu zodpovedajúcu sume 250 000 USD, sa nemusí preverovať, identifikovať ani oznamovať ako účet podliehajúci oznamovaniu, pokým celkový zostatok alebo hodnota k poslednému dňu ktoréhokoľvek nasledujúceho kalendárneh</w:t>
      </w:r>
      <w:r>
        <w:rPr>
          <w:rFonts w:ascii="Times New Roman" w:hAnsi="Times New Roman" w:cs="Times New Roman"/>
        </w:rPr>
        <w:t>o roka nepresiahne uvedenú sumu,</w:t>
      </w:r>
    </w:p>
    <w:p w:rsidR="00135174" w:rsidP="005825D2">
      <w:pPr>
        <w:pStyle w:val="ListParagraph"/>
        <w:numPr>
          <w:numId w:val="28"/>
        </w:numPr>
        <w:bidi w:val="0"/>
        <w:spacing w:after="0" w:line="240" w:lineRule="auto"/>
        <w:jc w:val="both"/>
        <w:rPr>
          <w:rFonts w:ascii="Times New Roman" w:hAnsi="Times New Roman" w:cs="Times New Roman"/>
        </w:rPr>
      </w:pPr>
      <w:r w:rsidR="00CA2EB1">
        <w:rPr>
          <w:rFonts w:ascii="Times New Roman" w:hAnsi="Times New Roman" w:cs="Times New Roman"/>
        </w:rPr>
        <w:t>e</w:t>
      </w:r>
      <w:r w:rsidRPr="00136F85" w:rsidR="006B08F1">
        <w:rPr>
          <w:rFonts w:ascii="Times New Roman" w:hAnsi="Times New Roman" w:cs="Times New Roman"/>
        </w:rPr>
        <w:t xml:space="preserve">xistujúci účet subjektu, ktorý má celkový zostatok alebo hodnotu presahujúcu k 31. decembru 2015 sumu denominovanú v domácej mene každého členského štátu zodpovedajúcu sume 250 000 USD, a existujúci účet subjektu, ktorý k 31. decembru 2015 nepresahuje uvedenú sumu, ale ktorého celkový zostatok alebo hodnota k poslednému dňu ktoréhokoľvek nasledujúceho kalendárneho roka presahuje takúto sumu, sa musí preveriť v súlade </w:t>
      </w:r>
      <w:r>
        <w:rPr>
          <w:rFonts w:ascii="Times New Roman" w:hAnsi="Times New Roman" w:cs="Times New Roman"/>
        </w:rPr>
        <w:t>s postupmi uvedenými v</w:t>
      </w:r>
      <w:r w:rsidR="00CA2EB1">
        <w:rPr>
          <w:rFonts w:ascii="Times New Roman" w:hAnsi="Times New Roman" w:cs="Times New Roman"/>
        </w:rPr>
        <w:t> písm. d)</w:t>
      </w:r>
      <w:r>
        <w:rPr>
          <w:rFonts w:ascii="Times New Roman" w:hAnsi="Times New Roman" w:cs="Times New Roman"/>
        </w:rPr>
        <w:t>,</w:t>
      </w:r>
    </w:p>
    <w:p w:rsidR="00135174" w:rsidP="005825D2">
      <w:pPr>
        <w:pStyle w:val="ListParagraph"/>
        <w:numPr>
          <w:numId w:val="28"/>
        </w:numPr>
        <w:bidi w:val="0"/>
        <w:spacing w:after="0" w:line="240" w:lineRule="auto"/>
        <w:jc w:val="both"/>
        <w:rPr>
          <w:rFonts w:ascii="Times New Roman" w:hAnsi="Times New Roman" w:cs="Times New Roman"/>
        </w:rPr>
      </w:pPr>
      <w:r w:rsidR="00CA2EB1">
        <w:rPr>
          <w:rFonts w:ascii="Times New Roman" w:hAnsi="Times New Roman" w:cs="Times New Roman"/>
        </w:rPr>
        <w:t>p</w:t>
      </w:r>
      <w:r w:rsidRPr="00135174" w:rsidR="006B08F1">
        <w:rPr>
          <w:rFonts w:ascii="Times New Roman" w:hAnsi="Times New Roman" w:cs="Times New Roman"/>
        </w:rPr>
        <w:t>okiaľ ide o existujúce účty subjektov stanovené v</w:t>
      </w:r>
      <w:r w:rsidR="00CA2EB1">
        <w:rPr>
          <w:rFonts w:ascii="Times New Roman" w:hAnsi="Times New Roman" w:cs="Times New Roman"/>
        </w:rPr>
        <w:t> písm. b)</w:t>
      </w:r>
      <w:r w:rsidRPr="00135174" w:rsidR="006B08F1">
        <w:rPr>
          <w:rFonts w:ascii="Times New Roman" w:hAnsi="Times New Roman" w:cs="Times New Roman"/>
        </w:rPr>
        <w:t>, za účty podliehajúce oznamovaniu sa považujú len také účty, ktorých držiteľom je jeden alebo viacero subjektov, ktoré sú osobami podliehajúcimi oznamovaniu, alebo pasívne nefinančné subjekty s jednou alebo viacerými ovládajúcimi osobami, ktoré sú osobami podliehajúcim</w:t>
      </w:r>
      <w:r>
        <w:rPr>
          <w:rFonts w:ascii="Times New Roman" w:hAnsi="Times New Roman" w:cs="Times New Roman"/>
        </w:rPr>
        <w:t>i oznamovaniu,</w:t>
      </w:r>
    </w:p>
    <w:p w:rsidR="007C479B" w:rsidRPr="00135174" w:rsidP="005825D2">
      <w:pPr>
        <w:pStyle w:val="ListParagraph"/>
        <w:numPr>
          <w:numId w:val="28"/>
        </w:numPr>
        <w:bidi w:val="0"/>
        <w:spacing w:after="0" w:line="240" w:lineRule="auto"/>
        <w:jc w:val="both"/>
        <w:rPr>
          <w:rFonts w:ascii="Times New Roman" w:hAnsi="Times New Roman" w:cs="Times New Roman"/>
        </w:rPr>
      </w:pPr>
      <w:r w:rsidR="00135174">
        <w:rPr>
          <w:rFonts w:ascii="Times New Roman" w:hAnsi="Times New Roman" w:cs="Times New Roman"/>
        </w:rPr>
        <w:t>p</w:t>
      </w:r>
      <w:r w:rsidRPr="00135174" w:rsidR="006B08F1">
        <w:rPr>
          <w:rFonts w:ascii="Times New Roman" w:hAnsi="Times New Roman" w:cs="Times New Roman"/>
        </w:rPr>
        <w:t>ostupy preverovania na identifikovanie účtov subjektov, v súvislosti s ktorými sa vyžaduje oznamovanie. V prípade existujúcich účtov subjektov stanovených v</w:t>
      </w:r>
      <w:r w:rsidR="00CA2EB1">
        <w:rPr>
          <w:rFonts w:ascii="Times New Roman" w:hAnsi="Times New Roman" w:cs="Times New Roman"/>
        </w:rPr>
        <w:t> písm. b)</w:t>
      </w:r>
      <w:r w:rsidRPr="00135174" w:rsidR="006B08F1">
        <w:rPr>
          <w:rFonts w:ascii="Times New Roman" w:hAnsi="Times New Roman" w:cs="Times New Roman"/>
        </w:rPr>
        <w:t xml:space="preserve"> musí oznamujúca finančná inštitúcia uplatniť nasledujúce postupy preverovania, aby stanovila, či je držiteľom účtu jedna alebo viacero osôb podliehajúcich oznamovaniu, alebo pasívne nefinančné subjekty s jednou alebo viacerými ovládajúcimi osobami, ktoré sú osobami podliehajúcimi oznamovaniu:</w:t>
      </w:r>
    </w:p>
    <w:p w:rsidR="007C479B" w:rsidRPr="005724D5" w:rsidP="00372897">
      <w:pPr>
        <w:pStyle w:val="ListParagraph"/>
        <w:numPr>
          <w:numId w:val="16"/>
        </w:numPr>
        <w:bidi w:val="0"/>
        <w:spacing w:after="0" w:line="240" w:lineRule="auto"/>
        <w:rPr>
          <w:rFonts w:ascii="Times New Roman" w:hAnsi="Times New Roman" w:cs="Times New Roman"/>
        </w:rPr>
      </w:pPr>
      <w:r w:rsidRPr="005724D5">
        <w:rPr>
          <w:rFonts w:ascii="Times New Roman" w:hAnsi="Times New Roman" w:cs="Times New Roman"/>
        </w:rPr>
        <w:t>s</w:t>
      </w:r>
      <w:r w:rsidRPr="005724D5" w:rsidR="006B08F1">
        <w:rPr>
          <w:rFonts w:ascii="Times New Roman" w:hAnsi="Times New Roman" w:cs="Times New Roman"/>
        </w:rPr>
        <w:t>tanoviť, či je subjekt</w:t>
      </w:r>
      <w:r w:rsidRPr="005724D5">
        <w:rPr>
          <w:rFonts w:ascii="Times New Roman" w:hAnsi="Times New Roman" w:cs="Times New Roman"/>
        </w:rPr>
        <w:t xml:space="preserve"> osoba podliehajúca oznamovaniu:</w:t>
      </w:r>
    </w:p>
    <w:p w:rsidR="00372897" w:rsidP="00372897">
      <w:pPr>
        <w:pStyle w:val="ListParagraph"/>
        <w:bidi w:val="0"/>
        <w:spacing w:after="0" w:line="240" w:lineRule="auto"/>
        <w:ind w:left="2124" w:hanging="684"/>
        <w:rPr>
          <w:rFonts w:ascii="Times New Roman" w:hAnsi="Times New Roman" w:cs="Times New Roman"/>
        </w:rPr>
      </w:pPr>
      <w:r>
        <w:rPr>
          <w:rFonts w:ascii="Times New Roman" w:hAnsi="Times New Roman" w:cs="Times New Roman"/>
        </w:rPr>
        <w:t>1a.</w:t>
        <w:tab/>
      </w:r>
      <w:r w:rsidRPr="005724D5" w:rsidR="006B08F1">
        <w:rPr>
          <w:rFonts w:ascii="Times New Roman" w:hAnsi="Times New Roman" w:cs="Times New Roman"/>
        </w:rPr>
        <w:t>Preskúmať informácie uchovávané na regulačné účely alebo na účely vzťahov s klientom (vrátane informácií zozbieraných podľa postupov proti praniu špinavých peňazí a poznávania svojich klientov) s cieľom stanoviť, či tieto informácie naznačujú, že držiteľ účtu je rezidentom členského štátu. Na tento účel informácie, ktoré naznačujú, že držiteľ účtu je rezidentom členského štátu, zahŕňajú miesto registrácie alebo zriadeni</w:t>
      </w:r>
      <w:r>
        <w:rPr>
          <w:rFonts w:ascii="Times New Roman" w:hAnsi="Times New Roman" w:cs="Times New Roman"/>
        </w:rPr>
        <w:t>a alebo adresu v členskom štáte,</w:t>
      </w:r>
    </w:p>
    <w:p w:rsidR="007C479B" w:rsidRPr="00372897" w:rsidP="00372897">
      <w:pPr>
        <w:pStyle w:val="ListParagraph"/>
        <w:bidi w:val="0"/>
        <w:spacing w:after="0" w:line="240" w:lineRule="auto"/>
        <w:ind w:left="2124" w:hanging="684"/>
        <w:rPr>
          <w:rFonts w:ascii="Times New Roman" w:hAnsi="Times New Roman" w:cs="Times New Roman"/>
        </w:rPr>
      </w:pPr>
      <w:r w:rsidR="00372897">
        <w:rPr>
          <w:rFonts w:ascii="Times New Roman" w:hAnsi="Times New Roman" w:cs="Times New Roman"/>
        </w:rPr>
        <w:t>2a.</w:t>
        <w:tab/>
      </w:r>
      <w:r w:rsidRPr="00372897" w:rsidR="00372897">
        <w:rPr>
          <w:rFonts w:ascii="Times New Roman" w:hAnsi="Times New Roman" w:cs="Times New Roman"/>
        </w:rPr>
        <w:t>a</w:t>
      </w:r>
      <w:r w:rsidRPr="00372897" w:rsidR="006B08F1">
        <w:rPr>
          <w:rFonts w:ascii="Times New Roman" w:hAnsi="Times New Roman" w:cs="Times New Roman"/>
        </w:rPr>
        <w:t>k informácie naznačujú, že držiteľ účtu je rezidentom členského štátu, oznamujúca finančná inštitúcia musí považovať účet za účet podliehajúci oznamovaniu, pokiaľ nezíska čestné vyhlásenie od držiteľa účtu alebo na základe informácií, ktoré má alebo ktoré sú verejne dostupné, opodstatnene nestanoví, že držiteľ účtu nie je</w:t>
      </w:r>
      <w:r w:rsidRPr="00372897" w:rsidR="00372897">
        <w:rPr>
          <w:rFonts w:ascii="Times New Roman" w:hAnsi="Times New Roman" w:cs="Times New Roman"/>
        </w:rPr>
        <w:t xml:space="preserve"> osoba podliehajúca oznamovaniu,</w:t>
      </w:r>
    </w:p>
    <w:p w:rsidR="007C479B" w:rsidRPr="005724D5" w:rsidP="00372897">
      <w:pPr>
        <w:pStyle w:val="ListParagraph"/>
        <w:numPr>
          <w:numId w:val="16"/>
        </w:numPr>
        <w:bidi w:val="0"/>
        <w:spacing w:after="0" w:line="240" w:lineRule="auto"/>
        <w:rPr>
          <w:rFonts w:ascii="Times New Roman" w:hAnsi="Times New Roman" w:cs="Times New Roman"/>
        </w:rPr>
      </w:pPr>
      <w:r w:rsidR="00372897">
        <w:rPr>
          <w:rFonts w:ascii="Times New Roman" w:hAnsi="Times New Roman" w:cs="Times New Roman"/>
        </w:rPr>
        <w:t>s</w:t>
      </w:r>
      <w:r w:rsidRPr="005724D5" w:rsidR="006B08F1">
        <w:rPr>
          <w:rFonts w:ascii="Times New Roman" w:hAnsi="Times New Roman" w:cs="Times New Roman"/>
        </w:rPr>
        <w:t>tanoviť, či je subjekt pasívnym nefinančným subjektom s jednou alebo viacerými ovládajúcimi osobami, ktoré sú osob</w:t>
      </w:r>
      <w:r w:rsidR="00372897">
        <w:rPr>
          <w:rFonts w:ascii="Times New Roman" w:hAnsi="Times New Roman" w:cs="Times New Roman"/>
        </w:rPr>
        <w:t xml:space="preserve">ami podliehajúcimi oznamovaniu. </w:t>
      </w:r>
      <w:r w:rsidRPr="005724D5" w:rsidR="006B08F1">
        <w:rPr>
          <w:rFonts w:ascii="Times New Roman" w:hAnsi="Times New Roman" w:cs="Times New Roman"/>
        </w:rPr>
        <w:t>Pokiaľ ide o držiteľa existujúceho účtu subjektu (vrátane subjektu, ktorý je osobou podliehajúcou oznamovaniu), oznamujúca finančná inštitúcia musí stanoviť, či je držiteľ účtu pasívny nefinančný subjekt s jednou alebo viacerými ovládajúcimi osobami, ktoré sú osobami podliehajúcimi oznamovaniu. Ak je ktorákoľvek z osôb ovládajúcich pasívny nefinančný subjekt osobou podliehajúcou oznamovaniu, potom sa účet musí považovať za účet podliehajúci oznamovaniu. Pri stanovení týchto skutočností musí oznamujúca finančná inštitúcia dodržiavať usmernenie uvedené v</w:t>
      </w:r>
      <w:r w:rsidR="00CA2EB1">
        <w:rPr>
          <w:rFonts w:ascii="Times New Roman" w:hAnsi="Times New Roman" w:cs="Times New Roman"/>
        </w:rPr>
        <w:t> bodoch 1a. až 3a.</w:t>
      </w:r>
      <w:r w:rsidRPr="005724D5" w:rsidR="006B08F1">
        <w:rPr>
          <w:rFonts w:ascii="Times New Roman" w:hAnsi="Times New Roman" w:cs="Times New Roman"/>
        </w:rPr>
        <w:t>, a to v poradí, ktoré je za daných okolností najprimeranejšie.</w:t>
      </w:r>
    </w:p>
    <w:p w:rsidR="00372897" w:rsidP="00372897">
      <w:pPr>
        <w:pStyle w:val="ListParagraph"/>
        <w:bidi w:val="0"/>
        <w:spacing w:after="0" w:line="240" w:lineRule="auto"/>
        <w:ind w:left="2124" w:hanging="684"/>
        <w:rPr>
          <w:rFonts w:ascii="Times New Roman" w:hAnsi="Times New Roman" w:cs="Times New Roman"/>
        </w:rPr>
      </w:pPr>
      <w:r>
        <w:rPr>
          <w:rFonts w:ascii="Times New Roman" w:hAnsi="Times New Roman" w:cs="Times New Roman"/>
        </w:rPr>
        <w:t>1a.</w:t>
        <w:tab/>
        <w:t>s</w:t>
      </w:r>
      <w:r w:rsidRPr="005724D5" w:rsidR="006B08F1">
        <w:rPr>
          <w:rFonts w:ascii="Times New Roman" w:hAnsi="Times New Roman" w:cs="Times New Roman"/>
        </w:rPr>
        <w:t xml:space="preserve">tanovenie toho, či je držiteľ účtu pasívny nefinančný subjekt. Na účely stanovenia toho, či je držiteľ účtu pasívny nefinančný subjekt, musí oznamujúca finančná inštitúcia od držiteľa účtu získať čestné vyhlásenie, aby určila jeho status, pokiaľ nemá informácie alebo nemá verejne dostupné informácie, na základe ktorých môže opodstatnene stanoviť, že držiteľ účtu je aktívny nefinančný subjekt alebo iná finančná inštitúcia než investičný subjekt stanovený v </w:t>
      </w:r>
      <w:r w:rsidR="00CA2EB1">
        <w:rPr>
          <w:rFonts w:ascii="Times New Roman" w:hAnsi="Times New Roman" w:cs="Times New Roman"/>
        </w:rPr>
        <w:t>§ 3 ods. 2 písm. c) bod 2. zákona</w:t>
      </w:r>
      <w:r w:rsidRPr="005724D5" w:rsidR="006B08F1">
        <w:rPr>
          <w:rFonts w:ascii="Times New Roman" w:hAnsi="Times New Roman" w:cs="Times New Roman"/>
        </w:rPr>
        <w:t xml:space="preserve">, ktorý nie je finančnou inštitúciou </w:t>
      </w:r>
      <w:r>
        <w:rPr>
          <w:rFonts w:ascii="Times New Roman" w:hAnsi="Times New Roman" w:cs="Times New Roman"/>
        </w:rPr>
        <w:t>zo zúčastňujúcej sa jurisdikcie,</w:t>
      </w:r>
    </w:p>
    <w:p w:rsidR="00F02FEC" w:rsidP="00F02FEC">
      <w:pPr>
        <w:pStyle w:val="ListParagraph"/>
        <w:bidi w:val="0"/>
        <w:spacing w:after="0" w:line="240" w:lineRule="auto"/>
        <w:ind w:left="2124" w:hanging="684"/>
        <w:rPr>
          <w:rFonts w:ascii="Times New Roman" w:hAnsi="Times New Roman" w:cs="Times New Roman"/>
        </w:rPr>
      </w:pPr>
      <w:r w:rsidR="00372897">
        <w:rPr>
          <w:rFonts w:ascii="Times New Roman" w:hAnsi="Times New Roman" w:cs="Times New Roman"/>
        </w:rPr>
        <w:t>2a.</w:t>
        <w:tab/>
        <w:t>s</w:t>
      </w:r>
      <w:r w:rsidRPr="00372897" w:rsidR="006B08F1">
        <w:rPr>
          <w:rFonts w:ascii="Times New Roman" w:hAnsi="Times New Roman" w:cs="Times New Roman"/>
        </w:rPr>
        <w:t>tanovenie osôb ovládajúcich držiteľa účtu. Na účely stanovenia osôb ovládajúcich držiteľa účtu sa oznamujúca finančná inštitúcia môže spoliehať na informácie zozbierané a uchovávané podľa postupov proti praniu špinavých peňaz</w:t>
      </w:r>
      <w:r>
        <w:rPr>
          <w:rFonts w:ascii="Times New Roman" w:hAnsi="Times New Roman" w:cs="Times New Roman"/>
        </w:rPr>
        <w:t>í a poznávania svojich klientov,</w:t>
      </w:r>
    </w:p>
    <w:p w:rsidR="007C479B" w:rsidRPr="00F02FEC" w:rsidP="00F02FEC">
      <w:pPr>
        <w:pStyle w:val="ListParagraph"/>
        <w:bidi w:val="0"/>
        <w:spacing w:after="0" w:line="240" w:lineRule="auto"/>
        <w:ind w:left="2124" w:hanging="684"/>
        <w:rPr>
          <w:rFonts w:ascii="Times New Roman" w:hAnsi="Times New Roman" w:cs="Times New Roman"/>
        </w:rPr>
      </w:pPr>
      <w:r w:rsidR="00F02FEC">
        <w:rPr>
          <w:rFonts w:ascii="Times New Roman" w:hAnsi="Times New Roman" w:cs="Times New Roman"/>
        </w:rPr>
        <w:t>3a.</w:t>
        <w:tab/>
        <w:t>s</w:t>
      </w:r>
      <w:r w:rsidRPr="00F02FEC" w:rsidR="006B08F1">
        <w:rPr>
          <w:rFonts w:ascii="Times New Roman" w:hAnsi="Times New Roman" w:cs="Times New Roman"/>
        </w:rPr>
        <w:t>tanovenie toho, či je osoba ovládajúca pasívny nefinančný subjekt osobou podliehajúcou oznamovaniu. Na účely stanovenia toho, či je osoba ovládajúca pasívny nefinančný subjekt osobou podliehajúcou oznamovaniu, sa oznamujúca finančná inštitúcia môže spoliehať na:</w:t>
      </w:r>
    </w:p>
    <w:p w:rsidR="007C479B" w:rsidRPr="005724D5" w:rsidP="00F02FEC">
      <w:pPr>
        <w:pStyle w:val="ListParagraph"/>
        <w:bidi w:val="0"/>
        <w:spacing w:after="0" w:line="240" w:lineRule="auto"/>
        <w:ind w:left="2124"/>
        <w:rPr>
          <w:rFonts w:ascii="Times New Roman" w:hAnsi="Times New Roman" w:cs="Times New Roman"/>
        </w:rPr>
      </w:pPr>
      <w:r w:rsidR="00F02FEC">
        <w:rPr>
          <w:rFonts w:ascii="Times New Roman" w:hAnsi="Times New Roman" w:cs="Times New Roman"/>
        </w:rPr>
        <w:t>1aa.</w:t>
        <w:tab/>
      </w:r>
      <w:r w:rsidRPr="005724D5" w:rsidR="006B08F1">
        <w:rPr>
          <w:rFonts w:ascii="Times New Roman" w:hAnsi="Times New Roman" w:cs="Times New Roman"/>
        </w:rPr>
        <w:t>informácie zozbierané a uchovávané podľa postupov proti praniu špinavých peňazí a poznávania svojich klientov v prípade existujúceho účtu subjektu, ktorého držiteľom je jeden alebo viacero nefinančných subjektov, s celkovým zostatkom alebo hodnotou, ktorá nepresahuje sumu denominovanú v domácej mene každého členského štátu zodpovedajúcu sume 1 000 000 USD, alebo</w:t>
      </w:r>
    </w:p>
    <w:p w:rsidR="007C479B" w:rsidP="00F02FEC">
      <w:pPr>
        <w:pStyle w:val="ListParagraph"/>
        <w:bidi w:val="0"/>
        <w:spacing w:after="0" w:line="240" w:lineRule="auto"/>
        <w:ind w:left="2124"/>
        <w:rPr>
          <w:rFonts w:ascii="Times New Roman" w:hAnsi="Times New Roman" w:cs="Times New Roman"/>
        </w:rPr>
      </w:pPr>
      <w:r w:rsidR="00F02FEC">
        <w:rPr>
          <w:rFonts w:ascii="Times New Roman" w:hAnsi="Times New Roman" w:cs="Times New Roman"/>
        </w:rPr>
        <w:t>2aa</w:t>
      </w:r>
      <w:r w:rsidRPr="005724D5">
        <w:rPr>
          <w:rFonts w:ascii="Times New Roman" w:hAnsi="Times New Roman" w:cs="Times New Roman"/>
        </w:rPr>
        <w:t>.</w:t>
        <w:tab/>
      </w:r>
      <w:r w:rsidRPr="005724D5" w:rsidR="006B08F1">
        <w:rPr>
          <w:rFonts w:ascii="Times New Roman" w:hAnsi="Times New Roman" w:cs="Times New Roman"/>
        </w:rPr>
        <w:t>čestné vyhlásenie od držiteľa účtu alebo takej ovládajúcej osoby o členskom štáte (členských štátoch) alebo inej jurisdikcii (jurisdikciách), v ktorej je ovládajúca o</w:t>
      </w:r>
      <w:r w:rsidR="00F02FEC">
        <w:rPr>
          <w:rFonts w:ascii="Times New Roman" w:hAnsi="Times New Roman" w:cs="Times New Roman"/>
        </w:rPr>
        <w:t>soba rezidentom na daňové účely.</w:t>
      </w:r>
    </w:p>
    <w:p w:rsidR="00F02FEC" w:rsidRPr="005724D5" w:rsidP="00F02FEC">
      <w:pPr>
        <w:pStyle w:val="ListParagraph"/>
        <w:bidi w:val="0"/>
        <w:spacing w:after="0" w:line="240" w:lineRule="auto"/>
        <w:ind w:left="2124"/>
        <w:rPr>
          <w:rFonts w:ascii="Times New Roman" w:hAnsi="Times New Roman" w:cs="Times New Roman"/>
        </w:rPr>
      </w:pPr>
    </w:p>
    <w:p w:rsidR="007C479B" w:rsidRPr="00F02FEC" w:rsidP="00F02FEC">
      <w:pPr>
        <w:pStyle w:val="ListParagraph"/>
        <w:numPr>
          <w:numId w:val="13"/>
        </w:numPr>
        <w:bidi w:val="0"/>
        <w:spacing w:after="0" w:line="240" w:lineRule="auto"/>
        <w:rPr>
          <w:rFonts w:ascii="Times New Roman" w:hAnsi="Times New Roman" w:cs="Times New Roman"/>
        </w:rPr>
      </w:pPr>
      <w:r w:rsidR="00F02FEC">
        <w:rPr>
          <w:rFonts w:ascii="Times New Roman" w:hAnsi="Times New Roman" w:cs="Times New Roman"/>
        </w:rPr>
        <w:t>N</w:t>
      </w:r>
      <w:r w:rsidRPr="00F02FEC" w:rsidR="006B08F1">
        <w:rPr>
          <w:rFonts w:ascii="Times New Roman" w:hAnsi="Times New Roman" w:cs="Times New Roman"/>
        </w:rPr>
        <w:t>ačasovanie preverovania a dodatočných postupov uplatniteľný</w:t>
      </w:r>
      <w:r w:rsidR="00F02FEC">
        <w:rPr>
          <w:rFonts w:ascii="Times New Roman" w:hAnsi="Times New Roman" w:cs="Times New Roman"/>
        </w:rPr>
        <w:t>ch na existujúce účty subjektov:</w:t>
      </w:r>
    </w:p>
    <w:p w:rsidR="007C479B" w:rsidRPr="005724D5" w:rsidP="005825D2">
      <w:pPr>
        <w:pStyle w:val="ListParagraph"/>
        <w:numPr>
          <w:numId w:val="18"/>
        </w:numPr>
        <w:bidi w:val="0"/>
        <w:spacing w:after="0" w:line="240" w:lineRule="auto"/>
        <w:rPr>
          <w:rFonts w:ascii="Times New Roman" w:hAnsi="Times New Roman" w:cs="Times New Roman"/>
        </w:rPr>
      </w:pPr>
      <w:r w:rsidR="00F02FEC">
        <w:rPr>
          <w:rFonts w:ascii="Times New Roman" w:hAnsi="Times New Roman" w:cs="Times New Roman"/>
        </w:rPr>
        <w:t>p</w:t>
      </w:r>
      <w:r w:rsidRPr="005724D5" w:rsidR="006B08F1">
        <w:rPr>
          <w:rFonts w:ascii="Times New Roman" w:hAnsi="Times New Roman" w:cs="Times New Roman"/>
        </w:rPr>
        <w:t>reverovanie existujúcich účtov subjektov s celkovým zostatkom alebo hodnotou, ktorá k 31. decembru 2015 presahuje sumu denominovanú v domácej mene každého členského štátu zodpovedajúcu sume 250 000 USD, sa mus</w:t>
      </w:r>
      <w:r w:rsidR="00F02FEC">
        <w:rPr>
          <w:rFonts w:ascii="Times New Roman" w:hAnsi="Times New Roman" w:cs="Times New Roman"/>
        </w:rPr>
        <w:t>í dokončiť do 31. decembra 2017,</w:t>
      </w:r>
    </w:p>
    <w:p w:rsidR="007C479B" w:rsidRPr="005724D5" w:rsidP="005825D2">
      <w:pPr>
        <w:pStyle w:val="ListParagraph"/>
        <w:numPr>
          <w:numId w:val="18"/>
        </w:numPr>
        <w:bidi w:val="0"/>
        <w:spacing w:after="0" w:line="240" w:lineRule="auto"/>
        <w:rPr>
          <w:rFonts w:ascii="Times New Roman" w:hAnsi="Times New Roman" w:cs="Times New Roman"/>
        </w:rPr>
      </w:pPr>
      <w:r w:rsidR="00F02FEC">
        <w:rPr>
          <w:rFonts w:ascii="Times New Roman" w:hAnsi="Times New Roman" w:cs="Times New Roman"/>
        </w:rPr>
        <w:t>p</w:t>
      </w:r>
      <w:r w:rsidRPr="005724D5" w:rsidR="006B08F1">
        <w:rPr>
          <w:rFonts w:ascii="Times New Roman" w:hAnsi="Times New Roman" w:cs="Times New Roman"/>
        </w:rPr>
        <w:t>reverovanie existujúcich účtov subjektov s celkovým zostatkom alebo hodnotou, ktorá k 31. decembru 2015 nepresahuje sumu denominovanú v domácej mene každého členského štátu zodpovedajúcu sume 250 000 USD, ale uvedenú sumu presahuje k 31. decembru nasledujúceho roka, sa musí dokončiť v rámci kalendárneho roka nasledujúceho po roku, v ktorom celkový zostatok na účte alebo hod</w:t>
      </w:r>
      <w:r w:rsidR="00F02FEC">
        <w:rPr>
          <w:rFonts w:ascii="Times New Roman" w:hAnsi="Times New Roman" w:cs="Times New Roman"/>
        </w:rPr>
        <w:t>nota účtu presiahli takúto sumu,</w:t>
      </w:r>
    </w:p>
    <w:p w:rsidR="006B08F1" w:rsidRPr="005724D5" w:rsidP="005825D2">
      <w:pPr>
        <w:pStyle w:val="ListParagraph"/>
        <w:numPr>
          <w:numId w:val="18"/>
        </w:numPr>
        <w:bidi w:val="0"/>
        <w:spacing w:after="0" w:line="240" w:lineRule="auto"/>
        <w:rPr>
          <w:rFonts w:ascii="Times New Roman" w:hAnsi="Times New Roman" w:cs="Times New Roman"/>
        </w:rPr>
      </w:pPr>
      <w:r w:rsidR="00F02FEC">
        <w:rPr>
          <w:rFonts w:ascii="Times New Roman" w:hAnsi="Times New Roman" w:cs="Times New Roman"/>
        </w:rPr>
        <w:t>a</w:t>
      </w:r>
      <w:r w:rsidRPr="005724D5">
        <w:rPr>
          <w:rFonts w:ascii="Times New Roman" w:hAnsi="Times New Roman" w:cs="Times New Roman"/>
        </w:rPr>
        <w:t>k dôjde v súvislosti s existujúcim účtom subjektu k zmene okolností, na základe ktorých oznamujúca finančná inštitúcia zistí alebo má dôvod sa domnievať, že čestné vyhlásenie alebo iná dokumentácia súvisiaca s účtom sú nesprávne alebo nespoľahlivé, musí oznamujúca finančná inštitúcia opätovne stanoviť status účtu v súlade s postupmi uvedenými v</w:t>
      </w:r>
      <w:r w:rsidR="00CA2EB1">
        <w:rPr>
          <w:rFonts w:ascii="Times New Roman" w:hAnsi="Times New Roman" w:cs="Times New Roman"/>
        </w:rPr>
        <w:t> ods. 1. písm. d)</w:t>
      </w:r>
      <w:r w:rsidRPr="005724D5">
        <w:rPr>
          <w:rFonts w:ascii="Times New Roman" w:hAnsi="Times New Roman" w:cs="Times New Roman"/>
        </w:rPr>
        <w:t>.</w:t>
      </w:r>
    </w:p>
    <w:p w:rsidR="007C479B" w:rsidRPr="005724D5" w:rsidP="005825D2">
      <w:pPr>
        <w:bidi w:val="0"/>
        <w:spacing w:after="0" w:line="240" w:lineRule="auto"/>
        <w:rPr>
          <w:rFonts w:ascii="Times New Roman" w:hAnsi="Times New Roman" w:cs="Times New Roman"/>
        </w:rPr>
      </w:pPr>
    </w:p>
    <w:p w:rsidR="006B08F1" w:rsidP="005825D2">
      <w:pPr>
        <w:bidi w:val="0"/>
        <w:spacing w:after="0" w:line="240" w:lineRule="auto"/>
        <w:jc w:val="center"/>
        <w:rPr>
          <w:rFonts w:ascii="Times New Roman" w:hAnsi="Times New Roman" w:cs="Times New Roman"/>
          <w:b/>
          <w:bCs/>
        </w:rPr>
      </w:pPr>
      <w:r w:rsidR="005825D2">
        <w:rPr>
          <w:rFonts w:ascii="Times New Roman" w:hAnsi="Times New Roman" w:cs="Times New Roman"/>
          <w:b/>
          <w:bCs/>
        </w:rPr>
        <w:t>§</w:t>
      </w:r>
      <w:r w:rsidRPr="005724D5" w:rsidR="007C479B">
        <w:rPr>
          <w:rFonts w:ascii="Times New Roman" w:hAnsi="Times New Roman" w:cs="Times New Roman"/>
          <w:b/>
          <w:bCs/>
        </w:rPr>
        <w:t xml:space="preserve"> 6</w:t>
      </w:r>
    </w:p>
    <w:p w:rsidR="005825D2" w:rsidRPr="005724D5" w:rsidP="005825D2">
      <w:pPr>
        <w:bidi w:val="0"/>
        <w:spacing w:after="0" w:line="240" w:lineRule="auto"/>
        <w:jc w:val="center"/>
        <w:rPr>
          <w:rFonts w:ascii="Times New Roman" w:hAnsi="Times New Roman" w:cs="Times New Roman"/>
          <w:b/>
          <w:bCs/>
        </w:rPr>
      </w:pPr>
    </w:p>
    <w:p w:rsidR="006B08F1" w:rsidRPr="00953C0F" w:rsidP="005825D2">
      <w:pPr>
        <w:bidi w:val="0"/>
        <w:spacing w:after="0" w:line="240" w:lineRule="auto"/>
        <w:jc w:val="center"/>
        <w:rPr>
          <w:rFonts w:ascii="Times New Roman" w:hAnsi="Times New Roman" w:cs="Times New Roman"/>
          <w:b/>
          <w:bCs/>
        </w:rPr>
      </w:pPr>
      <w:r w:rsidRPr="00953C0F">
        <w:rPr>
          <w:rFonts w:ascii="Times New Roman" w:hAnsi="Times New Roman" w:cs="Times New Roman"/>
          <w:b/>
          <w:bCs/>
        </w:rPr>
        <w:t>P</w:t>
      </w:r>
      <w:r w:rsidRPr="00953C0F" w:rsidR="00953C0F">
        <w:rPr>
          <w:rFonts w:ascii="Times New Roman" w:hAnsi="Times New Roman" w:cs="Times New Roman"/>
          <w:b/>
          <w:bCs/>
        </w:rPr>
        <w:t>reverovanie v prípade nových účtov subjektov</w:t>
      </w:r>
      <w:r w:rsidRPr="00953C0F">
        <w:rPr>
          <w:rFonts w:ascii="Times New Roman" w:hAnsi="Times New Roman" w:cs="Times New Roman"/>
          <w:b/>
          <w:bCs/>
        </w:rPr>
        <w:t xml:space="preserve"> </w:t>
      </w:r>
    </w:p>
    <w:p w:rsidR="006B08F1" w:rsidRPr="005724D5" w:rsidP="005825D2">
      <w:pPr>
        <w:bidi w:val="0"/>
        <w:spacing w:after="0" w:line="240" w:lineRule="auto"/>
        <w:rPr>
          <w:rFonts w:ascii="Times New Roman" w:hAnsi="Times New Roman" w:cs="Times New Roman"/>
        </w:rPr>
      </w:pPr>
    </w:p>
    <w:p w:rsidR="00953C0F" w:rsidP="005825D2">
      <w:pPr>
        <w:pStyle w:val="ListParagraph"/>
        <w:numPr>
          <w:numId w:val="29"/>
        </w:numPr>
        <w:bidi w:val="0"/>
        <w:spacing w:after="0" w:line="240" w:lineRule="auto"/>
        <w:rPr>
          <w:rFonts w:ascii="Times New Roman" w:hAnsi="Times New Roman" w:cs="Times New Roman"/>
        </w:rPr>
      </w:pPr>
      <w:r w:rsidRPr="005825D2" w:rsidR="006B08F1">
        <w:rPr>
          <w:rFonts w:ascii="Times New Roman" w:hAnsi="Times New Roman" w:cs="Times New Roman"/>
        </w:rPr>
        <w:t>Na účely identifikovania účtov podliehajúcich oznamovaniu medzi novými účta</w:t>
      </w:r>
      <w:r>
        <w:rPr>
          <w:rFonts w:ascii="Times New Roman" w:hAnsi="Times New Roman" w:cs="Times New Roman"/>
        </w:rPr>
        <w:t xml:space="preserve">mi subjektov sa uplatňujú </w:t>
      </w:r>
      <w:r w:rsidRPr="005825D2" w:rsidR="006B08F1">
        <w:rPr>
          <w:rFonts w:ascii="Times New Roman" w:hAnsi="Times New Roman" w:cs="Times New Roman"/>
        </w:rPr>
        <w:t>postupy</w:t>
      </w:r>
      <w:r>
        <w:rPr>
          <w:rFonts w:ascii="Times New Roman" w:hAnsi="Times New Roman" w:cs="Times New Roman"/>
        </w:rPr>
        <w:t xml:space="preserve"> podľa odseku 2</w:t>
      </w:r>
      <w:r w:rsidRPr="005825D2" w:rsidR="006B08F1">
        <w:rPr>
          <w:rFonts w:ascii="Times New Roman" w:hAnsi="Times New Roman" w:cs="Times New Roman"/>
        </w:rPr>
        <w:t>.</w:t>
      </w:r>
    </w:p>
    <w:p w:rsidR="00953C0F" w:rsidP="00953C0F">
      <w:pPr>
        <w:pStyle w:val="ListParagraph"/>
        <w:bidi w:val="0"/>
        <w:spacing w:after="0" w:line="240" w:lineRule="auto"/>
        <w:rPr>
          <w:rFonts w:ascii="Times New Roman" w:hAnsi="Times New Roman" w:cs="Times New Roman"/>
        </w:rPr>
      </w:pPr>
    </w:p>
    <w:p w:rsidR="00953C0F" w:rsidP="00953C0F">
      <w:pPr>
        <w:pStyle w:val="ListParagraph"/>
        <w:numPr>
          <w:numId w:val="29"/>
        </w:numPr>
        <w:bidi w:val="0"/>
        <w:spacing w:after="0" w:line="240" w:lineRule="auto"/>
        <w:rPr>
          <w:rFonts w:ascii="Times New Roman" w:hAnsi="Times New Roman" w:cs="Times New Roman"/>
        </w:rPr>
      </w:pPr>
      <w:r w:rsidRPr="00953C0F" w:rsidR="006B08F1">
        <w:rPr>
          <w:rFonts w:ascii="Times New Roman" w:hAnsi="Times New Roman" w:cs="Times New Roman"/>
        </w:rPr>
        <w:t>Postupy preverovania na identifikovanie účtov subjektov, v súvislosti s ktorými sa požaduje oznamovanie. V prípade nových účtov subjektov musí oznamujúca finančná inštitúcia uplatniť nasledujúce postupy preverovania, aby stanovila, či je držiteľom účtu jedna alebo viacero osôb podliehajúcich oznamovaniu, alebo pasívne nefinančné subjekty s jednou alebo viacerými ovládajúcimi osobami, ktoré sú osobami podliehajúcimi oznamovaniu:</w:t>
      </w:r>
    </w:p>
    <w:p w:rsidR="006B08F1" w:rsidRPr="00953C0F" w:rsidP="00953C0F">
      <w:pPr>
        <w:pStyle w:val="ListParagraph"/>
        <w:numPr>
          <w:numId w:val="20"/>
        </w:numPr>
        <w:bidi w:val="0"/>
        <w:spacing w:after="0" w:line="240" w:lineRule="auto"/>
        <w:rPr>
          <w:rFonts w:ascii="Times New Roman" w:hAnsi="Times New Roman" w:cs="Times New Roman"/>
        </w:rPr>
      </w:pPr>
      <w:r w:rsidR="00953C0F">
        <w:rPr>
          <w:rFonts w:ascii="Times New Roman" w:hAnsi="Times New Roman" w:cs="Times New Roman"/>
        </w:rPr>
        <w:t>s</w:t>
      </w:r>
      <w:r w:rsidRPr="00953C0F">
        <w:rPr>
          <w:rFonts w:ascii="Times New Roman" w:hAnsi="Times New Roman" w:cs="Times New Roman"/>
        </w:rPr>
        <w:t>tanoviť, či je subjekt osobou podliehajúcou oznamovaniu.</w:t>
      </w:r>
    </w:p>
    <w:p w:rsidR="006B08F1" w:rsidRPr="005724D5" w:rsidP="00953C0F">
      <w:pPr>
        <w:pStyle w:val="ListParagraph"/>
        <w:numPr>
          <w:numId w:val="30"/>
        </w:numPr>
        <w:bidi w:val="0"/>
        <w:spacing w:after="0" w:line="240" w:lineRule="auto"/>
        <w:rPr>
          <w:rFonts w:ascii="Times New Roman" w:hAnsi="Times New Roman" w:cs="Times New Roman"/>
        </w:rPr>
      </w:pPr>
      <w:r w:rsidR="00F02FEC">
        <w:rPr>
          <w:rFonts w:ascii="Times New Roman" w:hAnsi="Times New Roman" w:cs="Times New Roman"/>
        </w:rPr>
        <w:t>z</w:t>
      </w:r>
      <w:r w:rsidRPr="005724D5">
        <w:rPr>
          <w:rFonts w:ascii="Times New Roman" w:hAnsi="Times New Roman" w:cs="Times New Roman"/>
        </w:rPr>
        <w:t>ískať čestné vyhlásenie, ktoré môže byť súčasťou dokumentácie týkajúcej sa otvorenia účtu, ktoré oznamujúcej finančnej inštitúcii umožní stanoviť rezidenciu (rezidencie) držiteľa účtu na daňové účely, a potvrdí primeranosť takéhoto čestného vyhlásenia založeného na informáciách, ktoré oznamujúca finančná inštitúcia získala v súvislosti s otvorením účtu, vrátane akejkoľvek dokumentácie zozbieranej podľa postupov proti praniu špinavých peňazí a poznávania svojich klientov. Ak subjekt osvedčí, že nemá žiadnu rezidenciu na daňové účely, oznamujúca finančná inštitúcia sa môže v súvislosti so stanovením rezidencie držiteľa účtu spoliehať na adresu hlavn</w:t>
      </w:r>
      <w:r w:rsidR="00F02FEC">
        <w:rPr>
          <w:rFonts w:ascii="Times New Roman" w:hAnsi="Times New Roman" w:cs="Times New Roman"/>
        </w:rPr>
        <w:t>ého sídla subjektu,</w:t>
      </w:r>
    </w:p>
    <w:p w:rsidR="00953C0F" w:rsidP="00953C0F">
      <w:pPr>
        <w:pStyle w:val="ListParagraph"/>
        <w:numPr>
          <w:numId w:val="30"/>
        </w:numPr>
        <w:bidi w:val="0"/>
        <w:spacing w:after="0" w:line="240" w:lineRule="auto"/>
        <w:rPr>
          <w:rFonts w:ascii="Times New Roman" w:hAnsi="Times New Roman" w:cs="Times New Roman"/>
        </w:rPr>
      </w:pPr>
      <w:r w:rsidR="00F02FEC">
        <w:rPr>
          <w:rFonts w:ascii="Times New Roman" w:hAnsi="Times New Roman" w:cs="Times New Roman"/>
        </w:rPr>
        <w:t>a</w:t>
      </w:r>
      <w:r w:rsidRPr="005724D5" w:rsidR="006B08F1">
        <w:rPr>
          <w:rFonts w:ascii="Times New Roman" w:hAnsi="Times New Roman" w:cs="Times New Roman"/>
        </w:rPr>
        <w:t>k sa na základe čestného vyhlásenia ukazuje, že držiteľ účtu je rezidentom členského štátu, oznamujúca finančná inštitúcia musí účet považovať za účet podliehajúci oznamovaniu, pokiaľ na základe informácií, ktoré má alebo ktoré sú verejne dostupné, opodstatnene nerozhodne o tom, že držiteľ účtu nie je v súvislosti s takým členským štátom o</w:t>
      </w:r>
      <w:r>
        <w:rPr>
          <w:rFonts w:ascii="Times New Roman" w:hAnsi="Times New Roman" w:cs="Times New Roman"/>
        </w:rPr>
        <w:t>sobou podliehajúcou oznamovaniu,</w:t>
      </w:r>
    </w:p>
    <w:p w:rsidR="00953C0F" w:rsidP="00953C0F">
      <w:pPr>
        <w:pStyle w:val="ListParagraph"/>
        <w:numPr>
          <w:numId w:val="20"/>
        </w:numPr>
        <w:bidi w:val="0"/>
        <w:spacing w:after="0" w:line="240" w:lineRule="auto"/>
        <w:rPr>
          <w:rFonts w:ascii="Times New Roman" w:hAnsi="Times New Roman" w:cs="Times New Roman"/>
        </w:rPr>
      </w:pPr>
      <w:r>
        <w:rPr>
          <w:rFonts w:ascii="Times New Roman" w:hAnsi="Times New Roman" w:cs="Times New Roman"/>
        </w:rPr>
        <w:t>s</w:t>
      </w:r>
      <w:r w:rsidRPr="00953C0F" w:rsidR="006B08F1">
        <w:rPr>
          <w:rFonts w:ascii="Times New Roman" w:hAnsi="Times New Roman" w:cs="Times New Roman"/>
        </w:rPr>
        <w:t xml:space="preserve">tanoviť, či je subjekt pasívnym nefinančným subjektom s jednou alebo viacerými ovládajúcimi osobami, ktoré sú osobami podliehajúcimi oznamovaniu. Pokiaľ ide o držiteľa nového účtu subjektu (vrátane subjektu, ktorý je osobou podliehajúcou oznamovaniu), oznamujúca finančná inštitúcia musí stanoviť, či je držiteľ účtu pasívnym nefinančným subjektom s jednou alebo viacerými ovládajúcimi osobami, ktoré sú osobami podliehajúcimi oznamovaniu. Ak je ktorákoľvek z osôb ovládajúcich pasívny nefinančný subjekt osobou podliehajúcou oznamovaniu, potom sa účet musí považovať za účet podliehajúci oznamovaniu. Pri stanovení týchto skutočností musí oznamujúca finančná inštitúcia dodržiavať usmernenie uvedené v </w:t>
      </w:r>
      <w:r w:rsidR="00CA2EB1">
        <w:rPr>
          <w:rFonts w:ascii="Times New Roman" w:hAnsi="Times New Roman" w:cs="Times New Roman"/>
        </w:rPr>
        <w:t>§ 5 ods. 1 písm. d) bod 2.</w:t>
      </w:r>
      <w:r w:rsidRPr="00953C0F" w:rsidR="006B08F1">
        <w:rPr>
          <w:rFonts w:ascii="Times New Roman" w:hAnsi="Times New Roman" w:cs="Times New Roman"/>
        </w:rPr>
        <w:t xml:space="preserve"> v poradí, ktoré je za da</w:t>
      </w:r>
      <w:r w:rsidRPr="00953C0F" w:rsidR="007C479B">
        <w:rPr>
          <w:rFonts w:ascii="Times New Roman" w:hAnsi="Times New Roman" w:cs="Times New Roman"/>
        </w:rPr>
        <w:t>ných okolností najprimeranejšie.</w:t>
      </w:r>
    </w:p>
    <w:p w:rsidR="00953C0F" w:rsidP="00953C0F">
      <w:pPr>
        <w:pStyle w:val="ListParagraph"/>
        <w:numPr>
          <w:numId w:val="31"/>
        </w:numPr>
        <w:bidi w:val="0"/>
        <w:spacing w:after="0" w:line="240" w:lineRule="auto"/>
        <w:rPr>
          <w:rFonts w:ascii="Times New Roman" w:hAnsi="Times New Roman" w:cs="Times New Roman"/>
        </w:rPr>
      </w:pPr>
      <w:r w:rsidRPr="00953C0F" w:rsidR="006B08F1">
        <w:rPr>
          <w:rFonts w:ascii="Times New Roman" w:hAnsi="Times New Roman" w:cs="Times New Roman"/>
        </w:rPr>
        <w:t xml:space="preserve">Stanovenie toho, či je držiteľ účtu pasívnym nefinančným subjektom. Na účely stanovenia toho, či je držiteľ účtu pasívnym nefinančným subjektom, sa musí oznamujúca finančná inštitúcia spoliehať na čestné vyhlásenie od držiteľa účtu, aby určila jeho status, pokiaľ nemá informácie alebo nemá verejne dostupné informácie, na základe ktorých môže opodstatnene stanoviť, že držiteľ účtu je aktívny nefinančný subjekt alebo iná finančná inštitúcia než investičný subjekt stanovený v </w:t>
      </w:r>
      <w:r w:rsidR="00CA2EB1">
        <w:rPr>
          <w:rFonts w:ascii="Times New Roman" w:hAnsi="Times New Roman" w:cs="Times New Roman"/>
        </w:rPr>
        <w:t>§ 3 ods. 2 písm. c) bod 2. zákona</w:t>
      </w:r>
      <w:r w:rsidRPr="00953C0F" w:rsidR="006B08F1">
        <w:rPr>
          <w:rFonts w:ascii="Times New Roman" w:hAnsi="Times New Roman" w:cs="Times New Roman"/>
        </w:rPr>
        <w:t xml:space="preserve">, ktorý nie je finančnou inštitúciou </w:t>
      </w:r>
      <w:r>
        <w:rPr>
          <w:rFonts w:ascii="Times New Roman" w:hAnsi="Times New Roman" w:cs="Times New Roman"/>
        </w:rPr>
        <w:t>zo zúčastňujúcej sa jurisdikcie,</w:t>
      </w:r>
    </w:p>
    <w:p w:rsidR="00953C0F" w:rsidP="00953C0F">
      <w:pPr>
        <w:pStyle w:val="ListParagraph"/>
        <w:numPr>
          <w:numId w:val="31"/>
        </w:numPr>
        <w:bidi w:val="0"/>
        <w:spacing w:after="0" w:line="240" w:lineRule="auto"/>
        <w:rPr>
          <w:rFonts w:ascii="Times New Roman" w:hAnsi="Times New Roman" w:cs="Times New Roman"/>
        </w:rPr>
      </w:pPr>
      <w:r w:rsidRPr="00953C0F" w:rsidR="006B08F1">
        <w:rPr>
          <w:rFonts w:ascii="Times New Roman" w:hAnsi="Times New Roman" w:cs="Times New Roman"/>
        </w:rPr>
        <w:t>Stanovenie osôb ovládajúcich držiteľa účtu. Na účely stanovenia osôb ovládajúcich držiteľa účtu sa oznamujúca finančná inštitúcia môže spoliehať na informácie zozbierané a uchovávané podľa postupov proti praniu špinavých peňaz</w:t>
      </w:r>
      <w:r>
        <w:rPr>
          <w:rFonts w:ascii="Times New Roman" w:hAnsi="Times New Roman" w:cs="Times New Roman"/>
        </w:rPr>
        <w:t>í a poznávania svojich klientov,</w:t>
      </w:r>
    </w:p>
    <w:p w:rsidR="006B08F1" w:rsidRPr="00953C0F" w:rsidP="00953C0F">
      <w:pPr>
        <w:pStyle w:val="ListParagraph"/>
        <w:numPr>
          <w:numId w:val="31"/>
        </w:numPr>
        <w:bidi w:val="0"/>
        <w:spacing w:after="0" w:line="240" w:lineRule="auto"/>
        <w:rPr>
          <w:rFonts w:ascii="Times New Roman" w:hAnsi="Times New Roman" w:cs="Times New Roman"/>
        </w:rPr>
      </w:pPr>
      <w:r w:rsidRPr="00953C0F">
        <w:rPr>
          <w:rFonts w:ascii="Times New Roman" w:hAnsi="Times New Roman" w:cs="Times New Roman"/>
        </w:rPr>
        <w:t>Stanovenie toho, či je osoba ovládajúca pasívny nefinančný subjekt osobou podliehajúcou oznamovaniu. Na účely stanovenia toho, či je osoba ovládajúca pasívny nefinančný subjekt osobou podliehajúcou oznamovaniu sa oznamujúca finančná inštitúcia môže spoliehať na čestné vyhlásenie od držiteľa účtu alebo takejto ovládajúcej osoby.</w:t>
      </w:r>
    </w:p>
    <w:p w:rsidR="007C479B" w:rsidRPr="005724D5" w:rsidP="005825D2">
      <w:pPr>
        <w:bidi w:val="0"/>
        <w:spacing w:after="0" w:line="240" w:lineRule="auto"/>
        <w:rPr>
          <w:rFonts w:ascii="Times New Roman" w:hAnsi="Times New Roman" w:cs="Times New Roman"/>
        </w:rPr>
      </w:pPr>
      <w:r w:rsidRPr="005724D5" w:rsidR="006B08F1">
        <w:rPr>
          <w:rFonts w:ascii="Times New Roman" w:hAnsi="Times New Roman" w:cs="Times New Roman"/>
        </w:rPr>
        <w:t xml:space="preserve"> </w:t>
      </w:r>
    </w:p>
    <w:p w:rsidR="006B08F1" w:rsidP="005825D2">
      <w:pPr>
        <w:bidi w:val="0"/>
        <w:spacing w:after="0" w:line="240" w:lineRule="auto"/>
        <w:jc w:val="center"/>
        <w:rPr>
          <w:rFonts w:ascii="Times New Roman" w:hAnsi="Times New Roman" w:cs="Times New Roman"/>
          <w:b/>
          <w:bCs/>
        </w:rPr>
      </w:pPr>
      <w:r w:rsidR="00953C0F">
        <w:rPr>
          <w:rFonts w:ascii="Times New Roman" w:hAnsi="Times New Roman" w:cs="Times New Roman"/>
          <w:b/>
          <w:bCs/>
        </w:rPr>
        <w:t xml:space="preserve">§ </w:t>
      </w:r>
      <w:r w:rsidRPr="005724D5" w:rsidR="007C479B">
        <w:rPr>
          <w:rFonts w:ascii="Times New Roman" w:hAnsi="Times New Roman" w:cs="Times New Roman"/>
          <w:b/>
          <w:bCs/>
        </w:rPr>
        <w:t>7</w:t>
      </w:r>
    </w:p>
    <w:p w:rsidR="00953C0F" w:rsidRPr="00953C0F" w:rsidP="005825D2">
      <w:pPr>
        <w:bidi w:val="0"/>
        <w:spacing w:after="0" w:line="240" w:lineRule="auto"/>
        <w:jc w:val="center"/>
        <w:rPr>
          <w:rFonts w:ascii="Times New Roman" w:hAnsi="Times New Roman" w:cs="Times New Roman"/>
          <w:b/>
          <w:bCs/>
        </w:rPr>
      </w:pPr>
    </w:p>
    <w:p w:rsidR="006B08F1" w:rsidRPr="005724D5" w:rsidP="005825D2">
      <w:pPr>
        <w:bidi w:val="0"/>
        <w:spacing w:after="0" w:line="240" w:lineRule="auto"/>
        <w:jc w:val="center"/>
        <w:rPr>
          <w:rFonts w:ascii="Times New Roman" w:hAnsi="Times New Roman" w:cs="Times New Roman"/>
        </w:rPr>
      </w:pPr>
      <w:r w:rsidRPr="00953C0F" w:rsidR="00953C0F">
        <w:rPr>
          <w:rFonts w:ascii="Times New Roman" w:hAnsi="Times New Roman" w:cs="Times New Roman"/>
          <w:b/>
          <w:bCs/>
        </w:rPr>
        <w:t>Osobitné pravidlá týkajúce sa preverovania</w:t>
      </w:r>
      <w:r w:rsidR="00953C0F">
        <w:rPr>
          <w:rFonts w:ascii="Times New Roman" w:hAnsi="Times New Roman" w:cs="Times New Roman"/>
        </w:rPr>
        <w:t xml:space="preserve"> </w:t>
        <w:br/>
      </w:r>
    </w:p>
    <w:p w:rsidR="00953C0F" w:rsidP="00953C0F">
      <w:pPr>
        <w:pStyle w:val="ListParagraph"/>
        <w:numPr>
          <w:numId w:val="22"/>
        </w:numPr>
        <w:bidi w:val="0"/>
        <w:spacing w:after="0" w:line="240" w:lineRule="auto"/>
        <w:rPr>
          <w:rFonts w:ascii="Times New Roman" w:hAnsi="Times New Roman" w:cs="Times New Roman"/>
        </w:rPr>
      </w:pPr>
      <w:r w:rsidRPr="00953C0F" w:rsidR="006B08F1">
        <w:rPr>
          <w:rFonts w:ascii="Times New Roman" w:hAnsi="Times New Roman" w:cs="Times New Roman"/>
        </w:rPr>
        <w:t>Pri vykonávaní vyššie uvedených postupov preverovania sa uplatňujú tieto dodatočné pravidlá:</w:t>
      </w:r>
    </w:p>
    <w:p w:rsidR="007C479B" w:rsidRPr="00953C0F" w:rsidP="00953C0F">
      <w:pPr>
        <w:pStyle w:val="ListParagraph"/>
        <w:numPr>
          <w:numId w:val="32"/>
        </w:numPr>
        <w:bidi w:val="0"/>
        <w:spacing w:after="0" w:line="240" w:lineRule="auto"/>
        <w:rPr>
          <w:rFonts w:ascii="Times New Roman" w:hAnsi="Times New Roman" w:cs="Times New Roman"/>
        </w:rPr>
      </w:pPr>
      <w:r w:rsidRPr="00953C0F" w:rsidR="006B08F1">
        <w:rPr>
          <w:rFonts w:ascii="Times New Roman" w:hAnsi="Times New Roman" w:cs="Times New Roman"/>
        </w:rPr>
        <w:t>Spoliehanie sa na čestné vyhlásenie a písomné dôkazy. Oznamujúca finančná inštitúcia sa nemôže spoliehať na čestné vyhlásenie ani písomné dôkazy, ak oznamujúca finančná inštitúcia vie alebo má dôvod sa domnievať, že čestné vyhlásenie alebo písomné dôkazy sú nesprávne alebo nespoľahlivé.</w:t>
      </w:r>
    </w:p>
    <w:p w:rsidR="00953C0F" w:rsidP="00953C0F">
      <w:pPr>
        <w:pStyle w:val="ListParagraph"/>
        <w:numPr>
          <w:numId w:val="32"/>
        </w:numPr>
        <w:bidi w:val="0"/>
        <w:spacing w:after="0" w:line="240" w:lineRule="auto"/>
        <w:jc w:val="both"/>
        <w:rPr>
          <w:rFonts w:ascii="Times New Roman" w:hAnsi="Times New Roman" w:cs="Times New Roman"/>
        </w:rPr>
      </w:pPr>
      <w:r w:rsidRPr="005724D5" w:rsidR="006B08F1">
        <w:rPr>
          <w:rFonts w:ascii="Times New Roman" w:hAnsi="Times New Roman" w:cs="Times New Roman"/>
        </w:rPr>
        <w:t xml:space="preserve">Alternatívne postupy pre finančné účty, ak sú oprávnenými fyzické osoby v prípade poistnej zmluvy s odkupnou hodnotou alebo anuitnej zmluvy a pre skupinovú poistnú zmluvu s odkupnou hodnotou alebo skupinovú anuitnú zmluvu. Oznamujúca finančná inštitúcia môže predpokladať, že fyzická osoba oprávnená (iná ako vlastník) z poistnej zmluvy s odkupnou hodnotou alebo anuitnej zmluvy, ktorá dostáva pozostalostnú dávku, nie je osobou podliehajúcou oznamovaniu a môže takýto finančný účet považovať za iný účet ako účet podliehajúci oznamovaniu, pokiaľ oznamujúca finančná inštitúcia nemá skutočnú vedomosť alebo dôvod domnievať sa, že príjemca je osobou podliehajúcou oznamovaniu. Oznamujúca finančná inštitúcia má dôvod domnievať sa, že príjemca z poistnej zmluvy s odkupnou hodnotou alebo anuitnej zmluvy je osoba podliehajúca oznamovaniu, ak informácie zozbierané oznamujúcou finančnou inštitúciou, ktoré sa spájajú s príjemcom, obsahujú indície stanovené v </w:t>
      </w:r>
      <w:r w:rsidR="00CA2EB1">
        <w:rPr>
          <w:rFonts w:ascii="Times New Roman" w:hAnsi="Times New Roman" w:cs="Times New Roman"/>
        </w:rPr>
        <w:t>§ 3 ods. 1</w:t>
      </w:r>
      <w:r w:rsidRPr="005724D5" w:rsidR="006B08F1">
        <w:rPr>
          <w:rFonts w:ascii="Times New Roman" w:hAnsi="Times New Roman" w:cs="Times New Roman"/>
        </w:rPr>
        <w:t xml:space="preserve">. Ak má oznamujúca finančná inštitúcia skutočnú vedomosť alebo dôvod domnievať sa, že príjemca je osoba podliehajúca oznamovaniu, musí oznamujúca finančná inštitúcia dodržať postupy stanovené v </w:t>
      </w:r>
      <w:r w:rsidR="00CA2EB1">
        <w:rPr>
          <w:rFonts w:ascii="Times New Roman" w:hAnsi="Times New Roman" w:cs="Times New Roman"/>
        </w:rPr>
        <w:t>§ 3 ods. 1</w:t>
      </w:r>
      <w:r w:rsidRPr="005724D5" w:rsidR="006B08F1">
        <w:rPr>
          <w:rFonts w:ascii="Times New Roman" w:hAnsi="Times New Roman" w:cs="Times New Roman"/>
        </w:rPr>
        <w:t>.</w:t>
      </w:r>
    </w:p>
    <w:p w:rsidR="007C479B" w:rsidRPr="00953C0F" w:rsidP="00953C0F">
      <w:pPr>
        <w:pStyle w:val="ListParagraph"/>
        <w:numPr>
          <w:numId w:val="32"/>
        </w:numPr>
        <w:bidi w:val="0"/>
        <w:spacing w:after="0" w:line="240" w:lineRule="auto"/>
        <w:jc w:val="both"/>
        <w:rPr>
          <w:rFonts w:ascii="Times New Roman" w:hAnsi="Times New Roman" w:cs="Times New Roman"/>
        </w:rPr>
      </w:pPr>
      <w:r w:rsidRPr="00953C0F" w:rsidR="006B08F1">
        <w:rPr>
          <w:rFonts w:ascii="Times New Roman" w:hAnsi="Times New Roman" w:cs="Times New Roman"/>
        </w:rPr>
        <w:t>Oznamujúca finančná inštitúcia môže považovať finančný účet, ktorý je podielom člena na skupinovej poistnej zmluve s odkupnou hodnotou alebo na skupinovej anuitnej zmluve za finančný účet, ktorý nie je účtom podliehajúcim oznamovaniu, a to až do dátumu, ku ktorému je suma splatná zamestnancovi/držiteľovi certifikátu alebo príjemcovi, ak podiel člena na skupinovej poistnej zmluve s odkupnou hodnotou alebo na skupinovej anuitnej zmluve spĺňa tieto požiadavky:</w:t>
      </w:r>
    </w:p>
    <w:p w:rsidR="007C479B" w:rsidRPr="005724D5" w:rsidP="00953C0F">
      <w:pPr>
        <w:pStyle w:val="ListParagraph"/>
        <w:numPr>
          <w:numId w:val="23"/>
        </w:numPr>
        <w:bidi w:val="0"/>
        <w:spacing w:after="0" w:line="240" w:lineRule="auto"/>
        <w:rPr>
          <w:rFonts w:ascii="Times New Roman" w:hAnsi="Times New Roman" w:cs="Times New Roman"/>
        </w:rPr>
      </w:pPr>
      <w:r w:rsidRPr="005724D5" w:rsidR="006B08F1">
        <w:rPr>
          <w:rFonts w:ascii="Times New Roman" w:hAnsi="Times New Roman" w:cs="Times New Roman"/>
        </w:rPr>
        <w:t>skupinová poistná zmluva s odkupnou hodnotou alebo skupinová anuitná zmluva sa vystaví zamestnávateľovi a vzťahuje sa na 25 alebo viac zamestnancov/držiteľov certifikátu;</w:t>
      </w:r>
    </w:p>
    <w:p w:rsidR="007C479B" w:rsidRPr="005724D5" w:rsidP="005825D2">
      <w:pPr>
        <w:pStyle w:val="ListParagraph"/>
        <w:numPr>
          <w:numId w:val="23"/>
        </w:numPr>
        <w:bidi w:val="0"/>
        <w:spacing w:after="0" w:line="240" w:lineRule="auto"/>
        <w:rPr>
          <w:rFonts w:ascii="Times New Roman" w:hAnsi="Times New Roman" w:cs="Times New Roman"/>
        </w:rPr>
      </w:pPr>
      <w:r w:rsidRPr="005724D5">
        <w:rPr>
          <w:rFonts w:ascii="Times New Roman" w:hAnsi="Times New Roman" w:cs="Times New Roman"/>
        </w:rPr>
        <w:t>z</w:t>
      </w:r>
      <w:r w:rsidRPr="005724D5" w:rsidR="006B08F1">
        <w:rPr>
          <w:rFonts w:ascii="Times New Roman" w:hAnsi="Times New Roman" w:cs="Times New Roman"/>
        </w:rPr>
        <w:t>amestnanci/držitelia certifikátu majú právo dostať akúkoľvek hodnotu dohodnutú v zmluve, ktorá sa týka ich podielov, a určiť príjemcov dávky splatnej po smrti zamestnanca a</w:t>
      </w:r>
    </w:p>
    <w:p w:rsidR="007C479B" w:rsidP="005825D2">
      <w:pPr>
        <w:pStyle w:val="ListParagraph"/>
        <w:numPr>
          <w:numId w:val="23"/>
        </w:numPr>
        <w:bidi w:val="0"/>
        <w:spacing w:after="0" w:line="240" w:lineRule="auto"/>
        <w:rPr>
          <w:rFonts w:ascii="Times New Roman" w:hAnsi="Times New Roman" w:cs="Times New Roman"/>
        </w:rPr>
      </w:pPr>
      <w:r w:rsidRPr="005724D5" w:rsidR="006B08F1">
        <w:rPr>
          <w:rFonts w:ascii="Times New Roman" w:hAnsi="Times New Roman" w:cs="Times New Roman"/>
        </w:rPr>
        <w:t>celková suma splatná akémukoľvek zamestnancovi/držiteľovi certifikátu alebo príjemcovi nepresiahne sumu denominovanú v domácej mene každého členského štátu zodpovedajúcu sume 1 000 000 USD.</w:t>
      </w:r>
    </w:p>
    <w:p w:rsidR="00953C0F" w:rsidRPr="005724D5" w:rsidP="00953C0F">
      <w:pPr>
        <w:pStyle w:val="ListParagraph"/>
        <w:bidi w:val="0"/>
        <w:spacing w:after="0" w:line="240" w:lineRule="auto"/>
        <w:ind w:left="1440"/>
        <w:rPr>
          <w:rFonts w:ascii="Times New Roman" w:hAnsi="Times New Roman" w:cs="Times New Roman"/>
        </w:rPr>
      </w:pPr>
    </w:p>
    <w:p w:rsidR="00953C0F" w:rsidP="00953C0F">
      <w:pPr>
        <w:pStyle w:val="ListParagraph"/>
        <w:numPr>
          <w:numId w:val="22"/>
        </w:numPr>
        <w:bidi w:val="0"/>
        <w:spacing w:after="0" w:line="240" w:lineRule="auto"/>
        <w:jc w:val="both"/>
        <w:rPr>
          <w:rFonts w:ascii="Times New Roman" w:hAnsi="Times New Roman" w:cs="Times New Roman"/>
        </w:rPr>
      </w:pPr>
      <w:r w:rsidRPr="00953C0F">
        <w:rPr>
          <w:rFonts w:ascii="Times New Roman" w:hAnsi="Times New Roman" w:cs="Times New Roman"/>
        </w:rPr>
        <w:t>S</w:t>
      </w:r>
      <w:r w:rsidRPr="00953C0F" w:rsidR="006B08F1">
        <w:rPr>
          <w:rFonts w:ascii="Times New Roman" w:hAnsi="Times New Roman" w:cs="Times New Roman"/>
        </w:rPr>
        <w:t>kupinová pois</w:t>
      </w:r>
      <w:r w:rsidR="00CA2EB1">
        <w:rPr>
          <w:rFonts w:ascii="Times New Roman" w:hAnsi="Times New Roman" w:cs="Times New Roman"/>
        </w:rPr>
        <w:t xml:space="preserve">tná zmluva s odkupnou hodnotou </w:t>
      </w:r>
      <w:r w:rsidRPr="00953C0F" w:rsidR="006B08F1">
        <w:rPr>
          <w:rFonts w:ascii="Times New Roman" w:hAnsi="Times New Roman" w:cs="Times New Roman"/>
        </w:rPr>
        <w:t>znamená poistnú zmluvu, ktorou sa vyt</w:t>
      </w:r>
      <w:r w:rsidR="00CA2EB1">
        <w:rPr>
          <w:rFonts w:ascii="Times New Roman" w:hAnsi="Times New Roman" w:cs="Times New Roman"/>
        </w:rPr>
        <w:t xml:space="preserve">vára odkupná hodnota, ktorá </w:t>
      </w:r>
      <w:r w:rsidRPr="00953C0F" w:rsidR="006B08F1">
        <w:rPr>
          <w:rFonts w:ascii="Times New Roman" w:hAnsi="Times New Roman" w:cs="Times New Roman"/>
        </w:rPr>
        <w:t>poskytuje krytie jednotlivcom pridruženým prostredníctvom zamestnávateľa, odborového združenia, odborového zväzu alebo iné</w:t>
      </w:r>
      <w:r w:rsidR="00CA2EB1">
        <w:rPr>
          <w:rFonts w:ascii="Times New Roman" w:hAnsi="Times New Roman" w:cs="Times New Roman"/>
        </w:rPr>
        <w:t xml:space="preserve">ho združenia alebo skupiny a </w:t>
      </w:r>
      <w:r w:rsidRPr="00953C0F" w:rsidR="006B08F1">
        <w:rPr>
          <w:rFonts w:ascii="Times New Roman" w:hAnsi="Times New Roman" w:cs="Times New Roman"/>
        </w:rPr>
        <w:t xml:space="preserve"> platí poistné za každého člena skupiny (alebo člena triedy v rámci skupiny), ktoré sa stanovuje bez ohľadu na individuálnu zdravotnú charakteristiku s výnimkou veku a pohlavia člena (alebo triedy členov) skupiny, ako aj skutočnosti, či fajčí.</w:t>
      </w:r>
    </w:p>
    <w:p w:rsidR="00953C0F" w:rsidRPr="00953C0F" w:rsidP="00953C0F">
      <w:pPr>
        <w:pStyle w:val="ListParagraph"/>
        <w:bidi w:val="0"/>
        <w:spacing w:after="0" w:line="240" w:lineRule="auto"/>
        <w:jc w:val="both"/>
        <w:rPr>
          <w:rFonts w:ascii="Times New Roman" w:hAnsi="Times New Roman" w:cs="Times New Roman"/>
        </w:rPr>
      </w:pPr>
    </w:p>
    <w:p w:rsidR="00A22DBA" w:rsidRPr="00953C0F" w:rsidP="00953C0F">
      <w:pPr>
        <w:pStyle w:val="ListParagraph"/>
        <w:numPr>
          <w:numId w:val="22"/>
        </w:numPr>
        <w:bidi w:val="0"/>
        <w:spacing w:after="0" w:line="240" w:lineRule="auto"/>
        <w:jc w:val="both"/>
        <w:rPr>
          <w:rFonts w:ascii="Times New Roman" w:hAnsi="Times New Roman" w:cs="Times New Roman"/>
        </w:rPr>
      </w:pPr>
      <w:r w:rsidR="00953C0F">
        <w:rPr>
          <w:rFonts w:ascii="Times New Roman" w:hAnsi="Times New Roman" w:cs="Times New Roman"/>
        </w:rPr>
        <w:t>S</w:t>
      </w:r>
      <w:r w:rsidR="00CA2EB1">
        <w:rPr>
          <w:rFonts w:ascii="Times New Roman" w:hAnsi="Times New Roman" w:cs="Times New Roman"/>
        </w:rPr>
        <w:t>kupinová anuitná zmluva</w:t>
      </w:r>
      <w:r w:rsidRPr="00953C0F" w:rsidR="006B08F1">
        <w:rPr>
          <w:rFonts w:ascii="Times New Roman" w:hAnsi="Times New Roman" w:cs="Times New Roman"/>
        </w:rPr>
        <w:t xml:space="preserve"> znamená anuitnú zmluvu, podľa ktorej sú oprávnenou stranou jednotlivci, ktorí sú pridružení prostredníctvom zamestnávateľa, odborového združenia, odborového zväzu alebo iného združenia alebo skupiny.</w:t>
      </w:r>
    </w:p>
    <w:p w:rsidR="00953C0F" w:rsidP="00953C0F">
      <w:pPr>
        <w:bidi w:val="0"/>
        <w:spacing w:after="0" w:line="240" w:lineRule="auto"/>
        <w:rPr>
          <w:rFonts w:ascii="Times New Roman" w:hAnsi="Times New Roman" w:cs="Times New Roman"/>
        </w:rPr>
      </w:pPr>
    </w:p>
    <w:p w:rsidR="009E0328" w:rsidRPr="009E0328" w:rsidP="009E0328">
      <w:pPr>
        <w:pStyle w:val="ListParagraph"/>
        <w:bidi w:val="0"/>
        <w:spacing w:after="0" w:line="240" w:lineRule="auto"/>
        <w:jc w:val="center"/>
        <w:rPr>
          <w:rFonts w:ascii="Times New Roman" w:hAnsi="Times New Roman" w:cs="Times New Roman"/>
          <w:b/>
          <w:bCs/>
        </w:rPr>
      </w:pPr>
      <w:r w:rsidRPr="009E0328">
        <w:rPr>
          <w:rFonts w:ascii="Times New Roman" w:hAnsi="Times New Roman" w:cs="Times New Roman"/>
          <w:b/>
          <w:bCs/>
        </w:rPr>
        <w:t>§ 8</w:t>
      </w:r>
    </w:p>
    <w:p w:rsidR="009E0328" w:rsidRPr="009E0328" w:rsidP="009E0328">
      <w:pPr>
        <w:pStyle w:val="ListParagraph"/>
        <w:bidi w:val="0"/>
        <w:spacing w:after="0" w:line="240" w:lineRule="auto"/>
        <w:jc w:val="center"/>
        <w:rPr>
          <w:rFonts w:ascii="Times New Roman" w:hAnsi="Times New Roman" w:cs="Times New Roman"/>
          <w:b/>
          <w:bCs/>
        </w:rPr>
      </w:pPr>
    </w:p>
    <w:p w:rsidR="00A22DBA" w:rsidP="009E0328">
      <w:pPr>
        <w:pStyle w:val="ListParagraph"/>
        <w:bidi w:val="0"/>
        <w:spacing w:after="0" w:line="240" w:lineRule="auto"/>
        <w:jc w:val="center"/>
        <w:rPr>
          <w:rFonts w:ascii="Times New Roman" w:hAnsi="Times New Roman" w:cs="Times New Roman"/>
          <w:b/>
          <w:bCs/>
        </w:rPr>
      </w:pPr>
      <w:r w:rsidRPr="009E0328" w:rsidR="006B08F1">
        <w:rPr>
          <w:rFonts w:ascii="Times New Roman" w:hAnsi="Times New Roman" w:cs="Times New Roman"/>
          <w:b/>
          <w:bCs/>
        </w:rPr>
        <w:t>Pravidlá zlučovania účtov a prevodu mien</w:t>
      </w:r>
    </w:p>
    <w:p w:rsidR="00F02FEC" w:rsidRPr="009E0328" w:rsidP="009E0328">
      <w:pPr>
        <w:pStyle w:val="ListParagraph"/>
        <w:bidi w:val="0"/>
        <w:spacing w:after="0" w:line="240" w:lineRule="auto"/>
        <w:jc w:val="center"/>
        <w:rPr>
          <w:rFonts w:ascii="Times New Roman" w:hAnsi="Times New Roman" w:cs="Times New Roman"/>
          <w:b/>
          <w:bCs/>
        </w:rPr>
      </w:pPr>
    </w:p>
    <w:p w:rsidR="009E0328" w:rsidP="009E0328">
      <w:pPr>
        <w:pStyle w:val="ListParagraph"/>
        <w:numPr>
          <w:numId w:val="33"/>
        </w:numPr>
        <w:bidi w:val="0"/>
        <w:spacing w:after="0" w:line="240" w:lineRule="auto"/>
        <w:jc w:val="both"/>
        <w:rPr>
          <w:rFonts w:ascii="Times New Roman" w:hAnsi="Times New Roman" w:cs="Times New Roman"/>
        </w:rPr>
      </w:pPr>
      <w:r w:rsidRPr="009E0328" w:rsidR="006B08F1">
        <w:rPr>
          <w:rFonts w:ascii="Times New Roman" w:hAnsi="Times New Roman" w:cs="Times New Roman"/>
        </w:rPr>
        <w:t>Zlučovanie účtov fyzických osôb. Pri určovaní súhrnného zostatku alebo súhrnnej hodnoty finančných účtov vedených pre danú fyzickú osobu je oznamujúca finančná inštitúcia povinná zlúčiť všetky finančné účty, ktoré vedie oznamujúca finančná inštitúcia alebo prepojený subjekt len v rozsahu, v ktorom informačné systémy oznamujúcej finančnej inštitúcie umožňujú prepájať finančné účty s jednotlivými údajmi, ako je napríklad číslo klienta alebo daňové identifikačné číslo, a zlúčiť zostatky na účtoch alebo ich hodnoty. Každému držiteľovi spoločného finančného účtu bude pri uplatňovaní požiadaviek týkajúcich sa zlučovania stanoveného v tomto bode priradený celkový zostatok alebo hodnota spoločného finančného účtu.</w:t>
      </w:r>
    </w:p>
    <w:p w:rsidR="009E0328" w:rsidP="009E0328">
      <w:pPr>
        <w:pStyle w:val="ListParagraph"/>
        <w:bidi w:val="0"/>
        <w:spacing w:after="0" w:line="240" w:lineRule="auto"/>
        <w:jc w:val="both"/>
        <w:rPr>
          <w:rFonts w:ascii="Times New Roman" w:hAnsi="Times New Roman" w:cs="Times New Roman"/>
        </w:rPr>
      </w:pPr>
    </w:p>
    <w:p w:rsidR="009E0328" w:rsidP="009E0328">
      <w:pPr>
        <w:pStyle w:val="ListParagraph"/>
        <w:numPr>
          <w:numId w:val="33"/>
        </w:numPr>
        <w:bidi w:val="0"/>
        <w:spacing w:after="0" w:line="240" w:lineRule="auto"/>
        <w:jc w:val="both"/>
        <w:rPr>
          <w:rFonts w:ascii="Times New Roman" w:hAnsi="Times New Roman" w:cs="Times New Roman"/>
        </w:rPr>
      </w:pPr>
      <w:r w:rsidRPr="009E0328" w:rsidR="006B08F1">
        <w:rPr>
          <w:rFonts w:ascii="Times New Roman" w:hAnsi="Times New Roman" w:cs="Times New Roman"/>
        </w:rPr>
        <w:t>Zlučovanie účtov subjektov. Pri určovaní súhrnného zostatku alebo súhrnnej hodnoty finančných účtov vedených na daný subjekt je oznamujúca finančná inštitúcia povinná vziať do úvahy všetky finančné účty, ktoré vedie oznamujúca finančná inštitúcia alebo prepojený subjekt len v rozsahu, v ktorom informačné systémy oznamujúcej finančnej inštitúcie umožňujú prepájať finančné účty s jednotlivými údajmi, ako je napríklad číslo klienta alebo daňové identifikačné číslo, a zlúčiť zostatky na účtoch alebo ich hodnoty. Každému držiteľovi spoločného finančného účtu bude pri uplatňovaní požiadaviek týkajúcich sa zlučovania stanoveného v tomto bode priradený celkový zostatok alebo hodnota spoločného finančného účtu.</w:t>
      </w:r>
    </w:p>
    <w:p w:rsidR="009E0328" w:rsidRPr="009E0328" w:rsidP="009E0328">
      <w:pPr>
        <w:pStyle w:val="ListParagraph"/>
        <w:bidi w:val="0"/>
        <w:rPr>
          <w:rFonts w:ascii="Times New Roman" w:hAnsi="Times New Roman" w:cs="Times New Roman"/>
        </w:rPr>
      </w:pPr>
    </w:p>
    <w:p w:rsidR="009E0328" w:rsidP="009E0328">
      <w:pPr>
        <w:pStyle w:val="ListParagraph"/>
        <w:numPr>
          <w:numId w:val="33"/>
        </w:numPr>
        <w:bidi w:val="0"/>
        <w:spacing w:after="0" w:line="240" w:lineRule="auto"/>
        <w:jc w:val="both"/>
        <w:rPr>
          <w:rFonts w:ascii="Times New Roman" w:hAnsi="Times New Roman" w:cs="Times New Roman"/>
        </w:rPr>
      </w:pPr>
      <w:r w:rsidRPr="009E0328" w:rsidR="006B08F1">
        <w:rPr>
          <w:rFonts w:ascii="Times New Roman" w:hAnsi="Times New Roman" w:cs="Times New Roman"/>
        </w:rPr>
        <w:t>Osobitné pravidlá zlučovania účtov uplatňované v prípade manažérov pre styk s klientmi. Pri určovaní súhrnného zostatku alebo súhrnnej hodnoty finančných účtov vedených pre určitú osobu s cieľom zistiť, či finančný účet je účtom s vysokou hodnotou, oznamujúca finančná inštitúcia je tiež povinná zlučovať všetky finančné účty, o ktorých manažér pre styk s klientmi disponuje informáciami alebo má dôvod predpokladať, že ich priamo alebo nepriamo vlastní, kontroluje alebo zriaďuje (iným spôsobom než vo funkcii zmocnenca) tá istá osoba.</w:t>
      </w:r>
    </w:p>
    <w:p w:rsidR="009E0328" w:rsidRPr="009E0328" w:rsidP="009E0328">
      <w:pPr>
        <w:pStyle w:val="ListParagraph"/>
        <w:bidi w:val="0"/>
        <w:rPr>
          <w:rFonts w:ascii="Times New Roman" w:hAnsi="Times New Roman" w:cs="Times New Roman"/>
        </w:rPr>
      </w:pPr>
    </w:p>
    <w:p w:rsidR="006B08F1" w:rsidRPr="009E0328" w:rsidP="009E0328">
      <w:pPr>
        <w:pStyle w:val="ListParagraph"/>
        <w:numPr>
          <w:numId w:val="33"/>
        </w:numPr>
        <w:bidi w:val="0"/>
        <w:spacing w:after="0" w:line="240" w:lineRule="auto"/>
        <w:jc w:val="both"/>
        <w:rPr>
          <w:rFonts w:ascii="Times New Roman" w:hAnsi="Times New Roman" w:cs="Times New Roman"/>
        </w:rPr>
      </w:pPr>
      <w:r w:rsidRPr="009E0328">
        <w:rPr>
          <w:rFonts w:ascii="Times New Roman" w:hAnsi="Times New Roman" w:cs="Times New Roman"/>
        </w:rPr>
        <w:t>Sumy, ktoré zahŕňajú ekvivalent v iných menách. Všetky sumy denominované v domácej mene každého členského štátu sa chápu tak, že zahŕňajú rovnocenné sumy v iných menách, ako je stanovené vo vnútroštátnom práve.</w:t>
      </w:r>
    </w:p>
    <w:p w:rsidR="009E0328" w:rsidRPr="009E0328" w:rsidP="009E0328">
      <w:pPr>
        <w:pStyle w:val="ListParagraph"/>
        <w:bidi w:val="0"/>
        <w:rPr>
          <w:rFonts w:ascii="Times New Roman" w:hAnsi="Times New Roman" w:cs="Times New Roman"/>
        </w:rPr>
      </w:pPr>
    </w:p>
    <w:p w:rsidR="009E0328" w:rsidP="009E0328">
      <w:pPr>
        <w:bidi w:val="0"/>
        <w:spacing w:after="0" w:line="240" w:lineRule="auto"/>
        <w:jc w:val="center"/>
        <w:rPr>
          <w:rFonts w:ascii="Times New Roman" w:hAnsi="Times New Roman" w:cs="Times New Roman"/>
          <w:b/>
          <w:bCs/>
        </w:rPr>
      </w:pPr>
    </w:p>
    <w:p w:rsidR="009E0328" w:rsidP="009E0328">
      <w:pPr>
        <w:bidi w:val="0"/>
        <w:spacing w:after="0" w:line="240" w:lineRule="auto"/>
        <w:jc w:val="center"/>
        <w:rPr>
          <w:rFonts w:ascii="Times New Roman" w:hAnsi="Times New Roman" w:cs="Times New Roman"/>
          <w:b/>
          <w:bCs/>
        </w:rPr>
      </w:pPr>
      <w:r w:rsidRPr="009E0328">
        <w:rPr>
          <w:rFonts w:ascii="Times New Roman" w:hAnsi="Times New Roman" w:cs="Times New Roman"/>
          <w:b/>
          <w:bCs/>
        </w:rPr>
        <w:t>§ 9</w:t>
      </w:r>
    </w:p>
    <w:p w:rsidR="009E0328" w:rsidP="009E0328">
      <w:pPr>
        <w:bidi w:val="0"/>
        <w:spacing w:after="0" w:line="240" w:lineRule="auto"/>
        <w:jc w:val="center"/>
        <w:rPr>
          <w:rFonts w:ascii="Times New Roman" w:hAnsi="Times New Roman" w:cs="Times New Roman"/>
          <w:b/>
          <w:bCs/>
        </w:rPr>
      </w:pPr>
    </w:p>
    <w:p w:rsidR="009E0328" w:rsidRPr="009E0328" w:rsidP="009E0328">
      <w:pPr>
        <w:bidi w:val="0"/>
        <w:spacing w:after="0" w:line="240" w:lineRule="auto"/>
        <w:jc w:val="center"/>
        <w:rPr>
          <w:rFonts w:ascii="Times New Roman" w:hAnsi="Times New Roman" w:cs="Times New Roman"/>
          <w:b/>
          <w:bCs/>
        </w:rPr>
      </w:pPr>
      <w:r>
        <w:rPr>
          <w:rFonts w:ascii="Times New Roman" w:hAnsi="Times New Roman" w:cs="Times New Roman"/>
          <w:b/>
          <w:bCs/>
        </w:rPr>
        <w:t>Bližšie stanovenie používaných pojmov</w:t>
      </w:r>
    </w:p>
    <w:p w:rsidR="006B08F1" w:rsidRPr="005724D5" w:rsidP="005825D2">
      <w:pPr>
        <w:bidi w:val="0"/>
        <w:spacing w:after="0" w:line="240" w:lineRule="auto"/>
        <w:rPr>
          <w:rFonts w:ascii="Times New Roman" w:hAnsi="Times New Roman" w:cs="Times New Roman"/>
        </w:rPr>
      </w:pPr>
      <w:r w:rsidRPr="005724D5">
        <w:rPr>
          <w:rFonts w:ascii="Times New Roman" w:hAnsi="Times New Roman" w:cs="Times New Roman"/>
        </w:rPr>
        <w:t xml:space="preserve"> </w:t>
      </w:r>
    </w:p>
    <w:p w:rsidR="009E0328" w:rsidP="009E0328">
      <w:pPr>
        <w:pStyle w:val="ListParagraph"/>
        <w:numPr>
          <w:numId w:val="34"/>
        </w:numPr>
        <w:bidi w:val="0"/>
        <w:spacing w:after="0" w:line="240" w:lineRule="auto"/>
        <w:jc w:val="both"/>
        <w:rPr>
          <w:rFonts w:ascii="Times New Roman" w:hAnsi="Times New Roman" w:cs="Times New Roman"/>
        </w:rPr>
      </w:pPr>
      <w:r w:rsidRPr="009E0328">
        <w:rPr>
          <w:rFonts w:ascii="Times New Roman" w:hAnsi="Times New Roman" w:cs="Times New Roman"/>
        </w:rPr>
        <w:t xml:space="preserve">Zmena okolností‘ zahŕňa akúkoľvek zmenu, ktorá vedie k doplneniu informácií, ktoré sú relevantné v súvislosti so statusom osoby alebo sú iným spôsobom v rozpore s jej statusom. Okrem toho zmena okolností zahŕňa akúkoľvek zmenu alebo doplnenie informácií v súvislosti s účtom držiteľa účtu (vrátane doplnenia, nahradenia alebo inej zmeny držiteľa účtu) alebo akúkoľvek zmenu alebo doplnenie informácií v súvislosti s akýmkoľvek účtom, ktorý je s uvedeným účtom spojený (pričom sa uplatňujú pravidlá zlučovania účtov stanovené </w:t>
      </w:r>
      <w:r w:rsidR="00CA2EB1">
        <w:rPr>
          <w:rFonts w:ascii="Times New Roman" w:hAnsi="Times New Roman" w:cs="Times New Roman"/>
        </w:rPr>
        <w:t>§ 8</w:t>
      </w:r>
      <w:r w:rsidRPr="009E0328">
        <w:rPr>
          <w:rFonts w:ascii="Times New Roman" w:hAnsi="Times New Roman" w:cs="Times New Roman"/>
        </w:rPr>
        <w:t>, ak takáto zmena alebo doplnenie informácií majú vplyv na status držiteľa účtu.</w:t>
      </w:r>
      <w:r>
        <w:rPr>
          <w:rFonts w:ascii="Times New Roman" w:hAnsi="Times New Roman" w:cs="Times New Roman"/>
        </w:rPr>
        <w:t xml:space="preserve"> </w:t>
      </w:r>
      <w:r w:rsidRPr="009E0328">
        <w:rPr>
          <w:rFonts w:ascii="Times New Roman" w:hAnsi="Times New Roman" w:cs="Times New Roman"/>
        </w:rPr>
        <w:t xml:space="preserve">Ak sa oznamujúca finančná inštitúcia spoliehala na adresu bydliska stanovenú v </w:t>
      </w:r>
      <w:r w:rsidR="00CA2EB1">
        <w:rPr>
          <w:rFonts w:ascii="Times New Roman" w:hAnsi="Times New Roman" w:cs="Times New Roman"/>
        </w:rPr>
        <w:t>§ 3 ods. 1 písm. a)</w:t>
      </w:r>
      <w:r w:rsidRPr="009E0328">
        <w:rPr>
          <w:rFonts w:ascii="Times New Roman" w:hAnsi="Times New Roman" w:cs="Times New Roman"/>
        </w:rPr>
        <w:t xml:space="preserve"> a dôjde k zmene okolností, na základe ktorých oznamujúca finančná inštitúcia zistí alebo má dôvod domnievať sa, že pôvodné písomné dôkazy (alebo iná rovnocenná dokumentácia) sú nesprávne alebo nespoľahlivé, oznamujúca finančná inštitúcia musí najneskôr v posledný deň príslušného kalendárneho roka alebo iného primeraného oznamovacieho obdobia alebo do 90 kalendárnych dní po oznámení alebo zistení takejto zmeny okolnosti, podľa toho, čo nastane neskôr, získať čestné vyhlásenie a nové písomné dôkazy, aby mohla určiť rezidenciu (rezidencie) držiteľa účtu na daňové účely. Ak oznamujúca finančná inštitúcia nemôže získať čestné vyhlásenie a písomné dôkazy do takého dátumu, musí uplatniť postup vyhľadávania v elektronických záznamoch stanovený v </w:t>
      </w:r>
      <w:r w:rsidR="00F74D76">
        <w:rPr>
          <w:rFonts w:ascii="Times New Roman" w:hAnsi="Times New Roman" w:cs="Times New Roman"/>
        </w:rPr>
        <w:t>§ 3 ods. 1 písm. b) až e)</w:t>
      </w:r>
      <w:r w:rsidRPr="009E0328">
        <w:rPr>
          <w:rFonts w:ascii="Times New Roman" w:hAnsi="Times New Roman" w:cs="Times New Roman"/>
        </w:rPr>
        <w:t>.</w:t>
      </w:r>
    </w:p>
    <w:p w:rsidR="000D4F88" w:rsidP="000D4F88">
      <w:pPr>
        <w:pStyle w:val="ListParagraph"/>
        <w:bidi w:val="0"/>
        <w:spacing w:after="0" w:line="240" w:lineRule="auto"/>
        <w:jc w:val="both"/>
        <w:rPr>
          <w:rFonts w:ascii="Times New Roman" w:hAnsi="Times New Roman" w:cs="Times New Roman"/>
        </w:rPr>
      </w:pPr>
    </w:p>
    <w:p w:rsidR="009E0328" w:rsidP="000D4F88">
      <w:pPr>
        <w:pStyle w:val="ListParagraph"/>
        <w:numPr>
          <w:numId w:val="34"/>
        </w:numPr>
        <w:bidi w:val="0"/>
        <w:spacing w:after="0" w:line="240" w:lineRule="auto"/>
        <w:jc w:val="both"/>
        <w:rPr>
          <w:rFonts w:ascii="Times New Roman" w:hAnsi="Times New Roman" w:cs="Times New Roman"/>
        </w:rPr>
      </w:pPr>
      <w:r w:rsidRPr="000D4F88" w:rsidR="000D4F88">
        <w:rPr>
          <w:rFonts w:ascii="Times New Roman" w:hAnsi="Times New Roman" w:cs="Times New Roman"/>
        </w:rPr>
        <w:t>Pokiaľ ide o nové účty subjektov, na účely stanovenia toho, či je osoba ovládajúca pasívny nefinančný subjekt osobou podliehajúcou oznamovaniu, sa oznamujúca finančná inštitúcia môže spoliehať len na čestné vyhlásenie od držiteľa účtu alebo ovládajúcej osoby.</w:t>
      </w:r>
    </w:p>
    <w:p w:rsidR="000D4F88" w:rsidRPr="000D4F88" w:rsidP="000D4F88">
      <w:pPr>
        <w:pStyle w:val="ListParagraph"/>
        <w:bidi w:val="0"/>
        <w:rPr>
          <w:rFonts w:ascii="Times New Roman" w:hAnsi="Times New Roman" w:cs="Times New Roman"/>
        </w:rPr>
      </w:pPr>
    </w:p>
    <w:p w:rsidR="000D4F88" w:rsidRPr="000D4F88" w:rsidP="000D4F88">
      <w:pPr>
        <w:pStyle w:val="ListParagraph"/>
        <w:numPr>
          <w:numId w:val="34"/>
        </w:numPr>
        <w:bidi w:val="0"/>
        <w:spacing w:after="0" w:line="240" w:lineRule="auto"/>
        <w:jc w:val="both"/>
        <w:rPr>
          <w:rFonts w:ascii="Times New Roman" w:hAnsi="Times New Roman" w:cs="Times New Roman"/>
        </w:rPr>
      </w:pPr>
      <w:r w:rsidRPr="000D4F88">
        <w:rPr>
          <w:rFonts w:ascii="Times New Roman" w:hAnsi="Times New Roman" w:cs="Times New Roman"/>
        </w:rPr>
        <w:t>Finančná inštitúcia je ‚rezidentom‘ členského štátu, ak podlieha jurisdikcii takéhoto členského štátu (t. j. členský štát dokáže oznamovanie zo strany finančnej inštitúcie vynútiť). Vo všeobecnosti platí, že ak je na daňové účely finančná inštitúcia rezidentom členského štátu, podlieha jurisdikcii takého členského štátu, a teda je finančnou inštitúciou z členského štátu. V prípade zvereneckého fondu, ktorý je finančnou inštitúciou (bez ohľadu na to, či je na daňové účely rezidentom členského štátu), sa zverenecký fond považuje za podliehajúci jurisdikcii členského štátu, ak je jeden alebo viacerí z jeho správcov rezidentom takéhoto členského štátu, okrem prípadov, keď zverenecký fond oznamuje všetky informácie, ktoré sa v súvislosti s účtami podliehajúcimi oznamovaniu vedenými zvereneckým fondom majú podľa tejto smernice oznamovať inému členskému štátu, pretože je na daňové účely rezidentom takéhoto iného členského štátu. Avšak ak finančná inštitúcia (okrem zvereneckého fondu) nemá rezidenciu na daňové účely (napr. z dôvodu, že sa považuje za fiškálne transparentnú, alebo má sídlo v jurisdikcii, v ktorej nie je daň z príjmov), považuje sa za podliehajúcu jurisdikcii členského štátu, a teda je finančnou inštitúciou z členského štátu, ak:</w:t>
      </w:r>
    </w:p>
    <w:p w:rsidR="000D4F88" w:rsidRPr="000D4F88" w:rsidP="000D4F88">
      <w:pPr>
        <w:pStyle w:val="ListParagraph"/>
        <w:numPr>
          <w:numId w:val="35"/>
        </w:numPr>
        <w:bidi w:val="0"/>
        <w:spacing w:after="0" w:line="240" w:lineRule="auto"/>
        <w:jc w:val="both"/>
        <w:rPr>
          <w:rFonts w:ascii="Times New Roman" w:hAnsi="Times New Roman" w:cs="Times New Roman"/>
        </w:rPr>
      </w:pPr>
      <w:r w:rsidRPr="000D4F88">
        <w:rPr>
          <w:rFonts w:ascii="Times New Roman" w:hAnsi="Times New Roman" w:cs="Times New Roman"/>
        </w:rPr>
        <w:t>je zaregistrovaná podľa právnych predpisov daného členského štátu;</w:t>
      </w:r>
    </w:p>
    <w:p w:rsidR="000D4F88" w:rsidRPr="000D4F88" w:rsidP="000D4F88">
      <w:pPr>
        <w:pStyle w:val="ListParagraph"/>
        <w:numPr>
          <w:numId w:val="35"/>
        </w:numPr>
        <w:bidi w:val="0"/>
        <w:spacing w:after="0" w:line="240" w:lineRule="auto"/>
        <w:jc w:val="both"/>
        <w:rPr>
          <w:rFonts w:ascii="Times New Roman" w:hAnsi="Times New Roman" w:cs="Times New Roman"/>
        </w:rPr>
      </w:pPr>
      <w:r w:rsidRPr="000D4F88">
        <w:rPr>
          <w:rFonts w:ascii="Times New Roman" w:hAnsi="Times New Roman" w:cs="Times New Roman"/>
        </w:rPr>
        <w:t>jej miesto vedenia (vrátane skutočného vedenia) je v členskom štáte alebo</w:t>
      </w:r>
    </w:p>
    <w:p w:rsidR="000D4F88" w:rsidP="000D4F88">
      <w:pPr>
        <w:pStyle w:val="ListParagraph"/>
        <w:numPr>
          <w:numId w:val="35"/>
        </w:numPr>
        <w:bidi w:val="0"/>
        <w:spacing w:after="0" w:line="240" w:lineRule="auto"/>
        <w:jc w:val="both"/>
        <w:rPr>
          <w:rFonts w:ascii="Times New Roman" w:hAnsi="Times New Roman" w:cs="Times New Roman"/>
        </w:rPr>
      </w:pPr>
      <w:r w:rsidRPr="000D4F88">
        <w:rPr>
          <w:rFonts w:ascii="Times New Roman" w:hAnsi="Times New Roman" w:cs="Times New Roman"/>
        </w:rPr>
        <w:t>podlieha finančnému dohľadu v členskom štáte.</w:t>
      </w:r>
    </w:p>
    <w:p w:rsidR="00353954" w:rsidRPr="000D4F88" w:rsidP="00353954">
      <w:pPr>
        <w:pStyle w:val="ListParagraph"/>
        <w:bidi w:val="0"/>
        <w:spacing w:after="0" w:line="240" w:lineRule="auto"/>
        <w:ind w:left="1080"/>
        <w:jc w:val="both"/>
        <w:rPr>
          <w:rFonts w:ascii="Times New Roman" w:hAnsi="Times New Roman" w:cs="Times New Roman"/>
        </w:rPr>
      </w:pPr>
    </w:p>
    <w:p w:rsidR="000D4F88" w:rsidP="000D4F88">
      <w:pPr>
        <w:pStyle w:val="ListParagraph"/>
        <w:numPr>
          <w:numId w:val="34"/>
        </w:numPr>
        <w:bidi w:val="0"/>
        <w:spacing w:after="0" w:line="240" w:lineRule="auto"/>
        <w:jc w:val="both"/>
        <w:rPr>
          <w:rFonts w:ascii="Times New Roman" w:hAnsi="Times New Roman" w:cs="Times New Roman"/>
        </w:rPr>
      </w:pPr>
      <w:r w:rsidRPr="000D4F88">
        <w:rPr>
          <w:rFonts w:ascii="Times New Roman" w:hAnsi="Times New Roman" w:cs="Times New Roman"/>
        </w:rPr>
        <w:t>Ak je finančná inštitúcia (okrem zvereneckého fondu) rezidentom dvoch alebo viacerých členských štátov, takáto finančná inštitúcia bude podliehať povinnostiam týkajúcim sa oznamovania a hĺbkového preverovania toho členského štátu, v ktorom vedie finančný účet (finančné účty).</w:t>
      </w:r>
    </w:p>
    <w:p w:rsidR="00353954" w:rsidP="00353954">
      <w:pPr>
        <w:pStyle w:val="ListParagraph"/>
        <w:bidi w:val="0"/>
        <w:spacing w:after="0" w:line="240" w:lineRule="auto"/>
        <w:jc w:val="both"/>
        <w:rPr>
          <w:rFonts w:ascii="Times New Roman" w:hAnsi="Times New Roman" w:cs="Times New Roman"/>
        </w:rPr>
      </w:pPr>
    </w:p>
    <w:p w:rsidR="000D4F88" w:rsidRPr="000D4F88" w:rsidP="000D4F88">
      <w:pPr>
        <w:pStyle w:val="ListParagraph"/>
        <w:numPr>
          <w:numId w:val="34"/>
        </w:numPr>
        <w:bidi w:val="0"/>
        <w:spacing w:after="0" w:line="240" w:lineRule="auto"/>
        <w:jc w:val="both"/>
        <w:rPr>
          <w:rFonts w:ascii="Times New Roman" w:hAnsi="Times New Roman" w:cs="Times New Roman"/>
        </w:rPr>
      </w:pPr>
      <w:r>
        <w:rPr>
          <w:rFonts w:ascii="Times New Roman" w:hAnsi="Times New Roman" w:cs="Times New Roman"/>
        </w:rPr>
        <w:t>F</w:t>
      </w:r>
      <w:r w:rsidRPr="000D4F88">
        <w:rPr>
          <w:rFonts w:ascii="Times New Roman" w:hAnsi="Times New Roman" w:cs="Times New Roman"/>
        </w:rPr>
        <w:t>inančná inštitúcia vedie účet v týchto prípadoch:</w:t>
      </w:r>
    </w:p>
    <w:p w:rsidR="000D4F88" w:rsidRPr="000D4F88" w:rsidP="000D4F88">
      <w:pPr>
        <w:pStyle w:val="ListParagraph"/>
        <w:numPr>
          <w:numId w:val="36"/>
        </w:numPr>
        <w:bidi w:val="0"/>
        <w:spacing w:after="0" w:line="240" w:lineRule="auto"/>
        <w:jc w:val="both"/>
        <w:rPr>
          <w:rFonts w:ascii="Times New Roman" w:hAnsi="Times New Roman" w:cs="Times New Roman"/>
        </w:rPr>
      </w:pPr>
      <w:r w:rsidRPr="000D4F88">
        <w:rPr>
          <w:rFonts w:ascii="Times New Roman" w:hAnsi="Times New Roman" w:cs="Times New Roman"/>
        </w:rPr>
        <w:t>v prípade správcovského účtu finančná inštitúcia, ktorá vykonáva správu aktív na účte (vrátane finančnej inštitúcie, ktorá drží aktíva v mene makléra pre držiteľa účtu v takejto inštitúcii);</w:t>
      </w:r>
    </w:p>
    <w:p w:rsidR="000D4F88" w:rsidRPr="000D4F88" w:rsidP="000D4F88">
      <w:pPr>
        <w:pStyle w:val="ListParagraph"/>
        <w:numPr>
          <w:numId w:val="36"/>
        </w:numPr>
        <w:bidi w:val="0"/>
        <w:spacing w:after="0" w:line="240" w:lineRule="auto"/>
        <w:jc w:val="both"/>
        <w:rPr>
          <w:rFonts w:ascii="Times New Roman" w:hAnsi="Times New Roman" w:cs="Times New Roman"/>
        </w:rPr>
      </w:pPr>
      <w:r w:rsidRPr="000D4F88">
        <w:rPr>
          <w:rFonts w:ascii="Times New Roman" w:hAnsi="Times New Roman" w:cs="Times New Roman"/>
        </w:rPr>
        <w:t>v prípade vkladového účtu finančná inštitúcia, ktorá je v súvislosti s účtom povinná uskutočňovať platby (s výnimkou agenta finančnej inštitúcie bez ohľadu na to, či je takýto agent finančnou inštitúciou);</w:t>
      </w:r>
    </w:p>
    <w:p w:rsidR="000D4F88" w:rsidRPr="000D4F88" w:rsidP="000D4F88">
      <w:pPr>
        <w:pStyle w:val="ListParagraph"/>
        <w:numPr>
          <w:numId w:val="36"/>
        </w:numPr>
        <w:bidi w:val="0"/>
        <w:spacing w:after="0" w:line="240" w:lineRule="auto"/>
        <w:jc w:val="both"/>
        <w:rPr>
          <w:rFonts w:ascii="Times New Roman" w:hAnsi="Times New Roman" w:cs="Times New Roman"/>
        </w:rPr>
      </w:pPr>
      <w:r w:rsidRPr="000D4F88">
        <w:rPr>
          <w:rFonts w:ascii="Times New Roman" w:hAnsi="Times New Roman" w:cs="Times New Roman"/>
        </w:rPr>
        <w:t>v prípade akéhokoľvek majetkového alebo dlhového podielu vo finančnej inštitúcii, ktorý predstavuje finančný účet, je vedený touto finančnou inštitúciou;</w:t>
      </w:r>
    </w:p>
    <w:p w:rsidR="000D4F88" w:rsidP="000D4F88">
      <w:pPr>
        <w:pStyle w:val="ListParagraph"/>
        <w:numPr>
          <w:numId w:val="36"/>
        </w:numPr>
        <w:bidi w:val="0"/>
        <w:spacing w:after="0" w:line="240" w:lineRule="auto"/>
        <w:jc w:val="both"/>
        <w:rPr>
          <w:rFonts w:ascii="Times New Roman" w:hAnsi="Times New Roman" w:cs="Times New Roman"/>
        </w:rPr>
      </w:pPr>
      <w:r w:rsidRPr="000D4F88">
        <w:rPr>
          <w:rFonts w:ascii="Times New Roman" w:hAnsi="Times New Roman" w:cs="Times New Roman"/>
        </w:rPr>
        <w:t>v prípade poistnej zmluvy s odkupnou hodnotou alebo anuitnej zmluva finančná inštitúcia, ktorá je v súvislosti s účtom povinná uskutočňovať platby.</w:t>
      </w:r>
    </w:p>
    <w:p w:rsidR="000D4F88" w:rsidP="000D4F88">
      <w:pPr>
        <w:pStyle w:val="ListParagraph"/>
        <w:bidi w:val="0"/>
        <w:spacing w:after="0" w:line="240" w:lineRule="auto"/>
        <w:ind w:left="1080"/>
        <w:jc w:val="both"/>
        <w:rPr>
          <w:rFonts w:ascii="Times New Roman" w:hAnsi="Times New Roman" w:cs="Times New Roman"/>
        </w:rPr>
      </w:pPr>
    </w:p>
    <w:p w:rsidR="000D4F88" w:rsidP="000D4F88">
      <w:pPr>
        <w:pStyle w:val="ListParagraph"/>
        <w:numPr>
          <w:numId w:val="34"/>
        </w:numPr>
        <w:bidi w:val="0"/>
        <w:spacing w:after="0" w:line="240" w:lineRule="auto"/>
        <w:jc w:val="both"/>
        <w:rPr>
          <w:rFonts w:ascii="Times New Roman" w:hAnsi="Times New Roman" w:cs="Times New Roman"/>
        </w:rPr>
      </w:pPr>
      <w:r w:rsidRPr="000D4F88">
        <w:rPr>
          <w:rFonts w:ascii="Times New Roman" w:hAnsi="Times New Roman" w:cs="Times New Roman"/>
        </w:rPr>
        <w:t xml:space="preserve">Subjekt, akým je napríklad osobná obchodná spoločnosť, spoločnosť s ručením obmedzeným alebo podobný právny subjekt, ktorý nemá rezidenciu na daňové účely podľa </w:t>
      </w:r>
      <w:r w:rsidR="00F74D76">
        <w:rPr>
          <w:rFonts w:ascii="Times New Roman" w:hAnsi="Times New Roman" w:cs="Times New Roman"/>
        </w:rPr>
        <w:t>§ 6 ods. 3 zákona</w:t>
      </w:r>
      <w:r w:rsidRPr="000D4F88">
        <w:rPr>
          <w:rFonts w:ascii="Times New Roman" w:hAnsi="Times New Roman" w:cs="Times New Roman"/>
        </w:rPr>
        <w:t>, sa považuje za rezidenta v jurisdikcii, v ktorej sa nachádza miesto jeho skutočného vedenia. Na tieto účely sa právnická osoba alebo právny subjekt považujú za ‚podobné‘ osobnej obchodnej spoločnosti alebo spoločnosti s ručením obmedzeným, ak sa nepovažujú za zdaniteľnú jednotku v členskom štáte podľa daňových zákonov takéhoto členského štátu. Avšak s cieľom zabrániť dvojitému oznamovania (vzhľadom na široký rozsah pojmu ‚ovládajúce osoby‘ v prípade zvereneckých fondov), zverenecký fond, ktorý je pasívnym nefinančným subjektom, sa nesmie považovať za podobný právny subjekt.</w:t>
      </w:r>
    </w:p>
    <w:p w:rsidR="000D4F88" w:rsidP="000D4F88">
      <w:pPr>
        <w:pStyle w:val="ListParagraph"/>
        <w:bidi w:val="0"/>
        <w:spacing w:after="0" w:line="240" w:lineRule="auto"/>
        <w:jc w:val="both"/>
        <w:rPr>
          <w:rFonts w:ascii="Times New Roman" w:hAnsi="Times New Roman" w:cs="Times New Roman"/>
        </w:rPr>
      </w:pPr>
    </w:p>
    <w:p w:rsidR="000D4F88" w:rsidP="000D4F88">
      <w:pPr>
        <w:pStyle w:val="ListParagraph"/>
        <w:numPr>
          <w:numId w:val="34"/>
        </w:numPr>
        <w:bidi w:val="0"/>
        <w:spacing w:after="0" w:line="240" w:lineRule="auto"/>
        <w:jc w:val="both"/>
        <w:rPr>
          <w:rFonts w:ascii="Times New Roman" w:hAnsi="Times New Roman" w:cs="Times New Roman"/>
        </w:rPr>
      </w:pPr>
      <w:r w:rsidRPr="000D4F88">
        <w:rPr>
          <w:rFonts w:ascii="Times New Roman" w:hAnsi="Times New Roman" w:cs="Times New Roman"/>
        </w:rPr>
        <w:t xml:space="preserve">Jednou z požiadaviek stanovených v </w:t>
      </w:r>
      <w:r w:rsidR="00F74D76">
        <w:rPr>
          <w:rFonts w:ascii="Times New Roman" w:hAnsi="Times New Roman" w:cs="Times New Roman"/>
        </w:rPr>
        <w:t>§ 2 písm. i) bod 3.</w:t>
      </w:r>
      <w:r w:rsidRPr="000D4F88">
        <w:rPr>
          <w:rFonts w:ascii="Times New Roman" w:hAnsi="Times New Roman" w:cs="Times New Roman"/>
        </w:rPr>
        <w:t xml:space="preserve"> je to, že pokiaľ ide o subjekt, úradná dokumentácia zahŕňa buď adresu sídla subjektu v členskom štáte alebo v inej jurisdikcii, v súvislosti s ktorou tvrdí, že je jej rezident, alebo členský štát alebo inú jurisdikciu, v ktorej bol subjekt zaregistrovaný alebo zriadený. Adresa sídla subjektu je obvykle miesto, kde sa nachádza miesto skutočného vedenia. Adresa finančnej inštitúcie, v ktorej si subjekt vedie účet, poštová schránka alebo adresa používaná len na poštové účely nie je adresou sídla subjektu, pokiaľ nie je takáto adresa jedinou adresou, ktorú subjekt používa, a uvádza sa ako registrovaná adresa subjektu v organizačných dokumentoch subjektu. Okrem toho adresa, ktorá sa poskytne na základe pokynu, aby sa všetky poštové zásielky podržali na tejto adrese, nie je adresou sídla subjektu.</w:t>
      </w:r>
    </w:p>
    <w:p w:rsidR="000D4F88" w:rsidRPr="000D4F88" w:rsidP="000D4F88">
      <w:pPr>
        <w:pStyle w:val="ListParagraph"/>
        <w:bidi w:val="0"/>
        <w:rPr>
          <w:rFonts w:ascii="Times New Roman" w:hAnsi="Times New Roman" w:cs="Times New Roman"/>
        </w:rPr>
      </w:pPr>
    </w:p>
    <w:p w:rsidR="00A45A00" w:rsidP="000D4F88">
      <w:pPr>
        <w:pStyle w:val="ListParagraph"/>
        <w:numPr>
          <w:numId w:val="34"/>
        </w:numPr>
        <w:bidi w:val="0"/>
        <w:spacing w:after="0" w:line="240" w:lineRule="auto"/>
        <w:jc w:val="both"/>
        <w:rPr>
          <w:rFonts w:ascii="Times New Roman" w:hAnsi="Times New Roman" w:cs="Times New Roman"/>
        </w:rPr>
      </w:pPr>
      <w:r w:rsidR="000D4F88">
        <w:rPr>
          <w:rFonts w:ascii="Times New Roman" w:hAnsi="Times New Roman" w:cs="Times New Roman"/>
        </w:rPr>
        <w:t xml:space="preserve">Primeraným úsilím možno rozumieť </w:t>
      </w:r>
      <w:r>
        <w:rPr>
          <w:rFonts w:ascii="Times New Roman" w:hAnsi="Times New Roman" w:cs="Times New Roman"/>
        </w:rPr>
        <w:t xml:space="preserve">skutočný pokus, cieľom </w:t>
      </w:r>
      <w:r w:rsidR="000D4F88">
        <w:rPr>
          <w:rFonts w:ascii="Times New Roman" w:hAnsi="Times New Roman" w:cs="Times New Roman"/>
        </w:rPr>
        <w:t>ktoré</w:t>
      </w:r>
      <w:r>
        <w:rPr>
          <w:rFonts w:ascii="Times New Roman" w:hAnsi="Times New Roman" w:cs="Times New Roman"/>
        </w:rPr>
        <w:t>ho je získanie daňového identifikačného čísla alebo dátumu narodenia držiteľa účtu. Takéto úsilie musí byť vynaložené aspoň jedenkrát ročne, v období medzi identifikáciu existujúceho účtu ako oznamovaného účtu a koncom druhého kalendárneho roka, nasledujúceho po roku, kedy bol tento účet ako oznamovaný identifikovaný. Príkladom primeraného úsilia je najmä kontaktovanie držiteľa účtu poštou, osobne alebo telefonicky, vyhľadávanie v elektronických záznamoch vedených prepojeným subjektom oznamujúcej finančnej inštitúcie, v súlade s pravidlami pre zlučovanie účtov. Akokoľvek primerané úsilie automaticky nevyžaduje zrušenie, zablokovanie alebo presunutie účtu, ani kladenie požiada</w:t>
      </w:r>
      <w:r w:rsidR="00372897">
        <w:rPr>
          <w:rFonts w:ascii="Times New Roman" w:hAnsi="Times New Roman" w:cs="Times New Roman"/>
        </w:rPr>
        <w:t>viek</w:t>
      </w:r>
      <w:r>
        <w:rPr>
          <w:rFonts w:ascii="Times New Roman" w:hAnsi="Times New Roman" w:cs="Times New Roman"/>
        </w:rPr>
        <w:t xml:space="preserve"> alebo akékoľvek obmedzovanie prístupu k účtu. </w:t>
      </w:r>
      <w:r w:rsidR="00372897">
        <w:rPr>
          <w:rFonts w:ascii="Times New Roman" w:hAnsi="Times New Roman" w:cs="Times New Roman"/>
        </w:rPr>
        <w:t>Primerané úsilie môže byť vynakladané, aj po lehote stanovenej v tomto odseku.</w:t>
      </w:r>
    </w:p>
    <w:p w:rsidR="00A45A00" w:rsidRPr="00A45A00" w:rsidP="00A45A00">
      <w:pPr>
        <w:pStyle w:val="ListParagraph"/>
        <w:bidi w:val="0"/>
        <w:rPr>
          <w:rFonts w:ascii="Times New Roman" w:hAnsi="Times New Roman" w:cs="Times New Roman"/>
        </w:rPr>
      </w:pPr>
    </w:p>
    <w:p w:rsidR="00372897" w:rsidP="00372897">
      <w:pPr>
        <w:pStyle w:val="ListParagraph"/>
        <w:numPr>
          <w:numId w:val="34"/>
        </w:numPr>
        <w:bidi w:val="0"/>
        <w:spacing w:after="0" w:line="240" w:lineRule="auto"/>
        <w:jc w:val="both"/>
        <w:rPr>
          <w:rFonts w:ascii="Times New Roman" w:hAnsi="Times New Roman" w:cs="Times New Roman"/>
        </w:rPr>
      </w:pPr>
      <w:r w:rsidR="000D4F88">
        <w:rPr>
          <w:rFonts w:ascii="Times New Roman" w:hAnsi="Times New Roman" w:cs="Times New Roman"/>
        </w:rPr>
        <w:t xml:space="preserve"> </w:t>
      </w:r>
      <w:r w:rsidRPr="00372897">
        <w:rPr>
          <w:rFonts w:ascii="Times New Roman" w:hAnsi="Times New Roman" w:cs="Times New Roman"/>
        </w:rPr>
        <w:t>P</w:t>
      </w:r>
      <w:r w:rsidR="00F74D76">
        <w:rPr>
          <w:rFonts w:ascii="Times New Roman" w:hAnsi="Times New Roman" w:cs="Times New Roman"/>
        </w:rPr>
        <w:t xml:space="preserve">ojem účet s nižšou hodnotou </w:t>
      </w:r>
      <w:r w:rsidRPr="00372897">
        <w:rPr>
          <w:rFonts w:ascii="Times New Roman" w:hAnsi="Times New Roman" w:cs="Times New Roman"/>
        </w:rPr>
        <w:t>označuje existujúci účet fyzickej osoby s celkovým zostatkom alebo hodnotou, ktorá k 31. decembru 2015 nepresahuje sumu denominovanú v domácej mene každého členského štátu zodpovedajúcu sume 1 000 000 USD.</w:t>
      </w:r>
    </w:p>
    <w:p w:rsidR="00372897" w:rsidRPr="00372897" w:rsidP="00372897">
      <w:pPr>
        <w:pStyle w:val="ListParagraph"/>
        <w:bidi w:val="0"/>
        <w:rPr>
          <w:rFonts w:ascii="Times New Roman" w:hAnsi="Times New Roman" w:cs="Times New Roman"/>
        </w:rPr>
      </w:pPr>
    </w:p>
    <w:p w:rsidR="000D4F88" w:rsidRPr="00372897" w:rsidP="00372897">
      <w:pPr>
        <w:pStyle w:val="ListParagraph"/>
        <w:numPr>
          <w:numId w:val="34"/>
        </w:numPr>
        <w:bidi w:val="0"/>
        <w:spacing w:after="0" w:line="240" w:lineRule="auto"/>
        <w:jc w:val="both"/>
        <w:rPr>
          <w:rFonts w:ascii="Times New Roman" w:hAnsi="Times New Roman" w:cs="Times New Roman"/>
        </w:rPr>
      </w:pPr>
      <w:r w:rsidR="00F74D76">
        <w:rPr>
          <w:rFonts w:ascii="Times New Roman" w:hAnsi="Times New Roman" w:cs="Times New Roman"/>
        </w:rPr>
        <w:t xml:space="preserve">Pojem </w:t>
      </w:r>
      <w:r w:rsidRPr="00372897" w:rsidR="00372897">
        <w:rPr>
          <w:rFonts w:ascii="Times New Roman" w:hAnsi="Times New Roman" w:cs="Times New Roman"/>
        </w:rPr>
        <w:t xml:space="preserve">účet s </w:t>
      </w:r>
      <w:r w:rsidR="00F74D76">
        <w:rPr>
          <w:rFonts w:ascii="Times New Roman" w:hAnsi="Times New Roman" w:cs="Times New Roman"/>
        </w:rPr>
        <w:t xml:space="preserve">vysokou hodnotou </w:t>
      </w:r>
      <w:r w:rsidRPr="00372897" w:rsidR="00372897">
        <w:rPr>
          <w:rFonts w:ascii="Times New Roman" w:hAnsi="Times New Roman" w:cs="Times New Roman"/>
        </w:rPr>
        <w:t>označuje existujúci účet fyzickej osoby s celkovým zostatkom alebo hodnotou, ktorá k 31. decembru 2015 alebo k 31. decembru ktoréhokoľvek nasledujúceho roka presahuje sumu denominovanú v domácej mene každého členského štátu zodpovedajúcu sume 1 000 000 USD.</w:t>
      </w:r>
    </w:p>
    <w:p w:rsidR="000D4F88" w:rsidRPr="000D4F88" w:rsidP="000D4F88">
      <w:pPr>
        <w:bidi w:val="0"/>
        <w:spacing w:after="0" w:line="240" w:lineRule="auto"/>
        <w:ind w:left="360"/>
        <w:jc w:val="both"/>
        <w:rPr>
          <w:rFonts w:ascii="Times New Roman" w:hAnsi="Times New Roman" w:cs="Times New Roman"/>
        </w:rPr>
      </w:pPr>
    </w:p>
    <w:sectPr w:rsidSect="00D3362A">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DokChampa">
    <w:altName w:val="Arial"/>
    <w:panose1 w:val="020B0604020202020204"/>
    <w:charset w:val="DE"/>
    <w:family w:val="swiss"/>
    <w:pitch w:val="variable"/>
    <w:sig w:usb0="00000000" w:usb1="00000000" w:usb2="00000000" w:usb3="00000000" w:csb0="00010001"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71AE"/>
    <w:multiLevelType w:val="hybridMultilevel"/>
    <w:tmpl w:val="5F2EE9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63B7860"/>
    <w:multiLevelType w:val="hybridMultilevel"/>
    <w:tmpl w:val="06704C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22666259"/>
    <w:multiLevelType w:val="hybridMultilevel"/>
    <w:tmpl w:val="01128CD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
    <w:nsid w:val="235E7698"/>
    <w:multiLevelType w:val="hybridMultilevel"/>
    <w:tmpl w:val="E968DB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36D549B"/>
    <w:multiLevelType w:val="hybridMultilevel"/>
    <w:tmpl w:val="70606E2C"/>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5">
    <w:nsid w:val="25CC2FD5"/>
    <w:multiLevelType w:val="hybridMultilevel"/>
    <w:tmpl w:val="717E55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9543BA3"/>
    <w:multiLevelType w:val="hybridMultilevel"/>
    <w:tmpl w:val="705CFC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84736D9"/>
    <w:multiLevelType w:val="hybridMultilevel"/>
    <w:tmpl w:val="11F652CE"/>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A1A3725"/>
    <w:multiLevelType w:val="hybridMultilevel"/>
    <w:tmpl w:val="D9F8B61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3B7A7527"/>
    <w:multiLevelType w:val="hybridMultilevel"/>
    <w:tmpl w:val="93BABC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DF3431F"/>
    <w:multiLevelType w:val="hybridMultilevel"/>
    <w:tmpl w:val="28943408"/>
    <w:lvl w:ilvl="0">
      <w:start w:val="1"/>
      <w:numFmt w:val="decimal"/>
      <w:lvlText w:val="%1."/>
      <w:lvlJc w:val="left"/>
      <w:pPr>
        <w:ind w:left="1440" w:hanging="360"/>
      </w:pPr>
      <w:rPr>
        <w:rFonts w:ascii="Times New Roman" w:eastAsia="Times New Roman"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1">
    <w:nsid w:val="3EEC11CE"/>
    <w:multiLevelType w:val="hybridMultilevel"/>
    <w:tmpl w:val="543AB2F0"/>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2">
    <w:nsid w:val="3F7D5C96"/>
    <w:multiLevelType w:val="hybridMultilevel"/>
    <w:tmpl w:val="E51274C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3FC6607B"/>
    <w:multiLevelType w:val="hybridMultilevel"/>
    <w:tmpl w:val="C072679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42545B38"/>
    <w:multiLevelType w:val="hybridMultilevel"/>
    <w:tmpl w:val="DCD09B0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43067076"/>
    <w:multiLevelType w:val="hybridMultilevel"/>
    <w:tmpl w:val="809AF83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6">
    <w:nsid w:val="46822BF7"/>
    <w:multiLevelType w:val="hybridMultilevel"/>
    <w:tmpl w:val="38B0232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48A3633C"/>
    <w:multiLevelType w:val="hybridMultilevel"/>
    <w:tmpl w:val="47B20F56"/>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4904579A"/>
    <w:multiLevelType w:val="hybridMultilevel"/>
    <w:tmpl w:val="D60C31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C9F4116"/>
    <w:multiLevelType w:val="hybridMultilevel"/>
    <w:tmpl w:val="423ED946"/>
    <w:lvl w:ilvl="0">
      <w:start w:val="1"/>
      <w:numFmt w:val="decimal"/>
      <w:lvlText w:val="%1."/>
      <w:lvlJc w:val="left"/>
      <w:pPr>
        <w:ind w:left="1440" w:hanging="360"/>
      </w:pPr>
      <w:rPr>
        <w:rFonts w:cs="Times New Roman" w:hint="default"/>
        <w:b w:val="0"/>
        <w:bCs/>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0">
    <w:nsid w:val="4DC94A6B"/>
    <w:multiLevelType w:val="hybridMultilevel"/>
    <w:tmpl w:val="DD6E7C2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4F6515EC"/>
    <w:multiLevelType w:val="hybridMultilevel"/>
    <w:tmpl w:val="DCB6E00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518B1841"/>
    <w:multiLevelType w:val="hybridMultilevel"/>
    <w:tmpl w:val="7DFA6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47B35D7"/>
    <w:multiLevelType w:val="hybridMultilevel"/>
    <w:tmpl w:val="FD7AD0F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4">
    <w:nsid w:val="598343DA"/>
    <w:multiLevelType w:val="hybridMultilevel"/>
    <w:tmpl w:val="2D3A7CB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5">
    <w:nsid w:val="5A070445"/>
    <w:multiLevelType w:val="hybridMultilevel"/>
    <w:tmpl w:val="5E80BA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B4D6F82"/>
    <w:multiLevelType w:val="hybridMultilevel"/>
    <w:tmpl w:val="0AD4DC5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DA66D8C"/>
    <w:multiLevelType w:val="hybridMultilevel"/>
    <w:tmpl w:val="FAC863C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8">
    <w:nsid w:val="5E78692B"/>
    <w:multiLevelType w:val="hybridMultilevel"/>
    <w:tmpl w:val="1318F2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811166D"/>
    <w:multiLevelType w:val="hybridMultilevel"/>
    <w:tmpl w:val="17463B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A674234"/>
    <w:multiLevelType w:val="hybridMultilevel"/>
    <w:tmpl w:val="A9D264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E5326F2"/>
    <w:multiLevelType w:val="hybridMultilevel"/>
    <w:tmpl w:val="A64E955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71477C6C"/>
    <w:multiLevelType w:val="hybridMultilevel"/>
    <w:tmpl w:val="DBD4EEF6"/>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3">
    <w:nsid w:val="73432589"/>
    <w:multiLevelType w:val="hybridMultilevel"/>
    <w:tmpl w:val="0B760BC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7A916ED4"/>
    <w:multiLevelType w:val="hybridMultilevel"/>
    <w:tmpl w:val="A5789D82"/>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5">
    <w:nsid w:val="7D4803FB"/>
    <w:multiLevelType w:val="hybridMultilevel"/>
    <w:tmpl w:val="776CF0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0"/>
  </w:num>
  <w:num w:numId="3">
    <w:abstractNumId w:val="21"/>
  </w:num>
  <w:num w:numId="4">
    <w:abstractNumId w:val="28"/>
  </w:num>
  <w:num w:numId="5">
    <w:abstractNumId w:val="19"/>
  </w:num>
  <w:num w:numId="6">
    <w:abstractNumId w:val="24"/>
  </w:num>
  <w:num w:numId="7">
    <w:abstractNumId w:val="8"/>
  </w:num>
  <w:num w:numId="8">
    <w:abstractNumId w:val="15"/>
  </w:num>
  <w:num w:numId="9">
    <w:abstractNumId w:val="27"/>
  </w:num>
  <w:num w:numId="10">
    <w:abstractNumId w:val="31"/>
  </w:num>
  <w:num w:numId="11">
    <w:abstractNumId w:val="3"/>
  </w:num>
  <w:num w:numId="12">
    <w:abstractNumId w:val="26"/>
  </w:num>
  <w:num w:numId="13">
    <w:abstractNumId w:val="6"/>
  </w:num>
  <w:num w:numId="14">
    <w:abstractNumId w:val="4"/>
  </w:num>
  <w:num w:numId="15">
    <w:abstractNumId w:val="33"/>
  </w:num>
  <w:num w:numId="16">
    <w:abstractNumId w:val="32"/>
  </w:num>
  <w:num w:numId="17">
    <w:abstractNumId w:val="2"/>
  </w:num>
  <w:num w:numId="18">
    <w:abstractNumId w:val="16"/>
  </w:num>
  <w:num w:numId="19">
    <w:abstractNumId w:val="22"/>
  </w:num>
  <w:num w:numId="20">
    <w:abstractNumId w:val="12"/>
  </w:num>
  <w:num w:numId="21">
    <w:abstractNumId w:val="5"/>
  </w:num>
  <w:num w:numId="22">
    <w:abstractNumId w:val="30"/>
  </w:num>
  <w:num w:numId="23">
    <w:abstractNumId w:val="10"/>
  </w:num>
  <w:num w:numId="24">
    <w:abstractNumId w:val="17"/>
  </w:num>
  <w:num w:numId="25">
    <w:abstractNumId w:val="7"/>
  </w:num>
  <w:num w:numId="26">
    <w:abstractNumId w:val="9"/>
  </w:num>
  <w:num w:numId="27">
    <w:abstractNumId w:val="20"/>
  </w:num>
  <w:num w:numId="28">
    <w:abstractNumId w:val="14"/>
  </w:num>
  <w:num w:numId="29">
    <w:abstractNumId w:val="25"/>
  </w:num>
  <w:num w:numId="30">
    <w:abstractNumId w:val="11"/>
  </w:num>
  <w:num w:numId="31">
    <w:abstractNumId w:val="34"/>
  </w:num>
  <w:num w:numId="32">
    <w:abstractNumId w:val="13"/>
  </w:num>
  <w:num w:numId="33">
    <w:abstractNumId w:val="29"/>
  </w:num>
  <w:num w:numId="34">
    <w:abstractNumId w:val="35"/>
  </w:num>
  <w:num w:numId="35">
    <w:abstractNumId w:val="23"/>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FF13A6"/>
    <w:rsid w:val="0006030C"/>
    <w:rsid w:val="000D4F88"/>
    <w:rsid w:val="000F16A6"/>
    <w:rsid w:val="001125F8"/>
    <w:rsid w:val="00135174"/>
    <w:rsid w:val="00136F85"/>
    <w:rsid w:val="001C51B7"/>
    <w:rsid w:val="001D18D3"/>
    <w:rsid w:val="002C7DD3"/>
    <w:rsid w:val="00353954"/>
    <w:rsid w:val="00372897"/>
    <w:rsid w:val="003B623D"/>
    <w:rsid w:val="00424667"/>
    <w:rsid w:val="004E637B"/>
    <w:rsid w:val="004E6F34"/>
    <w:rsid w:val="005724D5"/>
    <w:rsid w:val="005825D2"/>
    <w:rsid w:val="005D406A"/>
    <w:rsid w:val="005F1B46"/>
    <w:rsid w:val="00694F04"/>
    <w:rsid w:val="006B08F1"/>
    <w:rsid w:val="006D32DD"/>
    <w:rsid w:val="006E144E"/>
    <w:rsid w:val="00706941"/>
    <w:rsid w:val="00733032"/>
    <w:rsid w:val="00751CA4"/>
    <w:rsid w:val="007C479B"/>
    <w:rsid w:val="007E6AE0"/>
    <w:rsid w:val="00812968"/>
    <w:rsid w:val="00836791"/>
    <w:rsid w:val="008A616F"/>
    <w:rsid w:val="008F5C1A"/>
    <w:rsid w:val="00936B27"/>
    <w:rsid w:val="00953C0F"/>
    <w:rsid w:val="00966B85"/>
    <w:rsid w:val="009D1175"/>
    <w:rsid w:val="009D3F96"/>
    <w:rsid w:val="009E0328"/>
    <w:rsid w:val="00A13749"/>
    <w:rsid w:val="00A22DBA"/>
    <w:rsid w:val="00A45A00"/>
    <w:rsid w:val="00A562BF"/>
    <w:rsid w:val="00A8025E"/>
    <w:rsid w:val="00A923B8"/>
    <w:rsid w:val="00AB6119"/>
    <w:rsid w:val="00B03EEE"/>
    <w:rsid w:val="00BC5851"/>
    <w:rsid w:val="00C734EB"/>
    <w:rsid w:val="00C907A6"/>
    <w:rsid w:val="00C944EB"/>
    <w:rsid w:val="00CA2EB1"/>
    <w:rsid w:val="00CE5A3E"/>
    <w:rsid w:val="00D3362A"/>
    <w:rsid w:val="00E107FC"/>
    <w:rsid w:val="00E8753C"/>
    <w:rsid w:val="00E92233"/>
    <w:rsid w:val="00EA0218"/>
    <w:rsid w:val="00EE3493"/>
    <w:rsid w:val="00F02FEC"/>
    <w:rsid w:val="00F64520"/>
    <w:rsid w:val="00F74D76"/>
    <w:rsid w:val="00F85559"/>
    <w:rsid w:val="00FA1297"/>
    <w:rsid w:val="00FD4EE5"/>
    <w:rsid w:val="00FF13A6"/>
  </w:rsids>
  <m:mathPr>
    <m:mathFont m:val="Cambria Math"/>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Arial Narrow" w:hAnsi="Arial Narrow" w:cs="DokChampa"/>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107FC"/>
    <w:pPr>
      <w:ind w:left="720"/>
      <w:contextualSpacing/>
      <w:jc w:val="left"/>
    </w:pPr>
  </w:style>
  <w:style w:type="character" w:styleId="CommentReference">
    <w:name w:val="annotation reference"/>
    <w:basedOn w:val="DefaultParagraphFont"/>
    <w:uiPriority w:val="99"/>
    <w:semiHidden/>
    <w:unhideWhenUsed/>
    <w:rsid w:val="00966B85"/>
    <w:rPr>
      <w:rFonts w:cs="Times New Roman"/>
      <w:sz w:val="16"/>
      <w:szCs w:val="16"/>
      <w:rtl w:val="0"/>
      <w:cs w:val="0"/>
    </w:rPr>
  </w:style>
  <w:style w:type="paragraph" w:styleId="CommentText">
    <w:name w:val="annotation text"/>
    <w:basedOn w:val="Normal"/>
    <w:link w:val="TextkomentraChar"/>
    <w:uiPriority w:val="99"/>
    <w:semiHidden/>
    <w:unhideWhenUsed/>
    <w:rsid w:val="00966B85"/>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966B85"/>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66B8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966B85"/>
    <w:rPr>
      <w:b/>
      <w:bCs/>
    </w:rPr>
  </w:style>
  <w:style w:type="paragraph" w:styleId="BalloonText">
    <w:name w:val="Balloon Text"/>
    <w:basedOn w:val="Normal"/>
    <w:link w:val="TextbublinyChar"/>
    <w:uiPriority w:val="99"/>
    <w:semiHidden/>
    <w:unhideWhenUsed/>
    <w:rsid w:val="00966B8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66B85"/>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45</TotalTime>
  <Pages>12</Pages>
  <Words>5826</Words>
  <Characters>33210</Characters>
  <Application>Microsoft Office Word</Application>
  <DocSecurity>0</DocSecurity>
  <Lines>0</Lines>
  <Paragraphs>0</Paragraphs>
  <ScaleCrop>false</ScaleCrop>
  <Company/>
  <LinksUpToDate>false</LinksUpToDate>
  <CharactersWithSpaces>38959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Uhrinova Lineta</dc:creator>
  <cp:lastModifiedBy>Uhrinova Lineta</cp:lastModifiedBy>
  <cp:revision>6</cp:revision>
  <cp:lastPrinted>2015-08-20T08:42:00Z</cp:lastPrinted>
  <dcterms:created xsi:type="dcterms:W3CDTF">2015-08-10T10:56:00Z</dcterms:created>
  <dcterms:modified xsi:type="dcterms:W3CDTF">2015-08-20T08:44:00Z</dcterms:modified>
</cp:coreProperties>
</file>