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22D78" w:rsidRPr="00922D78" w:rsidP="00922D78">
      <w:pPr>
        <w:widowControl w:val="0"/>
        <w:bidi w:val="0"/>
        <w:adjustRightInd w:val="0"/>
        <w:spacing w:line="276" w:lineRule="auto"/>
        <w:contextualSpacing/>
        <w:jc w:val="center"/>
        <w:rPr>
          <w:rFonts w:ascii="Times New Roman" w:hAnsi="Times New Roman"/>
          <w:b/>
          <w:smallCaps/>
          <w:color w:val="auto"/>
        </w:rPr>
      </w:pPr>
      <w:r w:rsidRPr="00922D78">
        <w:rPr>
          <w:rFonts w:ascii="Times New Roman" w:hAnsi="Times New Roman"/>
          <w:b/>
          <w:smallCaps/>
          <w:color w:val="auto"/>
        </w:rPr>
        <w:t>DÔVODOVÁ   SPRÁVA</w:t>
      </w:r>
    </w:p>
    <w:p w:rsidR="00922D78" w:rsidRPr="00922D78" w:rsidP="00922D78">
      <w:pPr>
        <w:bidi w:val="0"/>
        <w:jc w:val="both"/>
        <w:rPr>
          <w:rFonts w:ascii="Times New Roman" w:hAnsi="Times New Roman"/>
          <w:b/>
        </w:rPr>
      </w:pPr>
    </w:p>
    <w:p w:rsidR="00922D78" w:rsidRPr="00922D78" w:rsidP="00922D78">
      <w:pPr>
        <w:widowControl w:val="0"/>
        <w:numPr>
          <w:numId w:val="39"/>
        </w:numPr>
        <w:bidi w:val="0"/>
        <w:adjustRightInd w:val="0"/>
        <w:ind w:left="0" w:firstLine="0"/>
        <w:jc w:val="both"/>
        <w:rPr>
          <w:rFonts w:ascii="Times New Roman" w:hAnsi="Times New Roman"/>
          <w:b/>
        </w:rPr>
      </w:pPr>
      <w:r w:rsidRPr="00922D78">
        <w:rPr>
          <w:rFonts w:ascii="Times New Roman" w:hAnsi="Times New Roman"/>
          <w:b/>
        </w:rPr>
        <w:t xml:space="preserve">Všeobecná časť </w:t>
      </w:r>
    </w:p>
    <w:p w:rsidR="00922D78" w:rsidRPr="00922D78" w:rsidP="00922D78">
      <w:pPr>
        <w:bidi w:val="0"/>
        <w:ind w:firstLine="708"/>
        <w:jc w:val="both"/>
        <w:rPr>
          <w:rFonts w:ascii="Times New Roman" w:hAnsi="Times New Roman"/>
          <w:color w:val="auto"/>
        </w:rPr>
      </w:pPr>
    </w:p>
    <w:p w:rsidR="00922D78" w:rsidRPr="00922D78" w:rsidP="00922D78">
      <w:pPr>
        <w:bidi w:val="0"/>
        <w:ind w:firstLine="708"/>
        <w:jc w:val="both"/>
        <w:rPr>
          <w:rFonts w:ascii="Times New Roman" w:hAnsi="Times New Roman"/>
          <w:color w:val="auto"/>
        </w:rPr>
      </w:pPr>
      <w:r w:rsidRPr="00922D78">
        <w:rPr>
          <w:rFonts w:ascii="Times New Roman" w:hAnsi="Times New Roman"/>
          <w:color w:val="auto"/>
        </w:rPr>
        <w:t xml:space="preserve">Návrh zákona Ministerstva financií Slovenskej republiky, ktorým sa mení a dopĺňa zákon č. 492/2009 Z. z. o platobných službách a o zmene a doplnení niektorých zákonov </w:t>
      </w:r>
      <w:r w:rsidR="00C63986">
        <w:rPr>
          <w:rFonts w:ascii="Times New Roman" w:hAnsi="Times New Roman"/>
          <w:color w:val="auto"/>
        </w:rPr>
        <w:t xml:space="preserve">           </w:t>
      </w:r>
      <w:r w:rsidRPr="00922D78">
        <w:rPr>
          <w:rFonts w:ascii="Times New Roman" w:hAnsi="Times New Roman"/>
          <w:color w:val="auto"/>
        </w:rPr>
        <w:t>v znení neskorších predpisov a ktorým sa mení a dopĺňa  zákon č.  483/2001 Z. z. o</w:t>
      </w:r>
      <w:r w:rsidR="00C63986">
        <w:rPr>
          <w:rFonts w:ascii="Times New Roman" w:hAnsi="Times New Roman"/>
          <w:color w:val="auto"/>
        </w:rPr>
        <w:t> </w:t>
      </w:r>
      <w:r w:rsidRPr="00922D78">
        <w:rPr>
          <w:rFonts w:ascii="Times New Roman" w:hAnsi="Times New Roman"/>
          <w:color w:val="auto"/>
        </w:rPr>
        <w:t>bankách</w:t>
      </w:r>
      <w:r w:rsidR="00C63986">
        <w:rPr>
          <w:rFonts w:ascii="Times New Roman" w:hAnsi="Times New Roman"/>
          <w:color w:val="auto"/>
        </w:rPr>
        <w:t xml:space="preserve">      </w:t>
      </w:r>
      <w:r w:rsidRPr="00922D78">
        <w:rPr>
          <w:rFonts w:ascii="Times New Roman" w:hAnsi="Times New Roman"/>
          <w:color w:val="auto"/>
        </w:rPr>
        <w:t xml:space="preserve"> a o zmene  a doplnení niektorých zákonov v znení neskorších predpisov</w:t>
      </w:r>
      <w:r w:rsidRPr="00922D78">
        <w:rPr>
          <w:rFonts w:ascii="Times New Roman" w:hAnsi="Times New Roman"/>
          <w:color w:val="auto"/>
        </w:rPr>
        <w:t xml:space="preserve"> </w:t>
      </w:r>
      <w:r w:rsidRPr="00922D78">
        <w:rPr>
          <w:rFonts w:ascii="Times New Roman" w:hAnsi="Times New Roman"/>
          <w:color w:val="auto"/>
        </w:rPr>
        <w:t>(ďalej len „návrh zákona“) vypracovalo Ministerstvo financií Slovenskej republiky v spolupráci s Národnou bankou Slovenska v súlade s Plánom legislatívnych úlohy vlády na rok 2015.</w:t>
      </w:r>
    </w:p>
    <w:p w:rsidR="00922D78" w:rsidRPr="00922D78" w:rsidP="00922D78">
      <w:pPr>
        <w:bidi w:val="0"/>
        <w:ind w:firstLine="708"/>
        <w:jc w:val="both"/>
        <w:rPr>
          <w:rFonts w:ascii="Times New Roman" w:hAnsi="Times New Roman"/>
          <w:color w:val="auto"/>
        </w:rPr>
      </w:pPr>
    </w:p>
    <w:p w:rsidR="00922D78" w:rsidRPr="00922D78" w:rsidP="00922D78">
      <w:pPr>
        <w:bidi w:val="0"/>
        <w:ind w:firstLine="708"/>
        <w:jc w:val="both"/>
        <w:rPr>
          <w:rFonts w:ascii="Times New Roman" w:hAnsi="Times New Roman"/>
          <w:color w:val="auto"/>
        </w:rPr>
      </w:pPr>
      <w:r w:rsidRPr="00922D78">
        <w:rPr>
          <w:rFonts w:ascii="Times New Roman" w:hAnsi="Times New Roman"/>
          <w:color w:val="auto"/>
        </w:rPr>
        <w:t>Cieľom návrhu zákona je transponovať smernicu Európskeho parlamentu a Rady 2014/92/EÚ z 23. júla 2014 o porovnateľnosti poplatkov za platobné účty, o presune platobných účtov a o prístupe k platobným účtom so základnými funkciami</w:t>
      </w:r>
      <w:r w:rsidRPr="00922D78">
        <w:rPr>
          <w:rFonts w:ascii="Times New Roman" w:hAnsi="Times New Roman"/>
          <w:color w:val="auto"/>
        </w:rPr>
        <w:t xml:space="preserve"> </w:t>
      </w:r>
      <w:r w:rsidRPr="00922D78">
        <w:rPr>
          <w:rFonts w:ascii="Times New Roman" w:hAnsi="Times New Roman"/>
          <w:color w:val="auto"/>
        </w:rPr>
        <w:t>(ďalej len „smernica PAD“). Uvedená smernica sa transponuje zákonom č. 492/2009 Z. z. o platobných službách a o</w:t>
      </w:r>
      <w:r w:rsidR="00C63986">
        <w:rPr>
          <w:rFonts w:ascii="Times New Roman" w:hAnsi="Times New Roman"/>
          <w:color w:val="auto"/>
        </w:rPr>
        <w:t> </w:t>
      </w:r>
      <w:r w:rsidRPr="00922D78">
        <w:rPr>
          <w:rFonts w:ascii="Times New Roman" w:hAnsi="Times New Roman"/>
          <w:color w:val="auto"/>
        </w:rPr>
        <w:t>zmene</w:t>
      </w:r>
      <w:r w:rsidR="00C63986">
        <w:rPr>
          <w:rFonts w:ascii="Times New Roman" w:hAnsi="Times New Roman"/>
          <w:color w:val="auto"/>
        </w:rPr>
        <w:t xml:space="preserve"> </w:t>
      </w:r>
      <w:r w:rsidRPr="00922D78">
        <w:rPr>
          <w:rFonts w:ascii="Times New Roman" w:hAnsi="Times New Roman"/>
          <w:color w:val="auto"/>
        </w:rPr>
        <w:t>a doplnení niektorých zákonov v znení neskorších predp</w:t>
      </w:r>
      <w:r w:rsidR="00C63986">
        <w:rPr>
          <w:rFonts w:ascii="Times New Roman" w:hAnsi="Times New Roman"/>
          <w:color w:val="auto"/>
        </w:rPr>
        <w:t xml:space="preserve">isov a v časti platobného účtu </w:t>
      </w:r>
      <w:r w:rsidRPr="00922D78">
        <w:rPr>
          <w:rFonts w:ascii="Times New Roman" w:hAnsi="Times New Roman"/>
          <w:color w:val="auto"/>
        </w:rPr>
        <w:t xml:space="preserve">so základnými funkciami a zákonom č. 483/2001 Z. z. o bankách a o zmene a doplnení niektorých zákonov v znení neskorších predpisov. Transpozícia smernice PAD si vyžiada aj úpravu príslušných vykonávacích predpisov, resp. prijatie nových vykonávacích predpisov na vykonanie vyššie uvedených zákonov. Smernica reaguje na aktuálne otázky a potreby, ktoré vplývajú z cieľov dobudovania vnútorného trhu s prihliadnutím na osobitné potreby finančného trhu. </w:t>
      </w:r>
    </w:p>
    <w:p w:rsidR="00922D78" w:rsidRPr="00922D78" w:rsidP="00922D78">
      <w:pPr>
        <w:bidi w:val="0"/>
        <w:ind w:firstLine="708"/>
        <w:jc w:val="both"/>
        <w:rPr>
          <w:rFonts w:ascii="Times New Roman" w:hAnsi="Times New Roman"/>
          <w:color w:val="auto"/>
        </w:rPr>
      </w:pPr>
    </w:p>
    <w:p w:rsidR="00922D78" w:rsidRPr="00922D78" w:rsidP="00922D78">
      <w:pPr>
        <w:bidi w:val="0"/>
        <w:ind w:firstLine="708"/>
        <w:jc w:val="both"/>
        <w:rPr>
          <w:rFonts w:ascii="Times New Roman" w:hAnsi="Times New Roman"/>
          <w:color w:val="auto"/>
        </w:rPr>
      </w:pPr>
      <w:r w:rsidRPr="00922D78">
        <w:rPr>
          <w:rFonts w:ascii="Times New Roman" w:hAnsi="Times New Roman"/>
          <w:color w:val="auto"/>
        </w:rPr>
        <w:t xml:space="preserve">Zámerom transpozície smernice PAD sú najmä ustanoviť základné požiadavky pre transparentnosť poplatkov účtovaných poskytovateľmi platobných služieb v súvislosti s platobnými účtami, vytvoriť základné pravidlá pre presun platobných účtov na vnútroštátnej úrovni, posilniť a zjednodušiť zapojenie spotrebiteľov do trhu  s platobnými účtami. Návrh zákona sa zameriava na prijatie krokov, ktoré prispejú k zlepšeniu postavenia spotrebiteľa na finančnom trhu. </w:t>
      </w:r>
    </w:p>
    <w:p w:rsidR="00922D78" w:rsidRPr="00922D78" w:rsidP="00922D78">
      <w:pPr>
        <w:bidi w:val="0"/>
        <w:ind w:firstLine="708"/>
        <w:jc w:val="both"/>
        <w:rPr>
          <w:rFonts w:ascii="Times New Roman" w:hAnsi="Times New Roman"/>
          <w:color w:val="auto"/>
        </w:rPr>
      </w:pPr>
    </w:p>
    <w:p w:rsidR="00922D78" w:rsidRPr="00922D78" w:rsidP="00922D78">
      <w:pPr>
        <w:bidi w:val="0"/>
        <w:ind w:firstLine="708"/>
        <w:jc w:val="both"/>
        <w:rPr>
          <w:rFonts w:ascii="Times New Roman" w:hAnsi="Times New Roman"/>
          <w:color w:val="auto"/>
        </w:rPr>
      </w:pPr>
      <w:r w:rsidRPr="00922D78">
        <w:rPr>
          <w:rFonts w:ascii="Times New Roman" w:hAnsi="Times New Roman"/>
          <w:color w:val="auto"/>
        </w:rPr>
        <w:t xml:space="preserve">Zvýšenie informovanosti spotrebiteľa sa má docieliť poskytnutím dokumentu s informáciami o poplatkoch pred uzatvorením zmluvy o platobnom účte. Súčasne bude  na základe dohody medzi spotrebiteľom a poskytovateľom platobných služieb určený spôsob zasielania výpisu poplatkov spotrebiteľa so spoločnou európskou terminológiou. K zvýšeniu transparentnosti má viesť aj porovnávanie poplatkov prostredníctvom nezávislej webovej stránky Národnej banky Slovenska. </w:t>
      </w:r>
    </w:p>
    <w:p w:rsidR="00922D78" w:rsidRPr="00922D78" w:rsidP="00922D78">
      <w:pPr>
        <w:bidi w:val="0"/>
        <w:ind w:firstLine="708"/>
        <w:jc w:val="both"/>
        <w:rPr>
          <w:rFonts w:ascii="Times New Roman" w:hAnsi="Times New Roman"/>
          <w:color w:val="auto"/>
        </w:rPr>
      </w:pPr>
    </w:p>
    <w:p w:rsidR="00922D78" w:rsidRPr="00922D78" w:rsidP="00922D78">
      <w:pPr>
        <w:widowControl w:val="0"/>
        <w:bidi w:val="0"/>
        <w:adjustRightInd w:val="0"/>
        <w:ind w:firstLine="708"/>
        <w:jc w:val="both"/>
        <w:rPr>
          <w:rFonts w:ascii="Times New Roman" w:hAnsi="Times New Roman"/>
          <w:color w:val="auto"/>
        </w:rPr>
      </w:pPr>
      <w:r w:rsidRPr="00922D78">
        <w:rPr>
          <w:rFonts w:ascii="Times New Roman" w:hAnsi="Times New Roman"/>
          <w:color w:val="auto"/>
        </w:rPr>
        <w:t>Spotrebiteľom sa má zjednodušiť presun platobných účtov zavedením záväzných pravidiel pre presun platobného účtu. Jednotlivé kroky nadväzujú na snahy Európskeho výboru bankového sektoru, ktorý v roku 2008 prijal Spoločné zásady pre presun účtov medzi bankami. Cieľom navrhovanej právnej úpravy je sprehľadnenie postupu pre presun platobného účtu čoho priamym následkom má byť zvýšená mobilita spotrebiteľov. Jedným z faktorov zotrvačnosti klientov pri jednom konkrétnom poskytovateľovi platobných služieb je predpokladaná komplikovanosť a nejasnosť jednotlivých krokov presunu platobného účtu, čo uvedený návrh zákona v plnom rozsahu odstráni. V súvislosti s presunom platobného účtu sa zavádza aj forma spolupráce poskytovateľov platobných služieb pri presune platobného účtu aj mimo územia Slovenskej republiky.</w:t>
      </w:r>
    </w:p>
    <w:p w:rsidR="00922D78" w:rsidRPr="00922D78" w:rsidP="00922D78">
      <w:pPr>
        <w:bidi w:val="0"/>
        <w:jc w:val="both"/>
        <w:rPr>
          <w:rFonts w:ascii="Times New Roman" w:hAnsi="Times New Roman"/>
          <w:color w:val="auto"/>
        </w:rPr>
      </w:pPr>
    </w:p>
    <w:p w:rsidR="00922D78" w:rsidRPr="00922D78" w:rsidP="00922D78">
      <w:pPr>
        <w:bidi w:val="0"/>
        <w:jc w:val="both"/>
        <w:rPr>
          <w:rFonts w:ascii="Times New Roman" w:hAnsi="Times New Roman"/>
          <w:color w:val="auto"/>
        </w:rPr>
      </w:pPr>
      <w:r w:rsidRPr="00922D78">
        <w:rPr>
          <w:rFonts w:ascii="Times New Roman" w:hAnsi="Times New Roman"/>
          <w:color w:val="auto"/>
        </w:rPr>
        <w:tab/>
        <w:t>Transpozíciou smernice PAD zákonom č. 483/2001 Z. z. sa má upraviť prístup spotrebiteľov k platobným účtom. Vytvorením platobného účtu so základnými funkciami pre každého s riadnym pobytom v Európskej únií, bez diskriminácie a bez príjmového testu sa významne posilní prvok finančnej inklúzie. Podrobnosti ustanoví vyhláška Ministerstvo financií SR.</w:t>
      </w:r>
    </w:p>
    <w:p w:rsidR="00922D78" w:rsidRPr="00922D78" w:rsidP="00922D78">
      <w:pPr>
        <w:bidi w:val="0"/>
        <w:jc w:val="both"/>
        <w:rPr>
          <w:rFonts w:ascii="Times New Roman" w:hAnsi="Times New Roman"/>
          <w:color w:val="auto"/>
        </w:rPr>
      </w:pPr>
    </w:p>
    <w:p w:rsidR="00922D78" w:rsidRPr="00922D78" w:rsidP="00922D78">
      <w:pPr>
        <w:bidi w:val="0"/>
        <w:jc w:val="both"/>
        <w:rPr>
          <w:rFonts w:ascii="Times New Roman" w:hAnsi="Times New Roman"/>
          <w:color w:val="auto"/>
        </w:rPr>
      </w:pPr>
      <w:r w:rsidRPr="00922D78">
        <w:rPr>
          <w:rFonts w:ascii="Times New Roman" w:hAnsi="Times New Roman"/>
          <w:color w:val="auto"/>
        </w:rPr>
        <w:tab/>
        <w:t xml:space="preserve">Súčasne sa novelizuje tzv. základný bankový produkt, ktorý zohľadní nízkopríjmové skupiny obyvateľstva. V nadväznosti na uvedený produkt sa upraví vyhláška Ministerstva financií k rozsahu bankových služieb tohto platobného účtu. Uvedené kroky reflektujú tzv. sociálny balíček vlády SR. </w:t>
      </w:r>
    </w:p>
    <w:p w:rsidR="00922D78" w:rsidRPr="00922D78" w:rsidP="00922D78">
      <w:pPr>
        <w:bidi w:val="0"/>
        <w:ind w:firstLine="708"/>
        <w:jc w:val="both"/>
        <w:rPr>
          <w:rFonts w:ascii="Times New Roman" w:hAnsi="Times New Roman"/>
          <w:color w:val="auto"/>
        </w:rPr>
      </w:pPr>
    </w:p>
    <w:p w:rsidR="00922D78" w:rsidRPr="00922D78" w:rsidP="00922D78">
      <w:pPr>
        <w:bidi w:val="0"/>
        <w:ind w:firstLine="708"/>
        <w:jc w:val="both"/>
        <w:rPr>
          <w:rFonts w:ascii="Times New Roman" w:hAnsi="Times New Roman"/>
          <w:color w:val="auto"/>
        </w:rPr>
      </w:pPr>
      <w:r w:rsidRPr="00922D78">
        <w:rPr>
          <w:rFonts w:ascii="Times New Roman" w:hAnsi="Times New Roman"/>
          <w:color w:val="auto"/>
        </w:rPr>
        <w:t>Prijatie navrhovaného znenia zákona nebude mať vplyv na rozpočet verejnej správy                 a životné prostredie. Návrh zákona má možné negatívne vplyvy na podnikateľské prostredie. Očakávajú sa pozitívne vplyvy na  informatizáciu spoločnosti a sociálne vplyvy v oblasti ochrany spotrebiteľov na finančnom trhu.</w:t>
      </w:r>
    </w:p>
    <w:p w:rsidR="00922D78" w:rsidRPr="00922D78" w:rsidP="00922D78">
      <w:pPr>
        <w:bidi w:val="0"/>
        <w:ind w:firstLine="708"/>
        <w:jc w:val="both"/>
        <w:rPr>
          <w:rFonts w:ascii="Times New Roman" w:hAnsi="Times New Roman"/>
          <w:color w:val="auto"/>
        </w:rPr>
      </w:pPr>
    </w:p>
    <w:p w:rsidR="00922D78" w:rsidRPr="00922D78" w:rsidP="00922D78">
      <w:pPr>
        <w:bidi w:val="0"/>
        <w:ind w:firstLine="708"/>
        <w:jc w:val="both"/>
        <w:rPr>
          <w:rFonts w:ascii="Times New Roman" w:hAnsi="Times New Roman"/>
          <w:color w:val="auto"/>
        </w:rPr>
      </w:pPr>
      <w:r w:rsidRPr="00922D78">
        <w:rPr>
          <w:rFonts w:ascii="Times New Roman" w:hAnsi="Times New Roman"/>
          <w:color w:val="auto"/>
        </w:rPr>
        <w:t xml:space="preserve">Návrh zákona je v súlade s Ústavou Slovenskej republiky, ústavnými zákonmi, inými zákonmi a ostatnými všeobecne záväznými právnymi predpismi Slovenskej republiky, s právom Európskej únie a s medzinárodnými zmluvami, ktorými je Slovenská republika viazaná. </w:t>
      </w:r>
    </w:p>
    <w:p w:rsidR="00922D78" w:rsidRPr="00922D78" w:rsidP="00922D78">
      <w:pPr>
        <w:bidi w:val="0"/>
        <w:ind w:firstLine="708"/>
        <w:jc w:val="both"/>
        <w:rPr>
          <w:rFonts w:ascii="Times New Roman" w:hAnsi="Times New Roman"/>
          <w:color w:val="auto"/>
        </w:rPr>
      </w:pPr>
    </w:p>
    <w:p w:rsidR="00922D78" w:rsidRPr="00922D78" w:rsidP="00922D78">
      <w:pPr>
        <w:bidi w:val="0"/>
        <w:ind w:firstLine="708"/>
        <w:jc w:val="both"/>
        <w:rPr>
          <w:rFonts w:ascii="Times New Roman" w:hAnsi="Times New Roman"/>
          <w:color w:val="auto"/>
        </w:rPr>
      </w:pPr>
      <w:r w:rsidRPr="00922D78">
        <w:rPr>
          <w:rFonts w:ascii="Times New Roman" w:hAnsi="Times New Roman"/>
          <w:color w:val="auto"/>
        </w:rPr>
        <w:t>Účinnosť zákona sa navrhuje od 1. januára 2016.</w:t>
      </w:r>
    </w:p>
    <w:p w:rsidR="00922D78" w:rsidRP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RPr="00922D78" w:rsidP="00922D78">
      <w:pPr>
        <w:bidi w:val="0"/>
        <w:spacing w:before="100" w:beforeAutospacing="1"/>
        <w:jc w:val="center"/>
        <w:rPr>
          <w:rFonts w:ascii="Times New Roman" w:hAnsi="Times New Roman"/>
          <w:b/>
          <w:bCs/>
          <w:color w:val="auto"/>
        </w:rPr>
      </w:pPr>
      <w:r w:rsidRPr="00922D78">
        <w:rPr>
          <w:rFonts w:ascii="Times New Roman" w:hAnsi="Times New Roman"/>
          <w:b/>
          <w:bCs/>
          <w:color w:val="auto"/>
        </w:rPr>
        <w:t>Doložka vybraných vplyvov</w:t>
      </w:r>
    </w:p>
    <w:p w:rsidR="00922D78" w:rsidRPr="00922D78" w:rsidP="00922D78">
      <w:pPr>
        <w:bidi w:val="0"/>
        <w:spacing w:before="100" w:beforeAutospacing="1"/>
        <w:jc w:val="center"/>
        <w:rPr>
          <w:rFonts w:ascii="Times New Roman" w:hAnsi="Times New Roman"/>
          <w:color w:val="auto"/>
        </w:rPr>
      </w:pPr>
    </w:p>
    <w:p w:rsidR="00922D78" w:rsidRP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  <w:r w:rsidRPr="00922D78">
        <w:rPr>
          <w:rFonts w:ascii="Times New Roman" w:hAnsi="Times New Roman"/>
          <w:b/>
          <w:bCs/>
          <w:color w:val="auto"/>
        </w:rPr>
        <w:t xml:space="preserve">Názov materiálu: </w:t>
      </w:r>
      <w:r w:rsidRPr="00922D78">
        <w:rPr>
          <w:rFonts w:ascii="Times New Roman" w:hAnsi="Times New Roman"/>
          <w:color w:val="auto"/>
        </w:rPr>
        <w:t>Návrh zákona, ktorým sa mení a dopĺňa zákon č. 492/2009 Z. z. o platobných službách a o zmene a doplnení niektorých zákonov v znení neskorších predpisov a ktorým sa mení a dopĺňa  zákon č.  483/2001 Z. z. o bankách a o zmene a doplnení niektorých zákonov v znení neskorších predpisov.</w:t>
      </w:r>
    </w:p>
    <w:p w:rsidR="00922D78" w:rsidRP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RPr="00922D78" w:rsidP="00922D78">
      <w:pPr>
        <w:widowControl w:val="0"/>
        <w:bidi w:val="0"/>
        <w:adjustRightInd w:val="0"/>
        <w:rPr>
          <w:rFonts w:ascii="Times New Roman" w:hAnsi="Times New Roman"/>
          <w:b/>
          <w:bCs/>
          <w:color w:val="auto"/>
        </w:rPr>
      </w:pPr>
      <w:r w:rsidRPr="00922D78">
        <w:rPr>
          <w:rFonts w:ascii="Times New Roman" w:hAnsi="Times New Roman"/>
          <w:b/>
          <w:bCs/>
          <w:color w:val="auto"/>
        </w:rPr>
        <w:t xml:space="preserve">Termín začatia a ukončenia VPK: </w:t>
        <w:br/>
        <w:t>A.2. Vplyvy:</w:t>
      </w:r>
    </w:p>
    <w:tbl>
      <w:tblPr>
        <w:tblStyle w:val="TableNormal"/>
        <w:tblW w:w="75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829"/>
        <w:gridCol w:w="1214"/>
        <w:gridCol w:w="1217"/>
        <w:gridCol w:w="1300"/>
      </w:tblGrid>
      <w:tr>
        <w:tblPrEx>
          <w:tblW w:w="7560" w:type="dxa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4A0"/>
        </w:tblPrEx>
        <w:trPr>
          <w:tblCellSpacing w:w="0" w:type="dxa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922D78" w:rsidRPr="00922D78" w:rsidP="00922D78">
            <w:pPr>
              <w:bidi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22D78" w:rsidRPr="00922D78" w:rsidP="00922D78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922D78">
              <w:rPr>
                <w:rFonts w:ascii="Times New Roman" w:hAnsi="Times New Roman"/>
                <w:color w:val="auto"/>
              </w:rPr>
              <w:t>Pozitívne</w:t>
            </w:r>
            <w:r w:rsidRPr="00922D78">
              <w:rPr>
                <w:rFonts w:ascii="Times New Roman" w:hAnsi="Times New Roman"/>
                <w:color w:val="auto"/>
                <w:vertAlign w:val="superscript"/>
              </w:rPr>
              <w:t>*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22D78" w:rsidRPr="00922D78" w:rsidP="00922D78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922D78">
              <w:rPr>
                <w:rFonts w:ascii="Times New Roman" w:hAnsi="Times New Roman"/>
                <w:color w:val="auto"/>
              </w:rPr>
              <w:t>Žiadne</w:t>
            </w:r>
            <w:r w:rsidRPr="00922D78">
              <w:rPr>
                <w:rFonts w:ascii="Times New Roman" w:hAnsi="Times New Roman"/>
                <w:color w:val="auto"/>
                <w:vertAlign w:val="superscript"/>
              </w:rPr>
              <w:t>*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922D78" w:rsidRPr="00922D78" w:rsidP="00922D78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922D78">
              <w:rPr>
                <w:rFonts w:ascii="Times New Roman" w:hAnsi="Times New Roman"/>
                <w:color w:val="auto"/>
              </w:rPr>
              <w:t>Negatívne</w:t>
            </w:r>
            <w:r w:rsidRPr="00922D78">
              <w:rPr>
                <w:rFonts w:ascii="Times New Roman" w:hAnsi="Times New Roman"/>
                <w:color w:val="auto"/>
                <w:vertAlign w:val="superscript"/>
              </w:rPr>
              <w:t>*</w:t>
            </w:r>
          </w:p>
        </w:tc>
      </w:tr>
      <w:tr>
        <w:tblPrEx>
          <w:tblW w:w="7560" w:type="dxa"/>
          <w:tblCellSpacing w:w="0" w:type="dxa"/>
          <w:tblCellMar>
            <w:top w:w="60" w:type="dxa"/>
            <w:left w:w="60" w:type="dxa"/>
            <w:bottom w:w="60" w:type="dxa"/>
            <w:right w:w="60" w:type="dxa"/>
          </w:tblCellMar>
          <w:tblLook w:val="04A0"/>
        </w:tblPrEx>
        <w:trPr>
          <w:tblCellSpacing w:w="0" w:type="dxa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922D78" w:rsidRPr="00922D78" w:rsidP="00922D78">
            <w:pPr>
              <w:bidi w:val="0"/>
              <w:spacing w:before="100" w:beforeAutospacing="1" w:after="0" w:line="240" w:lineRule="auto"/>
              <w:rPr>
                <w:rFonts w:ascii="Times New Roman" w:hAnsi="Times New Roman"/>
                <w:color w:val="auto"/>
              </w:rPr>
            </w:pPr>
            <w:r w:rsidRPr="00922D78">
              <w:rPr>
                <w:rFonts w:ascii="Times New Roman" w:hAnsi="Times New Roman"/>
                <w:color w:val="auto"/>
              </w:rPr>
              <w:t>1. Vplyvy na rozpočet verejnej správy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922D78" w:rsidRPr="00922D78" w:rsidP="00922D78">
            <w:pPr>
              <w:bidi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922D78" w:rsidRPr="00922D78" w:rsidP="00922D78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922D78">
              <w:rPr>
                <w:rFonts w:ascii="Times New Roman" w:hAnsi="Times New Roman"/>
                <w:color w:val="auto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922D78" w:rsidRPr="00922D78" w:rsidP="00922D78">
            <w:pPr>
              <w:bidi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W w:w="7560" w:type="dxa"/>
          <w:tblCellSpacing w:w="0" w:type="dxa"/>
          <w:tblCellMar>
            <w:top w:w="60" w:type="dxa"/>
            <w:left w:w="60" w:type="dxa"/>
            <w:bottom w:w="60" w:type="dxa"/>
            <w:right w:w="60" w:type="dxa"/>
          </w:tblCellMar>
          <w:tblLook w:val="04A0"/>
        </w:tblPrEx>
        <w:trPr>
          <w:tblCellSpacing w:w="0" w:type="dxa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922D78" w:rsidRPr="00922D78" w:rsidP="00922D78">
            <w:pPr>
              <w:bidi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</w:rPr>
            </w:pPr>
            <w:r w:rsidRPr="00922D78">
              <w:rPr>
                <w:rFonts w:ascii="Times New Roman" w:hAnsi="Times New Roman"/>
                <w:color w:val="auto"/>
              </w:rPr>
              <w:t>2. Vplyvy na podnikateľské prostredie – dochádza k zvýšeniu regulačného zaťaženia?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922D78" w:rsidRPr="00922D78" w:rsidP="00922D78">
            <w:pPr>
              <w:bidi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922D78" w:rsidRPr="00922D78" w:rsidP="00922D78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922D78" w:rsidRPr="00922D78" w:rsidP="00922D78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922D78">
              <w:rPr>
                <w:rFonts w:ascii="Times New Roman" w:hAnsi="Times New Roman"/>
                <w:color w:val="auto"/>
              </w:rPr>
              <w:t>x</w:t>
            </w:r>
          </w:p>
        </w:tc>
      </w:tr>
      <w:tr>
        <w:tblPrEx>
          <w:tblW w:w="7560" w:type="dxa"/>
          <w:tblCellSpacing w:w="0" w:type="dxa"/>
          <w:tblCellMar>
            <w:top w:w="60" w:type="dxa"/>
            <w:left w:w="60" w:type="dxa"/>
            <w:bottom w:w="60" w:type="dxa"/>
            <w:right w:w="60" w:type="dxa"/>
          </w:tblCellMar>
          <w:tblLook w:val="04A0"/>
        </w:tblPrEx>
        <w:trPr>
          <w:tblCellSpacing w:w="0" w:type="dxa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922D78" w:rsidRPr="00922D78" w:rsidP="00922D78">
            <w:pPr>
              <w:bidi w:val="0"/>
              <w:spacing w:before="100" w:beforeAutospacing="1" w:after="0" w:line="240" w:lineRule="auto"/>
              <w:rPr>
                <w:rFonts w:ascii="Times New Roman" w:hAnsi="Times New Roman"/>
                <w:color w:val="auto"/>
              </w:rPr>
            </w:pPr>
            <w:r w:rsidRPr="00922D78">
              <w:rPr>
                <w:rFonts w:ascii="Times New Roman" w:hAnsi="Times New Roman"/>
                <w:color w:val="auto"/>
              </w:rPr>
              <w:t xml:space="preserve">3, Sociálne vplyvy </w:t>
            </w:r>
          </w:p>
          <w:p w:rsidR="00922D78" w:rsidRPr="00922D78" w:rsidP="00922D78">
            <w:pPr>
              <w:bidi w:val="0"/>
              <w:spacing w:before="100" w:beforeAutospacing="1" w:after="0" w:line="240" w:lineRule="auto"/>
              <w:rPr>
                <w:rFonts w:ascii="Times New Roman" w:hAnsi="Times New Roman"/>
                <w:color w:val="auto"/>
              </w:rPr>
            </w:pPr>
            <w:r w:rsidRPr="00922D78">
              <w:rPr>
                <w:rFonts w:ascii="Times New Roman" w:hAnsi="Times New Roman"/>
                <w:color w:val="auto"/>
              </w:rPr>
              <w:t>– vplyvy na hospodárenie obyvateľstva,</w:t>
            </w:r>
          </w:p>
          <w:p w:rsidR="00922D78" w:rsidRPr="00922D78" w:rsidP="00922D78">
            <w:pPr>
              <w:bidi w:val="0"/>
              <w:spacing w:before="100" w:beforeAutospacing="1" w:after="0" w:line="240" w:lineRule="auto"/>
              <w:rPr>
                <w:rFonts w:ascii="Times New Roman" w:hAnsi="Times New Roman"/>
                <w:color w:val="auto"/>
              </w:rPr>
            </w:pPr>
            <w:r w:rsidRPr="00922D78">
              <w:rPr>
                <w:rFonts w:ascii="Times New Roman" w:hAnsi="Times New Roman"/>
                <w:color w:val="auto"/>
              </w:rPr>
              <w:t>-sociálnu exklúziu,</w:t>
            </w:r>
          </w:p>
          <w:p w:rsidR="00922D78" w:rsidRPr="00922D78" w:rsidP="00922D78">
            <w:pPr>
              <w:bidi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</w:rPr>
            </w:pPr>
            <w:r w:rsidRPr="00922D78">
              <w:rPr>
                <w:rFonts w:ascii="Times New Roman" w:hAnsi="Times New Roman"/>
                <w:color w:val="auto"/>
              </w:rPr>
              <w:t>- rovnosť príležitostí a rodovú rovnosť a vplyvy na zamestnanosť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922D78" w:rsidRPr="00922D78" w:rsidP="00922D78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922D78">
              <w:rPr>
                <w:rFonts w:ascii="Times New Roman" w:hAnsi="Times New Roman"/>
                <w:color w:val="auto"/>
              </w:rPr>
              <w:t>x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922D78" w:rsidRPr="00922D78" w:rsidP="00922D78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922D78" w:rsidRPr="00922D78" w:rsidP="00922D78">
            <w:pPr>
              <w:bidi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W w:w="7560" w:type="dxa"/>
          <w:tblCellSpacing w:w="0" w:type="dxa"/>
          <w:tblCellMar>
            <w:top w:w="60" w:type="dxa"/>
            <w:left w:w="60" w:type="dxa"/>
            <w:bottom w:w="60" w:type="dxa"/>
            <w:right w:w="60" w:type="dxa"/>
          </w:tblCellMar>
          <w:tblLook w:val="04A0"/>
        </w:tblPrEx>
        <w:trPr>
          <w:tblCellSpacing w:w="0" w:type="dxa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922D78" w:rsidRPr="00922D78" w:rsidP="00922D78">
            <w:pPr>
              <w:bidi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</w:rPr>
            </w:pPr>
            <w:r w:rsidRPr="00922D78">
              <w:rPr>
                <w:rFonts w:ascii="Times New Roman" w:hAnsi="Times New Roman"/>
                <w:color w:val="auto"/>
              </w:rPr>
              <w:t>4. Vplyvy na životné prostredie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922D78" w:rsidRPr="00922D78" w:rsidP="00922D78">
            <w:pPr>
              <w:bidi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922D78" w:rsidRPr="00922D78" w:rsidP="00922D78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922D78">
              <w:rPr>
                <w:rFonts w:ascii="Times New Roman" w:hAnsi="Times New Roman"/>
                <w:color w:val="auto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922D78" w:rsidRPr="00922D78" w:rsidP="00922D78">
            <w:pPr>
              <w:bidi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W w:w="7560" w:type="dxa"/>
          <w:tblCellSpacing w:w="0" w:type="dxa"/>
          <w:tblCellMar>
            <w:top w:w="60" w:type="dxa"/>
            <w:left w:w="60" w:type="dxa"/>
            <w:bottom w:w="60" w:type="dxa"/>
            <w:right w:w="60" w:type="dxa"/>
          </w:tblCellMar>
          <w:tblLook w:val="04A0"/>
        </w:tblPrEx>
        <w:trPr>
          <w:tblCellSpacing w:w="0" w:type="dxa"/>
        </w:trPr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922D78" w:rsidRPr="00922D78" w:rsidP="00922D78">
            <w:pPr>
              <w:bidi w:val="0"/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</w:rPr>
            </w:pPr>
            <w:r w:rsidRPr="00922D78">
              <w:rPr>
                <w:rFonts w:ascii="Times New Roman" w:hAnsi="Times New Roman"/>
                <w:color w:val="auto"/>
              </w:rPr>
              <w:t>5. Vplyvy na informatizáciu spoločnosti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922D78" w:rsidRPr="00922D78" w:rsidP="00922D7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922D78">
              <w:rPr>
                <w:rFonts w:ascii="Times New Roman" w:hAnsi="Times New Roman"/>
                <w:color w:val="auto"/>
              </w:rPr>
              <w:t>x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922D78" w:rsidRPr="00922D78" w:rsidP="00922D78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922D78" w:rsidRPr="00922D78" w:rsidP="00922D78">
            <w:pPr>
              <w:bidi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</w:tbl>
    <w:p w:rsidR="00922D78" w:rsidRPr="00922D78" w:rsidP="00922D78">
      <w:pPr>
        <w:bidi w:val="0"/>
        <w:spacing w:before="100" w:beforeAutospacing="1"/>
        <w:rPr>
          <w:rFonts w:ascii="Times New Roman" w:hAnsi="Times New Roman"/>
          <w:color w:val="auto"/>
        </w:rPr>
      </w:pPr>
      <w:r w:rsidRPr="00922D78">
        <w:rPr>
          <w:rFonts w:ascii="Times New Roman" w:hAnsi="Times New Roman"/>
          <w:b/>
          <w:bCs/>
          <w:color w:val="auto"/>
        </w:rPr>
        <w:t>*</w:t>
      </w:r>
      <w:r w:rsidRPr="00922D78">
        <w:rPr>
          <w:rFonts w:ascii="Times New Roman" w:hAnsi="Times New Roman"/>
          <w:color w:val="auto"/>
        </w:rPr>
        <w:t>Predkladateľ označí znakom x zodpovedajúci vplyv (pozitívny, negatívny, žiadny), ktorý návrh prináša v každej oblasti posudzovania vplyvov. Návrh môže mať v jednej oblasti zároveň pozitívny aj negatívny vplyv, v tom prípade predkladateľ označí obe možnosti. Bližšie vysvetlenie označených vplyvov bude obsahovať analýza vplyvov. Isté vysvetlenie, či bilanciu vplyvov (sumárne zhodnotenie, ktorý vplyv v danej oblasti prevažuje) môže predkladateľ uviesť v poznámke.</w:t>
      </w:r>
    </w:p>
    <w:p w:rsidR="00922D78" w:rsidRPr="00922D78" w:rsidP="00922D78">
      <w:pPr>
        <w:bidi w:val="0"/>
        <w:spacing w:before="100" w:beforeAutospacing="1"/>
        <w:rPr>
          <w:rFonts w:ascii="Times New Roman" w:hAnsi="Times New Roman"/>
          <w:color w:val="auto"/>
        </w:rPr>
      </w:pPr>
      <w:r w:rsidRPr="00922D78">
        <w:rPr>
          <w:rFonts w:ascii="Times New Roman" w:hAnsi="Times New Roman"/>
          <w:b/>
          <w:bCs/>
          <w:color w:val="auto"/>
        </w:rPr>
        <w:t>A.3. Poznámky</w:t>
      </w:r>
    </w:p>
    <w:p w:rsidR="00922D78" w:rsidRPr="00922D78" w:rsidP="00922D78">
      <w:pPr>
        <w:bidi w:val="0"/>
        <w:spacing w:before="100" w:beforeAutospacing="1"/>
        <w:rPr>
          <w:rFonts w:ascii="Times New Roman" w:hAnsi="Times New Roman"/>
          <w:color w:val="auto"/>
        </w:rPr>
      </w:pPr>
      <w:r w:rsidRPr="00922D78">
        <w:rPr>
          <w:rFonts w:ascii="Times New Roman" w:hAnsi="Times New Roman"/>
          <w:color w:val="auto"/>
        </w:rPr>
        <w:t>-</w:t>
      </w:r>
    </w:p>
    <w:p w:rsidR="00922D78" w:rsidRPr="00922D78" w:rsidP="00922D78">
      <w:pPr>
        <w:bidi w:val="0"/>
        <w:spacing w:before="100" w:beforeAutospacing="1"/>
        <w:rPr>
          <w:rFonts w:ascii="Times New Roman" w:hAnsi="Times New Roman"/>
          <w:color w:val="auto"/>
        </w:rPr>
      </w:pPr>
      <w:r w:rsidRPr="00922D78">
        <w:rPr>
          <w:rFonts w:ascii="Times New Roman" w:hAnsi="Times New Roman"/>
          <w:b/>
          <w:bCs/>
          <w:color w:val="auto"/>
        </w:rPr>
        <w:t>A.4. Alternatívne riešenia</w:t>
      </w:r>
    </w:p>
    <w:p w:rsidR="00922D78" w:rsidRPr="00922D78" w:rsidP="00922D78">
      <w:pPr>
        <w:bidi w:val="0"/>
        <w:spacing w:before="100" w:beforeAutospacing="1"/>
        <w:rPr>
          <w:rFonts w:ascii="Times New Roman" w:hAnsi="Times New Roman"/>
          <w:color w:val="auto"/>
        </w:rPr>
      </w:pPr>
      <w:r w:rsidRPr="00922D78">
        <w:rPr>
          <w:rFonts w:ascii="Times New Roman" w:hAnsi="Times New Roman"/>
          <w:color w:val="auto"/>
        </w:rPr>
        <w:t>-</w:t>
      </w:r>
    </w:p>
    <w:p w:rsidR="00922D78" w:rsidRPr="00922D78" w:rsidP="00922D78">
      <w:pPr>
        <w:bidi w:val="0"/>
        <w:spacing w:before="100" w:beforeAutospacing="1"/>
        <w:rPr>
          <w:rFonts w:ascii="Times New Roman" w:hAnsi="Times New Roman"/>
          <w:color w:val="auto"/>
        </w:rPr>
      </w:pPr>
      <w:r w:rsidRPr="00922D78">
        <w:rPr>
          <w:rFonts w:ascii="Times New Roman" w:hAnsi="Times New Roman"/>
          <w:b/>
          <w:bCs/>
          <w:color w:val="auto"/>
        </w:rPr>
        <w:t xml:space="preserve">A.5. Stanovisko gestorov </w:t>
      </w:r>
      <w:r w:rsidRPr="00922D78">
        <w:rPr>
          <w:rFonts w:ascii="Times New Roman" w:hAnsi="Times New Roman"/>
          <w:color w:val="auto"/>
        </w:rPr>
        <w:t>-</w:t>
      </w: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RP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RP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RPr="00BD52A1" w:rsidP="00922D78">
      <w:pPr>
        <w:bidi w:val="0"/>
        <w:jc w:val="center"/>
        <w:rPr>
          <w:rFonts w:ascii="Times New Roman" w:hAnsi="Times New Roman"/>
          <w:b/>
          <w:bCs/>
        </w:rPr>
      </w:pPr>
      <w:r w:rsidRPr="00BD52A1">
        <w:rPr>
          <w:rFonts w:ascii="Times New Roman" w:hAnsi="Times New Roman"/>
          <w:b/>
          <w:bCs/>
        </w:rPr>
        <w:t>Vplyvy na podnikateľské prostredie</w:t>
      </w:r>
    </w:p>
    <w:p w:rsidR="00922D78" w:rsidRPr="00BD52A1" w:rsidP="00922D78">
      <w:pPr>
        <w:bidi w:val="0"/>
        <w:rPr>
          <w:rFonts w:ascii="Times New Roman" w:hAnsi="Times New Roman"/>
          <w:b/>
          <w:bCs/>
        </w:rPr>
      </w:pPr>
    </w:p>
    <w:p w:rsidR="00922D78" w:rsidRPr="00BD52A1" w:rsidP="00922D78">
      <w:pPr>
        <w:bidi w:val="0"/>
        <w:rPr>
          <w:rFonts w:ascii="Times New Roman" w:hAnsi="Times New Roman"/>
          <w:b/>
          <w:bCs/>
        </w:rPr>
      </w:pPr>
    </w:p>
    <w:tbl>
      <w:tblPr>
        <w:tblStyle w:val="TableNormal"/>
        <w:tblW w:w="9195" w:type="dxa"/>
        <w:tblInd w:w="55" w:type="dxa"/>
        <w:tblCellMar>
          <w:left w:w="70" w:type="dxa"/>
          <w:right w:w="70" w:type="dxa"/>
        </w:tblCellMar>
      </w:tblPr>
      <w:tblGrid>
        <w:gridCol w:w="4155"/>
        <w:gridCol w:w="5040"/>
      </w:tblGrid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9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</w:tcPr>
          <w:p w:rsidR="00922D78" w:rsidRPr="00BD52A1" w:rsidP="00BC01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BD52A1">
              <w:rPr>
                <w:rFonts w:ascii="Times New Roman" w:hAnsi="Times New Roman"/>
                <w:b/>
                <w:bCs/>
                <w:color w:val="FFFFFF"/>
              </w:rPr>
              <w:t>Vplyvy na podnikateľské prostredie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22D78" w:rsidRPr="00BD52A1" w:rsidP="00BC01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2D78" w:rsidRPr="00BD52A1" w:rsidP="00BC01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2A1">
              <w:rPr>
                <w:rFonts w:ascii="Times New Roman" w:hAnsi="Times New Roman"/>
                <w:b/>
              </w:rPr>
              <w:t>3.1</w:t>
            </w:r>
            <w:r w:rsidRPr="00BD52A1">
              <w:rPr>
                <w:rFonts w:ascii="Times New Roman" w:hAnsi="Times New Roman"/>
              </w:rPr>
              <w:t>. Ktoré podnikateľské subjekty budú predkladaným návrhom ovplyvnené a aký je ich počet?</w:t>
            </w:r>
          </w:p>
          <w:p w:rsidR="00922D78" w:rsidRPr="00BD52A1" w:rsidP="00BC01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922D78" w:rsidRPr="00BD52A1" w:rsidP="00BC011A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2A1">
              <w:rPr>
                <w:rFonts w:ascii="Times New Roman" w:hAnsi="Times New Roman"/>
              </w:rPr>
              <w:t>K 23.03.2015</w:t>
            </w:r>
          </w:p>
          <w:p w:rsidR="00922D78" w:rsidRPr="00BD52A1" w:rsidP="00BC011A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2A1">
              <w:rPr>
                <w:rFonts w:ascii="Times New Roman" w:hAnsi="Times New Roman"/>
              </w:rPr>
              <w:t>Banky so sídlom na území SR- 13</w:t>
            </w:r>
          </w:p>
          <w:p w:rsidR="00922D78" w:rsidRPr="00BD52A1" w:rsidP="00BC011A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2A1">
              <w:rPr>
                <w:rFonts w:ascii="Times New Roman" w:hAnsi="Times New Roman"/>
              </w:rPr>
              <w:t>Pobočky zahraničných bánk- 14</w:t>
            </w:r>
          </w:p>
          <w:p w:rsidR="00922D78" w:rsidRPr="00BD52A1" w:rsidP="00BC011A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22D78" w:rsidRPr="00BD52A1" w:rsidP="00BC011A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2A1">
              <w:rPr>
                <w:rFonts w:ascii="Times New Roman" w:hAnsi="Times New Roman"/>
              </w:rPr>
              <w:t xml:space="preserve">Poskytovatelia platobných služieb </w:t>
            </w:r>
          </w:p>
          <w:p w:rsidR="00922D78" w:rsidRPr="00BD52A1" w:rsidP="00BC011A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2A1">
              <w:rPr>
                <w:rFonts w:ascii="Times New Roman" w:hAnsi="Times New Roman"/>
              </w:rPr>
              <w:t>Platobné inštitúcie so sídlom na území SR- 10</w:t>
            </w:r>
          </w:p>
          <w:p w:rsidR="00922D78" w:rsidRPr="00BD52A1" w:rsidP="00BC011A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2A1">
              <w:rPr>
                <w:rFonts w:ascii="Times New Roman" w:hAnsi="Times New Roman"/>
              </w:rPr>
              <w:t>Zahraničné platobné inštitúcie poskytujúce platobné služby na území SR na cezhraničnej báze- 188</w:t>
            </w:r>
          </w:p>
          <w:p w:rsidR="00922D78" w:rsidRPr="00BD52A1" w:rsidP="00BC011A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22D78" w:rsidRPr="00BD52A1" w:rsidP="00BC01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2D78" w:rsidRPr="00BD52A1" w:rsidP="00BC01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2A1">
              <w:rPr>
                <w:rFonts w:ascii="Times New Roman" w:hAnsi="Times New Roman"/>
                <w:b/>
              </w:rPr>
              <w:t>3.2</w:t>
            </w:r>
            <w:r w:rsidRPr="00BD52A1">
              <w:rPr>
                <w:rFonts w:ascii="Times New Roman" w:hAnsi="Times New Roman"/>
              </w:rPr>
              <w:t>. Aký je predpokladaný charakter a rozsah nákladov a prínosov?</w:t>
            </w:r>
          </w:p>
          <w:p w:rsidR="00922D78" w:rsidRPr="00BD52A1" w:rsidP="00BC01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922D78" w:rsidRPr="00BD52A1" w:rsidP="00BC011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pt-BR"/>
              </w:rPr>
            </w:pPr>
            <w:r w:rsidRPr="00BD52A1">
              <w:rPr>
                <w:rFonts w:ascii="Times New Roman" w:hAnsi="Times New Roman"/>
                <w:lang w:val="pt-BR"/>
              </w:rPr>
              <w:t>Aktuálne nie je možné vyčísliť.</w:t>
            </w:r>
          </w:p>
          <w:p w:rsidR="00922D78" w:rsidRPr="00BD52A1" w:rsidP="00BC011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pt-BR"/>
              </w:rPr>
            </w:pPr>
            <w:r w:rsidRPr="00BD52A1">
              <w:rPr>
                <w:rFonts w:ascii="Times New Roman" w:hAnsi="Times New Roman"/>
                <w:lang w:val="pt-BR"/>
              </w:rPr>
              <w:t xml:space="preserve">Náklady budú závisieť od rozsahu služieb, ktoré jednotliví poskytovatelia platobných služieb využívajú v súčastnej dobe. Zavedením povinnosti zasielania výpisov, informačných povinností a presunom platobných účtov pre poskytovateľov platobných služieb a úpravou platobného účtu so základnými funkciami pre banky, môže vzniknúť, pre subjekty, ktoré dané služby nerealizujú, dodatočné náklady súvisiace nielen s technickými zmenami, ale aj nákladmi zvýšenej administratívnej náročnosti. 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22D78" w:rsidRPr="00BD52A1" w:rsidP="00BC01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2D78" w:rsidRPr="00BD52A1" w:rsidP="00BC01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2A1">
              <w:rPr>
                <w:rFonts w:ascii="Times New Roman" w:hAnsi="Times New Roman"/>
                <w:b/>
              </w:rPr>
              <w:t>3.3</w:t>
            </w:r>
            <w:r w:rsidRPr="00BD52A1">
              <w:rPr>
                <w:rFonts w:ascii="Times New Roman" w:hAnsi="Times New Roman"/>
              </w:rPr>
              <w:t>. Aká je predpokladaná výška administratívnych nákladov, ktoré podniky vynaložia v súvislosti s implementáciou návrhu?</w:t>
            </w:r>
          </w:p>
          <w:p w:rsidR="00922D78" w:rsidRPr="00BD52A1" w:rsidP="00BC011A">
            <w:pPr>
              <w:bidi w:val="0"/>
              <w:spacing w:after="0" w:line="240" w:lineRule="auto"/>
              <w:ind w:left="360" w:hanging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922D78" w:rsidRPr="00BD52A1" w:rsidP="00BC01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val="pt-BR"/>
              </w:rPr>
            </w:pPr>
            <w:r w:rsidRPr="00BD52A1">
              <w:rPr>
                <w:rFonts w:ascii="Times New Roman" w:hAnsi="Times New Roman"/>
                <w:lang w:val="pt-BR"/>
              </w:rPr>
              <w:t>Aktuálne nie je možné vyčísliť.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22D78" w:rsidRPr="00BD52A1" w:rsidP="00BC01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2D78" w:rsidRPr="00BD52A1" w:rsidP="00BC01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2A1">
              <w:rPr>
                <w:rFonts w:ascii="Times New Roman" w:hAnsi="Times New Roman"/>
                <w:b/>
              </w:rPr>
              <w:t>3.4</w:t>
            </w:r>
            <w:r w:rsidRPr="00BD52A1">
              <w:rPr>
                <w:rFonts w:ascii="Times New Roman" w:hAnsi="Times New Roman"/>
              </w:rPr>
              <w:t>. Aké sú dôsledky pripravovaného návrhu pre fungovanie podnikateľských subjektov na slovenskom trhu (ako sa zmenia operácie na trhu?)</w:t>
            </w:r>
          </w:p>
          <w:p w:rsidR="00922D78" w:rsidRPr="00BD52A1" w:rsidP="00BC011A">
            <w:pPr>
              <w:bidi w:val="0"/>
              <w:spacing w:after="0"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922D78" w:rsidRPr="00BD52A1" w:rsidP="00BC01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val="pt-BR"/>
              </w:rPr>
            </w:pPr>
            <w:r w:rsidRPr="00BD52A1">
              <w:rPr>
                <w:rFonts w:ascii="Times New Roman" w:hAnsi="Times New Roman"/>
                <w:lang w:val="pt-BR"/>
              </w:rPr>
              <w:t>Aktuálne nie je možné vyčísliť.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22D78" w:rsidRPr="00BD52A1" w:rsidP="00BC01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2D78" w:rsidRPr="00BD52A1" w:rsidP="00BC01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2A1">
              <w:rPr>
                <w:rFonts w:ascii="Times New Roman" w:hAnsi="Times New Roman"/>
                <w:b/>
              </w:rPr>
              <w:t>3.5</w:t>
            </w:r>
            <w:r w:rsidRPr="00BD52A1">
              <w:rPr>
                <w:rFonts w:ascii="Times New Roman" w:hAnsi="Times New Roman"/>
              </w:rPr>
              <w:t>. Aké sú predpokladané spoločensko – ekonomické dôsledky pripravovaných regulácií?</w:t>
            </w:r>
          </w:p>
          <w:p w:rsidR="00922D78" w:rsidRPr="00BD52A1" w:rsidP="00BC01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922D78" w:rsidRPr="00BD52A1" w:rsidP="00BC01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2A1">
              <w:rPr>
                <w:rFonts w:ascii="Times New Roman" w:hAnsi="Times New Roman"/>
              </w:rPr>
              <w:t>-</w:t>
            </w:r>
          </w:p>
        </w:tc>
      </w:tr>
    </w:tbl>
    <w:p w:rsidR="00922D78" w:rsidRPr="00BD52A1" w:rsidP="00922D78">
      <w:pPr>
        <w:pStyle w:val="NormalWeb"/>
        <w:tabs>
          <w:tab w:val="num" w:pos="1080"/>
        </w:tabs>
        <w:bidi w:val="0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</w:p>
    <w:p w:rsidR="00922D78" w:rsidRPr="00BD52A1" w:rsidP="00922D78">
      <w:pPr>
        <w:pStyle w:val="NormalWeb"/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22D78" w:rsidRP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RP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RP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RP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RP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Sociálne vplyvy -  vplyvy na hospodárenie obyvateľstva, sociálnu exklúziu, rovnosť príležitostí a rodovú rovnosť  a na zamestnanosť</w:t>
      </w:r>
    </w:p>
    <w:p w:rsidR="00922D78" w:rsidP="00922D78">
      <w:pPr>
        <w:bidi w:val="0"/>
        <w:rPr>
          <w:rFonts w:ascii="Times New Roman" w:hAnsi="Times New Roman"/>
          <w:b/>
          <w:bCs/>
        </w:rPr>
      </w:pPr>
    </w:p>
    <w:p w:rsidR="00922D78" w:rsidP="00922D78">
      <w:pPr>
        <w:bidi w:val="0"/>
        <w:rPr>
          <w:rFonts w:ascii="Times New Roman" w:hAnsi="Times New Roman"/>
          <w:b/>
          <w:bCs/>
        </w:rPr>
      </w:pPr>
    </w:p>
    <w:tbl>
      <w:tblPr>
        <w:tblStyle w:val="TableNormal"/>
        <w:tblW w:w="9015" w:type="dxa"/>
        <w:jc w:val="center"/>
        <w:tblCellMar>
          <w:left w:w="70" w:type="dxa"/>
          <w:right w:w="70" w:type="dxa"/>
        </w:tblCellMar>
        <w:tblLook w:val="04A0"/>
      </w:tblPr>
      <w:tblGrid>
        <w:gridCol w:w="4875"/>
        <w:gridCol w:w="4140"/>
      </w:tblGrid>
      <w:tr>
        <w:tblPrEx>
          <w:tblW w:w="901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660"/>
          <w:jc w:val="center"/>
        </w:trPr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C0C0C"/>
            <w:textDirection w:val="lrTb"/>
            <w:vAlign w:val="top"/>
            <w:hideMark/>
          </w:tcPr>
          <w:p w:rsidR="00922D78">
            <w:pPr>
              <w:bidi w:val="0"/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Sociálne vplyvy predkladaného materiálu -  vplyvy na hospodárenie obyvateľstva, sociálnu exklúziu, rovnosť príležitostí a rodovú rovnosť a vplyvy na zamestnanosť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153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22D78">
            <w:pPr>
              <w:bidi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4.1.</w:t>
            </w:r>
            <w:r>
              <w:rPr>
                <w:rFonts w:ascii="Times New Roman" w:hAnsi="Times New Roman"/>
              </w:rPr>
              <w:t xml:space="preserve"> Identifikujte vplyv na hospodárenie   domácností a špecifikujte ovplyvnené skupiny domácností, ktoré budú pozitívne/negatívne ovplyvnené.  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22D78">
            <w:pPr>
              <w:bidi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 vplyvu.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  <w:tblLook w:val="04A0"/>
        </w:tblPrEx>
        <w:trPr>
          <w:cantSplit/>
          <w:trHeight w:val="52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  <w:hideMark/>
          </w:tcPr>
          <w:p w:rsidR="00922D78">
            <w:pPr>
              <w:bidi w:val="0"/>
              <w:spacing w:after="0" w:line="276" w:lineRule="auto"/>
              <w:ind w:firstLine="480" w:firstLineChars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Kvantifikujte: </w:t>
            </w:r>
          </w:p>
        </w:tc>
        <w:tc>
          <w:tcPr>
            <w:tcW w:w="41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22D78">
            <w:pPr>
              <w:bidi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Návrhom zákona neočakáva z hľadiska vplyvov na príjmy a výdavky obyvateľstva.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  <w:tblLook w:val="04A0"/>
        </w:tblPrEx>
        <w:trPr>
          <w:cantSplit/>
          <w:trHeight w:val="549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  <w:hideMark/>
          </w:tcPr>
          <w:p w:rsidR="00922D78">
            <w:pPr>
              <w:bidi w:val="0"/>
              <w:spacing w:after="0" w:line="276" w:lineRule="auto"/>
              <w:ind w:firstLine="720" w:firstLineChars="3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Rast alebo pokles príjmov/výdavkov na priemerného obyvateľa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22D7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  <w:tblLook w:val="04A0"/>
        </w:tblPrEx>
        <w:trPr>
          <w:cantSplit/>
          <w:trHeight w:val="870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  <w:hideMark/>
          </w:tcPr>
          <w:p w:rsidR="00922D78">
            <w:pPr>
              <w:bidi w:val="0"/>
              <w:spacing w:after="0" w:line="276" w:lineRule="auto"/>
              <w:ind w:firstLine="720" w:firstLineChars="3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Rast alebo pokles príjmov/výdavkov                  za jednotlivé ovplyvnené  skupiny domácností</w:t>
            </w:r>
          </w:p>
          <w:p w:rsidR="00922D78">
            <w:pPr>
              <w:bidi w:val="0"/>
              <w:spacing w:after="0" w:line="276" w:lineRule="auto"/>
              <w:ind w:firstLine="720" w:firstLineChars="3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Celkový počet obyvateľstva/domácností ovplyvnených predkladaným materiálom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22D7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  <w:tblLook w:val="04A0"/>
        </w:tblPrEx>
        <w:trPr>
          <w:cantSplit/>
          <w:trHeight w:val="128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922D78">
            <w:pPr>
              <w:bidi w:val="0"/>
              <w:spacing w:after="0" w:line="276" w:lineRule="auto"/>
              <w:ind w:firstLine="720" w:firstLineChars="300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22D7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160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22D78">
            <w:pPr>
              <w:bidi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4.2.</w:t>
            </w:r>
            <w:r>
              <w:rPr>
                <w:rFonts w:ascii="Times New Roman" w:hAnsi="Times New Roman"/>
              </w:rPr>
              <w:t xml:space="preserve"> Zhodnoťte kvalitatívne (prípadne kvantitatívne) vplyvy na prístup k zdrojom, právam, tovarom a službám u jednotlivých ovplyvnených skupín obyvateľstva.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22D78">
            <w:pPr>
              <w:bidi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Očakáva sa zlepšenie prístupu spotrebiteľov k finančným  službám. Predovšetkým sa sprehľadní a uľahčí presun platobných účtov, zvýši sa úroveň transparentnosti a informovanosti spotrebiteľa. Rovnako sa očakáva širšie začlenenie spotrebiteľov v oblasti platobných služieb prostredníctvom cenovo prístupných platobných účtov.Návrh zákona prispieva svojimi nástrojmi k zlepšeniu informovanosti spotrebiteľov na finančnom trhu a komparatívnosti jednotlivých ponúk poskytovateľov platobných služieb. Spotrebiteľom sa zabezpečí nediskriminačný prístup k platobným účtom a zjednoduší mobilita spotrebiteľov pri presune platobných účtov. 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66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22D78">
            <w:pPr>
              <w:bidi w:val="0"/>
              <w:spacing w:after="0" w:line="276" w:lineRule="auto"/>
              <w:jc w:val="both"/>
              <w:rPr>
                <w:rFonts w:ascii="Times New Roman" w:hAnsi="Times New Roman"/>
              </w:rPr>
            </w:pPr>
          </w:p>
          <w:p w:rsidR="00922D78">
            <w:pPr>
              <w:bidi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4.3.</w:t>
            </w:r>
            <w:r>
              <w:rPr>
                <w:rFonts w:ascii="Times New Roman" w:hAnsi="Times New Roman"/>
              </w:rPr>
              <w:t xml:space="preserve">  Zhodnoťte vplyv na rovnosť príležitostí:</w:t>
            </w:r>
          </w:p>
          <w:p w:rsidR="00922D78">
            <w:pPr>
              <w:bidi w:val="0"/>
              <w:spacing w:after="0" w:line="276" w:lineRule="auto"/>
              <w:jc w:val="both"/>
              <w:rPr>
                <w:rFonts w:ascii="Times New Roman" w:hAnsi="Times New Roman"/>
              </w:rPr>
            </w:pPr>
          </w:p>
          <w:p w:rsidR="00922D78">
            <w:pPr>
              <w:bidi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Zhodnoťte vplyv na rodovú rovnosť.</w:t>
            </w:r>
          </w:p>
          <w:p w:rsidR="00922D78">
            <w:pPr>
              <w:bidi w:val="0"/>
              <w:spacing w:after="0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22D78">
            <w:pPr>
              <w:bidi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Pozitívny vplyv vo vzťahu k prístupu spotrebiteľov bez ohľadu na občianstvo, či trvalý pobyt, k platobným účtom.</w:t>
            </w:r>
          </w:p>
          <w:p w:rsidR="00922D78">
            <w:pPr>
              <w:bidi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Nediskriminácia prístupu k platobným účtom.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252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22D78">
            <w:pPr>
              <w:bidi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4.4. </w:t>
            </w:r>
            <w:r>
              <w:rPr>
                <w:rFonts w:ascii="Times New Roman" w:hAnsi="Times New Roman"/>
              </w:rPr>
              <w:t>Zhodnoťte vplyvy na zamestnanosť.</w:t>
            </w:r>
          </w:p>
          <w:p w:rsidR="00922D78">
            <w:pPr>
              <w:bidi w:val="0"/>
              <w:spacing w:after="0"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922D78">
            <w:pPr>
              <w:bidi w:val="0"/>
              <w:spacing w:after="0" w:line="276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Aké sú  vplyvy na zamestnanosť ?</w:t>
            </w:r>
          </w:p>
          <w:p w:rsidR="00922D78">
            <w:pPr>
              <w:bidi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Ktoré skupiny zamestnancov budú ohrozené schválením predkladaného materiálu ?</w:t>
            </w:r>
          </w:p>
          <w:p w:rsidR="00922D78">
            <w:pPr>
              <w:bidi w:val="0"/>
              <w:spacing w:after="0" w:line="276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Hrozí v prípade schválenia predkladaného materiálu hromadné prepúšťanie 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22D78">
            <w:pPr>
              <w:bidi w:val="0"/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922D78">
            <w:pPr>
              <w:bidi w:val="0"/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  <w:p w:rsidR="00922D78">
            <w:pPr>
              <w:bidi w:val="0"/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  <w:p w:rsidR="00922D78">
            <w:pPr>
              <w:bidi w:val="0"/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  <w:p w:rsidR="00922D78">
            <w:pPr>
              <w:bidi w:val="0"/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  <w:p w:rsidR="00922D78">
            <w:pPr>
              <w:bidi w:val="0"/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  <w:p w:rsidR="00922D78">
            <w:pPr>
              <w:bidi w:val="0"/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922D78" w:rsidP="00922D78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Cs/>
        </w:rPr>
      </w:pPr>
    </w:p>
    <w:p w:rsidR="00922D78" w:rsidP="00922D78">
      <w:pPr>
        <w:bidi w:val="0"/>
        <w:rPr>
          <w:rFonts w:ascii="Times New Roman" w:hAnsi="Times New Roman"/>
        </w:rPr>
      </w:pPr>
    </w:p>
    <w:p w:rsidR="00922D78" w:rsidRP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RP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RP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RP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RP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RP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RP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RPr="001C1788" w:rsidP="00922D78">
      <w:pPr>
        <w:pStyle w:val="NormalWeb"/>
        <w:bidi w:val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C1788">
        <w:rPr>
          <w:rFonts w:ascii="Times New Roman" w:hAnsi="Times New Roman" w:cs="Times New Roman"/>
          <w:bCs/>
          <w:sz w:val="24"/>
          <w:szCs w:val="24"/>
        </w:rPr>
        <w:t>Vplyvy na informatizáciu spoločnosti</w:t>
      </w:r>
    </w:p>
    <w:p w:rsidR="00922D78" w:rsidRPr="001C1788" w:rsidP="00922D78">
      <w:pPr>
        <w:pStyle w:val="NormalWeb"/>
        <w:bidi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Normal"/>
        <w:tblW w:w="90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</w:tblPr>
      <w:tblGrid>
        <w:gridCol w:w="5235"/>
        <w:gridCol w:w="3780"/>
      </w:tblGrid>
      <w:tr>
        <w:tblPrEx>
          <w:tblW w:w="9015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922D78" w:rsidRPr="001C1788" w:rsidP="00BC011A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  <w:r w:rsidRPr="001C1788">
              <w:rPr>
                <w:rFonts w:ascii="Times New Roman" w:hAnsi="Times New Roman"/>
                <w:b/>
              </w:rPr>
              <w:t>Budovanie základných pilierov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922D78" w:rsidRPr="001C1788" w:rsidP="00BC011A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iCs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922D78" w:rsidRPr="001C1788" w:rsidP="00BC011A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  <w:r w:rsidRPr="001C1788">
              <w:rPr>
                <w:rFonts w:ascii="Times New Roman" w:hAnsi="Times New Roman"/>
                <w:b/>
              </w:rPr>
              <w:t>Obsah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922D78" w:rsidRPr="001C1788" w:rsidP="00BC011A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2D78" w:rsidRPr="001C1788" w:rsidP="00BC011A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788">
              <w:rPr>
                <w:rFonts w:ascii="Times New Roman" w:hAnsi="Times New Roman"/>
                <w:b/>
              </w:rPr>
              <w:t>6.1.</w:t>
            </w:r>
            <w:r w:rsidRPr="001C1788">
              <w:rPr>
                <w:rFonts w:ascii="Times New Roman" w:hAnsi="Times New Roman"/>
              </w:rPr>
              <w:t xml:space="preserve"> Rozširujú alebo inovujú  sa existujúce alebo vytvárajú sa či zavádzajú  sa nové elektronické služby?</w:t>
            </w:r>
          </w:p>
          <w:p w:rsidR="00922D78" w:rsidRPr="001C1788" w:rsidP="00BC011A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1C1788">
              <w:rPr>
                <w:rFonts w:ascii="Times New Roman" w:hAnsi="Times New Roman"/>
                <w:i/>
                <w:iCs/>
              </w:rPr>
              <w:t>(Popíšte ich funkciu a úroveň poskytovania.)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2D78" w:rsidRPr="001C1788" w:rsidP="00BC01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  <w:p w:rsidR="00922D78" w:rsidRPr="001C1788" w:rsidP="00BC011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1C1788">
              <w:rPr>
                <w:rFonts w:ascii="Times New Roman" w:hAnsi="Times New Roman"/>
                <w:iCs/>
              </w:rPr>
              <w:t>Áno, zverejňovaním informácií a zoznamu na webovom sídle Národnej banky Slovenska a zverejňovaním zákonom ustanovených informácií na webových sídlach poskytovateľov platobných služieb sa zavádzajú nové elektronické služby s úrovňou I (informatívna úroveň).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2D78" w:rsidRPr="001C1788" w:rsidP="00BC011A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788">
              <w:rPr>
                <w:rFonts w:ascii="Times New Roman" w:hAnsi="Times New Roman"/>
                <w:b/>
              </w:rPr>
              <w:t>6.2.</w:t>
            </w:r>
            <w:r w:rsidRPr="001C1788">
              <w:rPr>
                <w:rFonts w:ascii="Times New Roman" w:hAnsi="Times New Roman"/>
              </w:rPr>
              <w:t xml:space="preserve"> Vytvárajú sa podmienky pre sémantickú interoperabilitu?</w:t>
            </w:r>
          </w:p>
          <w:p w:rsidR="00922D78" w:rsidRPr="001C1788" w:rsidP="00BC011A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1C1788">
              <w:rPr>
                <w:rFonts w:ascii="Times New Roman" w:hAnsi="Times New Roman"/>
                <w:i/>
                <w:iCs/>
              </w:rPr>
              <w:t>(Popíšte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2D78" w:rsidRPr="001C1788" w:rsidP="00BC01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  <w:p w:rsidR="00922D78" w:rsidRPr="001C1788" w:rsidP="00BC01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C1788">
              <w:rPr>
                <w:rFonts w:ascii="Times New Roman" w:hAnsi="Times New Roman"/>
                <w:iCs/>
              </w:rPr>
              <w:t>-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922D78" w:rsidRPr="001C1788" w:rsidP="00BC011A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b/>
                <w:color w:val="FFFFFF"/>
              </w:rPr>
            </w:pPr>
            <w:r w:rsidRPr="001C1788">
              <w:rPr>
                <w:rFonts w:ascii="Times New Roman" w:hAnsi="Times New Roman"/>
                <w:b/>
              </w:rPr>
              <w:t>Ľudia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922D78" w:rsidRPr="001C1788" w:rsidP="00BC011A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iCs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2D78" w:rsidRPr="001C1788" w:rsidP="00BC011A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788">
              <w:rPr>
                <w:rFonts w:ascii="Times New Roman" w:hAnsi="Times New Roman"/>
                <w:b/>
              </w:rPr>
              <w:t>6.3.</w:t>
            </w:r>
            <w:r w:rsidRPr="001C1788">
              <w:rPr>
                <w:rFonts w:ascii="Times New Roman" w:hAnsi="Times New Roman"/>
              </w:rPr>
              <w:t xml:space="preserve"> Zabezpečuje sa vzdelávanie v oblasti počítačovej gramotnosti a rozširovanie vedomostí o IKT?</w:t>
            </w:r>
          </w:p>
          <w:p w:rsidR="00922D78" w:rsidRPr="001C1788" w:rsidP="00BC011A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1C1788">
              <w:rPr>
                <w:rFonts w:ascii="Times New Roman" w:hAnsi="Times New Roman"/>
                <w:i/>
                <w:iCs/>
              </w:rPr>
              <w:t>(Uveďte spôsob, napr. projekty, školenia.)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2D78" w:rsidRPr="001C1788" w:rsidP="00BC01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788">
              <w:rPr>
                <w:rFonts w:ascii="Times New Roman" w:hAnsi="Times New Roman"/>
                <w:iCs/>
              </w:rPr>
              <w:t>-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2D78" w:rsidRPr="001C1788" w:rsidP="00BC011A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788">
              <w:rPr>
                <w:rFonts w:ascii="Times New Roman" w:hAnsi="Times New Roman"/>
                <w:b/>
              </w:rPr>
              <w:t>6.4.</w:t>
            </w:r>
            <w:r w:rsidRPr="001C1788">
              <w:rPr>
                <w:rFonts w:ascii="Times New Roman" w:hAnsi="Times New Roman"/>
              </w:rPr>
              <w:t xml:space="preserve"> Zabezpečuje sa rozvoj elektronického vzdelávania?</w:t>
            </w:r>
          </w:p>
          <w:p w:rsidR="00922D78" w:rsidRPr="001C1788" w:rsidP="00BC011A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color w:val="FFFFFF"/>
              </w:rPr>
            </w:pPr>
            <w:r w:rsidRPr="001C1788">
              <w:rPr>
                <w:rFonts w:ascii="Times New Roman" w:hAnsi="Times New Roman"/>
                <w:i/>
                <w:iCs/>
              </w:rPr>
              <w:t>(Uveďte typ a spôsob zabezpečenia vzdelávacích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2D78" w:rsidRPr="001C1788" w:rsidP="00BC01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788">
              <w:rPr>
                <w:rFonts w:ascii="Times New Roman" w:hAnsi="Times New Roman"/>
                <w:iCs/>
              </w:rPr>
              <w:t>-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2D78" w:rsidRPr="001C1788" w:rsidP="00BC011A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788">
              <w:rPr>
                <w:rFonts w:ascii="Times New Roman" w:hAnsi="Times New Roman"/>
                <w:b/>
              </w:rPr>
              <w:t>6.5.</w:t>
            </w:r>
            <w:r w:rsidRPr="001C1788">
              <w:rPr>
                <w:rFonts w:ascii="Times New Roman" w:hAnsi="Times New Roman"/>
              </w:rPr>
              <w:t xml:space="preserve"> Zabezpečuje sa podporná a propagačná aktivita zameraná na zvyšovanie povedomia o informatizácii a IKT?</w:t>
            </w:r>
          </w:p>
          <w:p w:rsidR="00922D78" w:rsidRPr="001C1788" w:rsidP="00BC011A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color w:val="FFFFFF"/>
              </w:rPr>
            </w:pPr>
            <w:r w:rsidRPr="001C1788">
              <w:rPr>
                <w:rFonts w:ascii="Times New Roman" w:hAnsi="Times New Roman"/>
                <w:i/>
                <w:iCs/>
              </w:rPr>
              <w:t>(Uveďte typ a spôsob zabezpečenia propagačných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2D78" w:rsidRPr="001C1788" w:rsidP="00BC01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788">
              <w:rPr>
                <w:rFonts w:ascii="Times New Roman" w:hAnsi="Times New Roman"/>
                <w:iCs/>
              </w:rPr>
              <w:t>-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2D78" w:rsidRPr="001C1788" w:rsidP="00BC011A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788">
              <w:rPr>
                <w:rFonts w:ascii="Times New Roman" w:hAnsi="Times New Roman"/>
                <w:b/>
              </w:rPr>
              <w:t>6.6.</w:t>
            </w:r>
            <w:r w:rsidRPr="001C1788">
              <w:rPr>
                <w:rFonts w:ascii="Times New Roman" w:hAnsi="Times New Roman"/>
              </w:rPr>
              <w:t xml:space="preserve"> Zabezpečuje/zohľadňuje/zlepšuje sa prístup znevýhodnených osôb k službám informačnej spoločnosti?</w:t>
            </w:r>
          </w:p>
          <w:p w:rsidR="00922D78" w:rsidRPr="001C1788" w:rsidP="00BC011A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1C1788">
              <w:rPr>
                <w:rFonts w:ascii="Times New Roman" w:hAnsi="Times New Roman"/>
                <w:i/>
                <w:iCs/>
              </w:rPr>
              <w:t>(Uveďte spôsob sprístupnenia digitálneho prostredia.)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2D78" w:rsidRPr="001C1788" w:rsidP="00BC01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788">
              <w:rPr>
                <w:rFonts w:ascii="Times New Roman" w:hAnsi="Times New Roman"/>
                <w:iCs/>
              </w:rPr>
              <w:t>-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922D78" w:rsidRPr="001C1788" w:rsidP="00BC011A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  <w:r w:rsidRPr="001C1788">
              <w:rPr>
                <w:rFonts w:ascii="Times New Roman" w:hAnsi="Times New Roman"/>
                <w:b/>
              </w:rPr>
              <w:t>Infraštruktúra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922D78" w:rsidRPr="001C1788" w:rsidP="00BC011A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iCs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2D78" w:rsidRPr="001C1788" w:rsidP="00BC011A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788">
              <w:rPr>
                <w:rFonts w:ascii="Times New Roman" w:hAnsi="Times New Roman"/>
                <w:b/>
              </w:rPr>
              <w:t>6.7.</w:t>
            </w:r>
            <w:r w:rsidRPr="001C1788">
              <w:rPr>
                <w:rFonts w:ascii="Times New Roman" w:hAnsi="Times New Roman"/>
              </w:rPr>
              <w:t xml:space="preserve"> Rozširuje, inovuje, vytvára alebo zavádza sa nový informačný systém?</w:t>
            </w:r>
          </w:p>
          <w:p w:rsidR="00922D78" w:rsidRPr="001C1788" w:rsidP="00BC011A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1C1788">
              <w:rPr>
                <w:rFonts w:ascii="Times New Roman" w:hAnsi="Times New Roman"/>
                <w:i/>
                <w:iCs/>
              </w:rPr>
              <w:t>(Uveďte jeho funkciu.)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2D78" w:rsidRPr="001C1788" w:rsidP="00BC01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788">
              <w:rPr>
                <w:rFonts w:ascii="Times New Roman" w:hAnsi="Times New Roman"/>
                <w:iCs/>
              </w:rPr>
              <w:t>-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2D78" w:rsidRPr="001C1788" w:rsidP="00BC011A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788">
              <w:rPr>
                <w:rFonts w:ascii="Times New Roman" w:hAnsi="Times New Roman"/>
                <w:b/>
              </w:rPr>
              <w:t>6.8.</w:t>
            </w:r>
            <w:r w:rsidRPr="001C1788">
              <w:rPr>
                <w:rFonts w:ascii="Times New Roman" w:hAnsi="Times New Roman"/>
              </w:rPr>
              <w:t xml:space="preserve"> Rozširuje sa prístupnosť k internetu?</w:t>
            </w:r>
          </w:p>
          <w:p w:rsidR="00922D78" w:rsidRPr="001C1788" w:rsidP="00BC011A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1C1788">
              <w:rPr>
                <w:rFonts w:ascii="Times New Roman" w:hAnsi="Times New Roman"/>
                <w:i/>
                <w:iCs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2D78" w:rsidRPr="001C1788" w:rsidP="00BC01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788">
              <w:rPr>
                <w:rFonts w:ascii="Times New Roman" w:hAnsi="Times New Roman"/>
                <w:iCs/>
              </w:rPr>
              <w:t>-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2D78" w:rsidRPr="001C1788" w:rsidP="00BC011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1C1788">
              <w:rPr>
                <w:rFonts w:ascii="Times New Roman" w:hAnsi="Times New Roman"/>
                <w:b/>
              </w:rPr>
              <w:t>6.9.</w:t>
            </w:r>
            <w:r w:rsidRPr="001C1788">
              <w:rPr>
                <w:rFonts w:ascii="Times New Roman" w:hAnsi="Times New Roman"/>
              </w:rPr>
              <w:t xml:space="preserve"> Rozširuje sa prístupnosť k elektronickým službám?</w:t>
            </w:r>
          </w:p>
          <w:p w:rsidR="00922D78" w:rsidRPr="001C1788" w:rsidP="00BC011A">
            <w:pPr>
              <w:bidi w:val="0"/>
              <w:spacing w:after="0" w:line="20" w:lineRule="atLeast"/>
              <w:rPr>
                <w:rFonts w:ascii="Times New Roman" w:hAnsi="Times New Roman"/>
              </w:rPr>
            </w:pPr>
            <w:r w:rsidRPr="001C1788">
              <w:rPr>
                <w:rFonts w:ascii="Times New Roman" w:hAnsi="Times New Roman"/>
                <w:i/>
                <w:iCs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2D78" w:rsidRPr="001C1788" w:rsidP="00BC01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788">
              <w:rPr>
                <w:rFonts w:ascii="Times New Roman" w:hAnsi="Times New Roman"/>
                <w:iCs/>
              </w:rPr>
              <w:t>-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2D78" w:rsidRPr="001C1788" w:rsidP="00BC011A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788">
              <w:rPr>
                <w:rFonts w:ascii="Times New Roman" w:hAnsi="Times New Roman"/>
                <w:b/>
              </w:rPr>
              <w:t>6.10.</w:t>
            </w:r>
            <w:r w:rsidRPr="001C1788">
              <w:rPr>
                <w:rFonts w:ascii="Times New Roman" w:hAnsi="Times New Roman"/>
              </w:rPr>
              <w:t xml:space="preserve"> Zabezpečuje sa technická interoperabilita?</w:t>
            </w:r>
          </w:p>
          <w:p w:rsidR="00922D78" w:rsidRPr="001C1788" w:rsidP="00BC011A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1C1788">
              <w:rPr>
                <w:rFonts w:ascii="Times New Roman" w:hAnsi="Times New Roman"/>
                <w:i/>
                <w:iCs/>
              </w:rPr>
              <w:t>(Uveďte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2D78" w:rsidRPr="001C1788" w:rsidP="00BC01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788">
              <w:rPr>
                <w:rFonts w:ascii="Times New Roman" w:hAnsi="Times New Roman"/>
                <w:iCs/>
              </w:rPr>
              <w:t>-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2D78" w:rsidRPr="001C1788" w:rsidP="00BC011A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788">
              <w:rPr>
                <w:rFonts w:ascii="Times New Roman" w:hAnsi="Times New Roman"/>
                <w:b/>
              </w:rPr>
              <w:t>6.11.</w:t>
            </w:r>
            <w:r w:rsidRPr="001C1788">
              <w:rPr>
                <w:rFonts w:ascii="Times New Roman" w:hAnsi="Times New Roman"/>
              </w:rPr>
              <w:t xml:space="preserve"> Zvyšuje sa bezpečnosť IT?</w:t>
            </w:r>
          </w:p>
          <w:p w:rsidR="00922D78" w:rsidRPr="001C1788" w:rsidP="00BC011A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1C1788">
              <w:rPr>
                <w:rFonts w:ascii="Times New Roman" w:hAnsi="Times New Roman"/>
              </w:rPr>
              <w:t>(</w:t>
            </w:r>
            <w:r w:rsidRPr="001C1788">
              <w:rPr>
                <w:rFonts w:ascii="Times New Roman" w:hAnsi="Times New Roman"/>
                <w:i/>
                <w:iCs/>
              </w:rPr>
              <w:t>Uveďte spôsob zvýšenia bezpečnosti a ochrany IT.)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2D78" w:rsidRPr="001C1788" w:rsidP="00BC01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788">
              <w:rPr>
                <w:rFonts w:ascii="Times New Roman" w:hAnsi="Times New Roman"/>
                <w:iCs/>
              </w:rPr>
              <w:t>-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2D78" w:rsidRPr="001C1788" w:rsidP="00BC011A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788">
              <w:rPr>
                <w:rFonts w:ascii="Times New Roman" w:hAnsi="Times New Roman"/>
                <w:b/>
              </w:rPr>
              <w:t>6.12.</w:t>
            </w:r>
            <w:r w:rsidRPr="001C1788">
              <w:rPr>
                <w:rFonts w:ascii="Times New Roman" w:hAnsi="Times New Roman"/>
              </w:rPr>
              <w:t xml:space="preserve"> Rozširuje sa technická infraštruktúra?</w:t>
            </w:r>
          </w:p>
          <w:p w:rsidR="00922D78" w:rsidRPr="001C1788" w:rsidP="00BC011A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i/>
                <w:iCs/>
              </w:rPr>
            </w:pPr>
            <w:r w:rsidRPr="001C1788">
              <w:rPr>
                <w:rFonts w:ascii="Times New Roman" w:hAnsi="Times New Roman"/>
              </w:rPr>
              <w:t>(</w:t>
            </w:r>
            <w:r w:rsidRPr="001C1788">
              <w:rPr>
                <w:rFonts w:ascii="Times New Roman" w:hAnsi="Times New Roman"/>
                <w:i/>
                <w:iCs/>
              </w:rPr>
              <w:t>Uveďte stručný popis zavádzanej infraštruktúry.)</w:t>
            </w:r>
          </w:p>
          <w:p w:rsidR="00922D78" w:rsidRPr="001C1788" w:rsidP="00BC011A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2D78" w:rsidRPr="001C1788" w:rsidP="00BC01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788">
              <w:rPr>
                <w:rFonts w:ascii="Times New Roman" w:hAnsi="Times New Roman"/>
                <w:iCs/>
              </w:rPr>
              <w:t>-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922D78" w:rsidRPr="001C1788" w:rsidP="00BC011A">
            <w:pPr>
              <w:bidi w:val="0"/>
              <w:spacing w:after="0" w:line="20" w:lineRule="atLeast"/>
              <w:rPr>
                <w:rFonts w:ascii="Times New Roman" w:hAnsi="Times New Roman"/>
                <w:b/>
              </w:rPr>
            </w:pPr>
            <w:r w:rsidRPr="001C1788">
              <w:rPr>
                <w:rFonts w:ascii="Times New Roman" w:hAnsi="Times New Roman"/>
                <w:b/>
              </w:rPr>
              <w:t>Riadenie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922D78" w:rsidRPr="001C1788" w:rsidP="00BC01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788">
              <w:rPr>
                <w:rFonts w:ascii="Times New Roman" w:hAnsi="Times New Roman"/>
                <w:iCs/>
              </w:rPr>
              <w:t>-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2D78" w:rsidRPr="001C1788" w:rsidP="00BC011A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788">
              <w:rPr>
                <w:rFonts w:ascii="Times New Roman" w:hAnsi="Times New Roman"/>
                <w:b/>
              </w:rPr>
              <w:t>6.13.</w:t>
            </w:r>
            <w:r w:rsidRPr="001C1788">
              <w:rPr>
                <w:rFonts w:ascii="Times New Roman" w:hAnsi="Times New Roman"/>
              </w:rPr>
              <w:t xml:space="preserve"> Predpokladajú sa zmeny v riadení procesu informatizácie?</w:t>
            </w:r>
          </w:p>
          <w:p w:rsidR="00922D78" w:rsidRPr="001C1788" w:rsidP="00BC011A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1C1788">
              <w:rPr>
                <w:rFonts w:ascii="Times New Roman" w:hAnsi="Times New Roman"/>
                <w:i/>
                <w:iCs/>
              </w:rPr>
              <w:t>(Uveďte popis zmien.)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2D78" w:rsidRPr="001C1788" w:rsidP="00BC01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788">
              <w:rPr>
                <w:rFonts w:ascii="Times New Roman" w:hAnsi="Times New Roman"/>
                <w:iCs/>
              </w:rPr>
              <w:t>-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922D78" w:rsidRPr="001C1788" w:rsidP="00BC011A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  <w:r w:rsidRPr="001C1788">
              <w:rPr>
                <w:rFonts w:ascii="Times New Roman" w:hAnsi="Times New Roman"/>
                <w:b/>
              </w:rPr>
              <w:t>Financovanie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922D78" w:rsidRPr="001C1788" w:rsidP="00BC011A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iCs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2D78" w:rsidRPr="001C1788" w:rsidP="00BC011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1C1788">
              <w:rPr>
                <w:rFonts w:ascii="Times New Roman" w:hAnsi="Times New Roman"/>
                <w:b/>
              </w:rPr>
              <w:t>6.14.</w:t>
            </w:r>
            <w:r w:rsidRPr="001C1788">
              <w:rPr>
                <w:rFonts w:ascii="Times New Roman" w:hAnsi="Times New Roman"/>
              </w:rPr>
              <w:t xml:space="preserve"> Vyžaduje si proces informatizácie  finančné investície?</w:t>
            </w:r>
          </w:p>
          <w:p w:rsidR="00922D78" w:rsidRPr="001C1788" w:rsidP="00BC011A">
            <w:pPr>
              <w:bidi w:val="0"/>
              <w:spacing w:after="0" w:line="20" w:lineRule="atLeast"/>
              <w:rPr>
                <w:rFonts w:ascii="Times New Roman" w:hAnsi="Times New Roman"/>
              </w:rPr>
            </w:pPr>
            <w:r w:rsidRPr="001C1788">
              <w:rPr>
                <w:rFonts w:ascii="Times New Roman" w:hAnsi="Times New Roman"/>
                <w:i/>
                <w:iCs/>
              </w:rPr>
              <w:t>(Popíšte príslušnú úroveň financovania.)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2D78" w:rsidRPr="001C1788" w:rsidP="00BC01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C1788">
              <w:rPr>
                <w:rFonts w:ascii="Times New Roman" w:hAnsi="Times New Roman"/>
                <w:iCs/>
              </w:rPr>
              <w:t>-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922D78" w:rsidRPr="001C1788" w:rsidP="00BC011A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  <w:r w:rsidRPr="001C1788">
              <w:rPr>
                <w:rFonts w:ascii="Times New Roman" w:hAnsi="Times New Roman"/>
                <w:b/>
              </w:rPr>
              <w:t>Legislatívne prostredie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922D78" w:rsidRPr="001C1788" w:rsidP="00BC011A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iCs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2D78" w:rsidRPr="001C1788" w:rsidP="00BC011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1C1788">
              <w:rPr>
                <w:rFonts w:ascii="Times New Roman" w:hAnsi="Times New Roman"/>
                <w:b/>
              </w:rPr>
              <w:t>6.15.</w:t>
            </w:r>
            <w:r w:rsidRPr="001C1788">
              <w:rPr>
                <w:rFonts w:ascii="Times New Roman" w:hAnsi="Times New Roman"/>
              </w:rPr>
              <w:t xml:space="preserve"> Predpokladá nelegislatívny materiál potrebu úpravy legislatívneho prostredia  procesu informatizácie?</w:t>
            </w:r>
          </w:p>
          <w:p w:rsidR="00922D78" w:rsidRPr="001C1788" w:rsidP="00BC011A">
            <w:pPr>
              <w:bidi w:val="0"/>
              <w:spacing w:after="0" w:line="20" w:lineRule="atLeast"/>
              <w:rPr>
                <w:rFonts w:ascii="Times New Roman" w:hAnsi="Times New Roman"/>
              </w:rPr>
            </w:pPr>
            <w:r w:rsidRPr="001C1788">
              <w:rPr>
                <w:rFonts w:ascii="Times New Roman" w:hAnsi="Times New Roman"/>
                <w:i/>
                <w:iCs/>
              </w:rPr>
              <w:t>(Stručne popíšte navrhované legislatívne zmeny.)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2D78" w:rsidRPr="001C1788" w:rsidP="00BC01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C1788">
              <w:rPr>
                <w:rFonts w:ascii="Times New Roman" w:hAnsi="Times New Roman"/>
                <w:iCs/>
              </w:rPr>
              <w:t>-</w:t>
            </w:r>
          </w:p>
        </w:tc>
      </w:tr>
    </w:tbl>
    <w:p w:rsidR="00922D78" w:rsidRPr="001C1788" w:rsidP="00922D78">
      <w:pPr>
        <w:bidi w:val="0"/>
        <w:spacing w:line="240" w:lineRule="atLeast"/>
        <w:jc w:val="center"/>
        <w:rPr>
          <w:rFonts w:ascii="Times New Roman" w:hAnsi="Times New Roman"/>
          <w:b/>
        </w:rPr>
      </w:pPr>
    </w:p>
    <w:p w:rsidR="00922D78" w:rsidRPr="001C1788" w:rsidP="00922D78">
      <w:pPr>
        <w:bidi w:val="0"/>
        <w:spacing w:line="240" w:lineRule="atLeast"/>
        <w:jc w:val="center"/>
        <w:rPr>
          <w:rFonts w:ascii="Times New Roman" w:hAnsi="Times New Roman"/>
          <w:b/>
        </w:rPr>
      </w:pPr>
    </w:p>
    <w:p w:rsidR="00922D78" w:rsidP="00922D78">
      <w:pPr>
        <w:bidi w:val="0"/>
        <w:spacing w:line="240" w:lineRule="atLeast"/>
        <w:rPr>
          <w:rFonts w:ascii="Times New Roman" w:hAnsi="Times New Roman"/>
          <w:b/>
        </w:rPr>
      </w:pPr>
    </w:p>
    <w:p w:rsidR="00922D78" w:rsidP="00922D78">
      <w:pPr>
        <w:bidi w:val="0"/>
        <w:spacing w:line="240" w:lineRule="atLeast"/>
        <w:rPr>
          <w:rFonts w:ascii="Times New Roman" w:hAnsi="Times New Roman"/>
          <w:b/>
        </w:rPr>
      </w:pPr>
    </w:p>
    <w:p w:rsidR="00922D78" w:rsidP="00922D78">
      <w:pPr>
        <w:bidi w:val="0"/>
        <w:spacing w:line="240" w:lineRule="atLeast"/>
        <w:rPr>
          <w:rFonts w:ascii="Times New Roman" w:hAnsi="Times New Roman"/>
          <w:b/>
        </w:rPr>
      </w:pPr>
    </w:p>
    <w:p w:rsidR="00922D78" w:rsidP="00922D78">
      <w:pPr>
        <w:bidi w:val="0"/>
        <w:spacing w:line="240" w:lineRule="atLeast"/>
        <w:rPr>
          <w:rFonts w:ascii="Times New Roman" w:hAnsi="Times New Roman"/>
          <w:b/>
        </w:rPr>
      </w:pPr>
    </w:p>
    <w:p w:rsidR="00922D78" w:rsidP="00922D78">
      <w:pPr>
        <w:bidi w:val="0"/>
        <w:spacing w:line="240" w:lineRule="atLeast"/>
        <w:rPr>
          <w:rFonts w:ascii="Times New Roman" w:hAnsi="Times New Roman"/>
          <w:b/>
        </w:rPr>
      </w:pPr>
    </w:p>
    <w:p w:rsidR="00922D78" w:rsidP="00922D78">
      <w:pPr>
        <w:bidi w:val="0"/>
        <w:spacing w:line="240" w:lineRule="atLeast"/>
        <w:rPr>
          <w:rFonts w:ascii="Times New Roman" w:hAnsi="Times New Roman"/>
          <w:b/>
        </w:rPr>
      </w:pPr>
    </w:p>
    <w:p w:rsidR="00922D78" w:rsidP="00922D78">
      <w:pPr>
        <w:bidi w:val="0"/>
        <w:spacing w:line="240" w:lineRule="atLeast"/>
        <w:rPr>
          <w:rFonts w:ascii="Times New Roman" w:hAnsi="Times New Roman"/>
          <w:b/>
        </w:rPr>
      </w:pPr>
    </w:p>
    <w:p w:rsidR="00922D78" w:rsidP="00922D78">
      <w:pPr>
        <w:bidi w:val="0"/>
        <w:spacing w:line="240" w:lineRule="atLeast"/>
        <w:rPr>
          <w:rFonts w:ascii="Times New Roman" w:hAnsi="Times New Roman"/>
          <w:b/>
        </w:rPr>
      </w:pPr>
    </w:p>
    <w:p w:rsidR="00922D78" w:rsidP="00922D78">
      <w:pPr>
        <w:bidi w:val="0"/>
        <w:spacing w:line="240" w:lineRule="atLeast"/>
        <w:rPr>
          <w:rFonts w:ascii="Times New Roman" w:hAnsi="Times New Roman"/>
          <w:b/>
        </w:rPr>
      </w:pPr>
    </w:p>
    <w:p w:rsidR="00922D78" w:rsidP="00922D78">
      <w:pPr>
        <w:bidi w:val="0"/>
        <w:spacing w:line="240" w:lineRule="atLeast"/>
        <w:rPr>
          <w:rFonts w:ascii="Times New Roman" w:hAnsi="Times New Roman"/>
          <w:b/>
        </w:rPr>
      </w:pPr>
    </w:p>
    <w:p w:rsidR="00922D78" w:rsidP="00922D78">
      <w:pPr>
        <w:bidi w:val="0"/>
        <w:spacing w:line="240" w:lineRule="atLeast"/>
        <w:rPr>
          <w:rFonts w:ascii="Times New Roman" w:hAnsi="Times New Roman"/>
          <w:b/>
        </w:rPr>
      </w:pPr>
    </w:p>
    <w:p w:rsidR="00922D78" w:rsidP="00922D78">
      <w:pPr>
        <w:bidi w:val="0"/>
        <w:spacing w:line="240" w:lineRule="atLeast"/>
        <w:rPr>
          <w:rFonts w:ascii="Times New Roman" w:hAnsi="Times New Roman"/>
          <w:b/>
        </w:rPr>
      </w:pPr>
    </w:p>
    <w:p w:rsidR="00922D78" w:rsidP="00922D78">
      <w:pPr>
        <w:bidi w:val="0"/>
        <w:spacing w:line="240" w:lineRule="atLeast"/>
        <w:rPr>
          <w:rFonts w:ascii="Times New Roman" w:hAnsi="Times New Roman"/>
          <w:b/>
        </w:rPr>
      </w:pPr>
    </w:p>
    <w:p w:rsidR="00922D78" w:rsidP="00922D78">
      <w:pPr>
        <w:bidi w:val="0"/>
        <w:spacing w:line="240" w:lineRule="atLeast"/>
        <w:rPr>
          <w:rFonts w:ascii="Times New Roman" w:hAnsi="Times New Roman"/>
          <w:b/>
        </w:rPr>
      </w:pPr>
    </w:p>
    <w:p w:rsidR="00922D78" w:rsidP="00922D78">
      <w:pPr>
        <w:bidi w:val="0"/>
        <w:spacing w:line="240" w:lineRule="atLeast"/>
        <w:rPr>
          <w:rFonts w:ascii="Times New Roman" w:hAnsi="Times New Roman"/>
          <w:b/>
        </w:rPr>
      </w:pPr>
    </w:p>
    <w:p w:rsidR="00922D78" w:rsidP="00922D78">
      <w:pPr>
        <w:bidi w:val="0"/>
        <w:spacing w:line="240" w:lineRule="atLeast"/>
        <w:rPr>
          <w:rFonts w:ascii="Times New Roman" w:hAnsi="Times New Roman"/>
          <w:b/>
        </w:rPr>
      </w:pPr>
    </w:p>
    <w:p w:rsidR="00922D78" w:rsidP="00922D78">
      <w:pPr>
        <w:bidi w:val="0"/>
        <w:spacing w:line="240" w:lineRule="atLeast"/>
        <w:rPr>
          <w:rFonts w:ascii="Times New Roman" w:hAnsi="Times New Roman"/>
          <w:b/>
        </w:rPr>
      </w:pPr>
    </w:p>
    <w:p w:rsidR="00922D78" w:rsidP="00922D78">
      <w:pPr>
        <w:bidi w:val="0"/>
        <w:spacing w:line="240" w:lineRule="atLeast"/>
        <w:rPr>
          <w:rFonts w:ascii="Times New Roman" w:hAnsi="Times New Roman"/>
          <w:b/>
        </w:rPr>
      </w:pPr>
    </w:p>
    <w:p w:rsidR="00922D78" w:rsidP="00922D78">
      <w:pPr>
        <w:bidi w:val="0"/>
        <w:spacing w:line="240" w:lineRule="atLeast"/>
        <w:rPr>
          <w:rFonts w:ascii="Times New Roman" w:hAnsi="Times New Roman"/>
          <w:b/>
        </w:rPr>
      </w:pPr>
    </w:p>
    <w:p w:rsidR="00922D78" w:rsidP="00922D78">
      <w:pPr>
        <w:bidi w:val="0"/>
        <w:spacing w:line="240" w:lineRule="atLeast"/>
        <w:rPr>
          <w:rFonts w:ascii="Times New Roman" w:hAnsi="Times New Roman"/>
          <w:b/>
        </w:rPr>
      </w:pPr>
    </w:p>
    <w:p w:rsidR="00922D78" w:rsidP="00922D78">
      <w:pPr>
        <w:bidi w:val="0"/>
        <w:spacing w:line="240" w:lineRule="atLeast"/>
        <w:rPr>
          <w:rFonts w:ascii="Times New Roman" w:hAnsi="Times New Roman"/>
          <w:b/>
        </w:rPr>
      </w:pPr>
    </w:p>
    <w:p w:rsidR="00922D78" w:rsidP="00922D78">
      <w:pPr>
        <w:bidi w:val="0"/>
        <w:spacing w:line="240" w:lineRule="atLeast"/>
        <w:rPr>
          <w:rFonts w:ascii="Times New Roman" w:hAnsi="Times New Roman"/>
          <w:b/>
        </w:rPr>
      </w:pPr>
    </w:p>
    <w:p w:rsidR="00922D78" w:rsidP="00922D78">
      <w:pPr>
        <w:bidi w:val="0"/>
        <w:spacing w:line="240" w:lineRule="atLeast"/>
        <w:rPr>
          <w:rFonts w:ascii="Times New Roman" w:hAnsi="Times New Roman"/>
          <w:b/>
        </w:rPr>
      </w:pPr>
    </w:p>
    <w:p w:rsidR="00922D78" w:rsidP="00922D78">
      <w:pPr>
        <w:bidi w:val="0"/>
        <w:spacing w:line="240" w:lineRule="atLeast"/>
        <w:rPr>
          <w:rFonts w:ascii="Times New Roman" w:hAnsi="Times New Roman"/>
          <w:b/>
        </w:rPr>
      </w:pPr>
    </w:p>
    <w:p w:rsidR="00922D78" w:rsidP="00922D78">
      <w:pPr>
        <w:bidi w:val="0"/>
        <w:spacing w:line="240" w:lineRule="atLeast"/>
        <w:rPr>
          <w:rFonts w:ascii="Times New Roman" w:hAnsi="Times New Roman"/>
          <w:b/>
        </w:rPr>
      </w:pPr>
    </w:p>
    <w:p w:rsidR="00922D78" w:rsidRPr="001C1788" w:rsidP="00922D78">
      <w:pPr>
        <w:bidi w:val="0"/>
        <w:spacing w:line="240" w:lineRule="atLeast"/>
        <w:rPr>
          <w:rFonts w:ascii="Times New Roman" w:hAnsi="Times New Roman"/>
          <w:b/>
        </w:rPr>
      </w:pPr>
    </w:p>
    <w:p w:rsidR="00922D78" w:rsidRPr="001C1788" w:rsidP="00922D78">
      <w:pPr>
        <w:bidi w:val="0"/>
        <w:spacing w:line="240" w:lineRule="atLeast"/>
        <w:jc w:val="center"/>
        <w:rPr>
          <w:rFonts w:ascii="Times New Roman" w:hAnsi="Times New Roman"/>
          <w:b/>
        </w:rPr>
      </w:pPr>
    </w:p>
    <w:p w:rsidR="00922D78" w:rsidRP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RP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RP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RP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RPr="00747E19" w:rsidP="00922D78">
      <w:pPr>
        <w:pStyle w:val="Title"/>
        <w:bidi w:val="0"/>
        <w:spacing w:line="276" w:lineRule="auto"/>
        <w:rPr>
          <w:rFonts w:ascii="Times New Roman" w:hAnsi="Times New Roman"/>
          <w:b w:val="0"/>
        </w:rPr>
      </w:pPr>
      <w:r w:rsidRPr="00747E19">
        <w:rPr>
          <w:rFonts w:ascii="Times New Roman" w:hAnsi="Times New Roman"/>
          <w:b w:val="0"/>
        </w:rPr>
        <w:t>DOLOŽKA ZLUČITEĽNOSTI</w:t>
      </w:r>
    </w:p>
    <w:p w:rsidR="00922D78" w:rsidRPr="00747E19" w:rsidP="00922D78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</w:rPr>
      </w:pPr>
      <w:r w:rsidRPr="00747E19">
        <w:rPr>
          <w:rStyle w:val="PlaceholderText1"/>
          <w:rFonts w:ascii="Times New Roman" w:hAnsi="Times New Roman"/>
          <w:b/>
          <w:color w:val="auto"/>
        </w:rPr>
        <w:t xml:space="preserve">návrhu zákona, </w:t>
      </w:r>
      <w:r w:rsidRPr="00747E19">
        <w:rPr>
          <w:rFonts w:ascii="Times New Roman" w:hAnsi="Times New Roman"/>
          <w:b/>
        </w:rPr>
        <w:t>ktorým sa mení a dopĺňa zákon č. 492/2009 Z. z. o platobných službách a o zmene a doplnení niektorých zákonov v znení neskorších predpisov a ktorým sa mení a dopĺňa  zákon č.  483/2001 Z. z. o bankách a o zmene a doplnení niektorých zákonov v znení neskorších predpisov</w:t>
      </w:r>
    </w:p>
    <w:p w:rsidR="00922D78" w:rsidRPr="00747E19" w:rsidP="00922D78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</w:rPr>
      </w:pPr>
      <w:r w:rsidRPr="00747E19">
        <w:rPr>
          <w:rFonts w:ascii="Times New Roman" w:hAnsi="Times New Roman"/>
          <w:b/>
        </w:rPr>
        <w:t xml:space="preserve"> s právom Európskej únie</w:t>
      </w:r>
    </w:p>
    <w:p w:rsidR="00922D78" w:rsidRPr="00747E19" w:rsidP="00922D78">
      <w:pPr>
        <w:bidi w:val="0"/>
        <w:jc w:val="center"/>
        <w:rPr>
          <w:rFonts w:ascii="Times New Roman" w:hAnsi="Times New Roman"/>
          <w:b/>
        </w:rPr>
      </w:pPr>
    </w:p>
    <w:p w:rsidR="00922D78" w:rsidRPr="00747E19" w:rsidP="00922D78">
      <w:pPr>
        <w:bidi w:val="0"/>
        <w:spacing w:line="276" w:lineRule="auto"/>
        <w:jc w:val="both"/>
        <w:rPr>
          <w:rFonts w:ascii="Times New Roman" w:hAnsi="Times New Roman"/>
          <w:b/>
          <w:bCs/>
        </w:rPr>
      </w:pPr>
    </w:p>
    <w:p w:rsidR="00922D78" w:rsidRPr="00747E19" w:rsidP="00922D78">
      <w:pPr>
        <w:bidi w:val="0"/>
        <w:spacing w:line="276" w:lineRule="auto"/>
        <w:jc w:val="both"/>
        <w:rPr>
          <w:rFonts w:ascii="Times New Roman" w:hAnsi="Times New Roman"/>
        </w:rPr>
      </w:pPr>
      <w:r w:rsidRPr="00747E19">
        <w:rPr>
          <w:rFonts w:ascii="Times New Roman" w:hAnsi="Times New Roman"/>
          <w:b/>
          <w:bCs/>
        </w:rPr>
        <w:t>1. Predkladateľ zákona:</w:t>
      </w:r>
    </w:p>
    <w:p w:rsidR="00922D78" w:rsidRPr="00747E19" w:rsidP="00922D78">
      <w:pPr>
        <w:bidi w:val="0"/>
        <w:spacing w:line="276" w:lineRule="auto"/>
        <w:jc w:val="both"/>
        <w:rPr>
          <w:rFonts w:ascii="Times New Roman" w:hAnsi="Times New Roman"/>
        </w:rPr>
      </w:pPr>
      <w:r w:rsidRPr="00747E19">
        <w:rPr>
          <w:rFonts w:ascii="Times New Roman" w:hAnsi="Times New Roman"/>
        </w:rPr>
        <w:t>Vláda Slovenskej republiky.</w:t>
      </w:r>
    </w:p>
    <w:p w:rsidR="00922D78" w:rsidRPr="00747E19" w:rsidP="00922D78">
      <w:pPr>
        <w:bidi w:val="0"/>
        <w:spacing w:line="276" w:lineRule="auto"/>
        <w:jc w:val="both"/>
        <w:rPr>
          <w:rFonts w:ascii="Times New Roman" w:hAnsi="Times New Roman"/>
        </w:rPr>
      </w:pPr>
    </w:p>
    <w:p w:rsidR="00922D78" w:rsidRPr="00747E19" w:rsidP="00922D78">
      <w:pPr>
        <w:bidi w:val="0"/>
        <w:spacing w:line="276" w:lineRule="auto"/>
        <w:jc w:val="both"/>
        <w:rPr>
          <w:rFonts w:ascii="Times New Roman" w:hAnsi="Times New Roman"/>
          <w:b/>
          <w:bCs/>
        </w:rPr>
      </w:pPr>
      <w:r w:rsidRPr="00747E19">
        <w:rPr>
          <w:rFonts w:ascii="Times New Roman" w:hAnsi="Times New Roman"/>
          <w:b/>
          <w:bCs/>
        </w:rPr>
        <w:t>2. Názov návrhu zákona:</w:t>
      </w:r>
    </w:p>
    <w:p w:rsidR="00922D78" w:rsidRPr="00747E19" w:rsidP="00922D78">
      <w:pPr>
        <w:bidi w:val="0"/>
        <w:jc w:val="both"/>
        <w:rPr>
          <w:rStyle w:val="PlaceholderText1"/>
          <w:rFonts w:ascii="Times New Roman" w:hAnsi="Times New Roman"/>
          <w:color w:val="auto"/>
        </w:rPr>
      </w:pPr>
      <w:r w:rsidRPr="00747E19">
        <w:rPr>
          <w:rFonts w:ascii="Times New Roman" w:hAnsi="Times New Roman"/>
        </w:rPr>
        <w:t>ktorým sa mení a dopĺňa zákon č. 492/2009 Z. z. o platobných službách a zákon č.  483/2001 Z. z. o bankách a o zmene a doplnení niektorých zákonov</w:t>
      </w:r>
      <w:r w:rsidRPr="00747E19">
        <w:rPr>
          <w:rStyle w:val="PlaceholderText1"/>
          <w:rFonts w:ascii="Times New Roman" w:hAnsi="Times New Roman"/>
          <w:color w:val="auto"/>
        </w:rPr>
        <w:t>.</w:t>
      </w:r>
    </w:p>
    <w:p w:rsidR="00922D78" w:rsidRPr="00747E19" w:rsidP="00922D78">
      <w:pPr>
        <w:bidi w:val="0"/>
        <w:spacing w:line="276" w:lineRule="auto"/>
        <w:jc w:val="both"/>
        <w:rPr>
          <w:rFonts w:ascii="Times New Roman" w:hAnsi="Times New Roman"/>
        </w:rPr>
      </w:pPr>
    </w:p>
    <w:p w:rsidR="00922D78" w:rsidRPr="00747E19" w:rsidP="00922D78">
      <w:pPr>
        <w:bidi w:val="0"/>
        <w:spacing w:line="276" w:lineRule="auto"/>
        <w:jc w:val="both"/>
        <w:rPr>
          <w:rFonts w:ascii="Times New Roman" w:hAnsi="Times New Roman"/>
          <w:b/>
          <w:bCs/>
        </w:rPr>
      </w:pPr>
      <w:r w:rsidRPr="00747E19">
        <w:rPr>
          <w:rFonts w:ascii="Times New Roman" w:hAnsi="Times New Roman"/>
          <w:b/>
          <w:bCs/>
        </w:rPr>
        <w:t>3. Problematika návrhu zákona:</w:t>
      </w:r>
    </w:p>
    <w:p w:rsidR="00922D78" w:rsidRPr="00747E19" w:rsidP="00922D78">
      <w:pPr>
        <w:tabs>
          <w:tab w:val="left" w:pos="142"/>
        </w:tabs>
        <w:bidi w:val="0"/>
        <w:spacing w:after="120" w:line="276" w:lineRule="auto"/>
        <w:jc w:val="both"/>
        <w:rPr>
          <w:rFonts w:ascii="Times New Roman" w:hAnsi="Times New Roman"/>
          <w:b/>
          <w:bCs/>
        </w:rPr>
      </w:pPr>
      <w:r w:rsidRPr="00747E19">
        <w:rPr>
          <w:rFonts w:ascii="Times New Roman" w:hAnsi="Times New Roman"/>
        </w:rPr>
        <w:t>a)  je upravená v práve Európskej únie:</w:t>
      </w:r>
    </w:p>
    <w:p w:rsidR="00922D78" w:rsidRPr="00747E19" w:rsidP="00922D78">
      <w:pPr>
        <w:pStyle w:val="BodyTextIndent"/>
        <w:bidi w:val="0"/>
        <w:spacing w:before="60" w:after="60" w:line="276" w:lineRule="auto"/>
        <w:rPr>
          <w:rFonts w:ascii="Times New Roman" w:hAnsi="Times New Roman"/>
          <w:b/>
          <w:bCs/>
          <w:i/>
          <w:iCs/>
        </w:rPr>
      </w:pPr>
      <w:r w:rsidRPr="00747E19">
        <w:rPr>
          <w:rFonts w:ascii="Times New Roman" w:hAnsi="Times New Roman"/>
          <w:b/>
          <w:bCs/>
          <w:i/>
          <w:iCs/>
        </w:rPr>
        <w:t>Primárne právo:</w:t>
      </w:r>
    </w:p>
    <w:p w:rsidR="00922D78" w:rsidRPr="00747E19" w:rsidP="00922D78">
      <w:pPr>
        <w:pStyle w:val="BodyTextIndent"/>
        <w:tabs>
          <w:tab w:val="left" w:pos="142"/>
        </w:tabs>
        <w:autoSpaceDE w:val="0"/>
        <w:autoSpaceDN w:val="0"/>
        <w:bidi w:val="0"/>
        <w:adjustRightInd w:val="0"/>
        <w:ind w:left="397" w:hanging="284"/>
        <w:rPr>
          <w:rFonts w:ascii="Times New Roman" w:hAnsi="Times New Roman"/>
        </w:rPr>
      </w:pPr>
      <w:r w:rsidRPr="00747E19">
        <w:rPr>
          <w:rFonts w:ascii="Times New Roman" w:hAnsi="Times New Roman"/>
        </w:rPr>
        <w:t>-    čl. 3 ods. 1 písm. b), čl. 4, čl. 26 ods. 2, čl. 56 až 66,</w:t>
      </w:r>
      <w:r>
        <w:rPr>
          <w:rFonts w:ascii="Times New Roman" w:hAnsi="Times New Roman"/>
        </w:rPr>
        <w:t xml:space="preserve"> čl. 114,</w:t>
      </w:r>
      <w:r w:rsidRPr="00747E19">
        <w:rPr>
          <w:rFonts w:ascii="Times New Roman" w:hAnsi="Times New Roman"/>
        </w:rPr>
        <w:t xml:space="preserve"> čl. 127 ods.2 Zmluvy o fungovaní Európskej únie,</w:t>
      </w:r>
    </w:p>
    <w:p w:rsidR="00922D78" w:rsidRPr="00747E19" w:rsidP="00922D78">
      <w:pPr>
        <w:pStyle w:val="BodyTextIndent"/>
        <w:autoSpaceDE w:val="0"/>
        <w:autoSpaceDN w:val="0"/>
        <w:bidi w:val="0"/>
        <w:adjustRightInd w:val="0"/>
        <w:ind w:left="397" w:hanging="284"/>
        <w:rPr>
          <w:rFonts w:ascii="Times New Roman" w:hAnsi="Times New Roman"/>
        </w:rPr>
      </w:pPr>
      <w:r w:rsidRPr="00747E19">
        <w:rPr>
          <w:rFonts w:ascii="Times New Roman" w:hAnsi="Times New Roman"/>
        </w:rPr>
        <w:t>-    čl. 3 Zmluvy o Európskej únii,</w:t>
      </w:r>
    </w:p>
    <w:p w:rsidR="00922D78" w:rsidRPr="00747E19" w:rsidP="00922D78">
      <w:pPr>
        <w:pStyle w:val="BodyTextIndent"/>
        <w:tabs>
          <w:tab w:val="left" w:pos="142"/>
        </w:tabs>
        <w:autoSpaceDE w:val="0"/>
        <w:autoSpaceDN w:val="0"/>
        <w:bidi w:val="0"/>
        <w:adjustRightInd w:val="0"/>
        <w:spacing w:line="276" w:lineRule="auto"/>
        <w:ind w:left="426" w:hanging="284"/>
        <w:rPr>
          <w:rFonts w:ascii="Times New Roman" w:hAnsi="Times New Roman"/>
          <w:i/>
          <w:iCs/>
        </w:rPr>
      </w:pPr>
      <w:r w:rsidRPr="00747E19">
        <w:rPr>
          <w:rFonts w:ascii="Times New Roman" w:hAnsi="Times New Roman"/>
        </w:rPr>
        <w:t xml:space="preserve">-   Protokol (č.4) </w:t>
      </w:r>
      <w:r w:rsidRPr="00747E19">
        <w:rPr>
          <w:rFonts w:ascii="Times New Roman" w:hAnsi="Times New Roman"/>
          <w:bCs/>
        </w:rPr>
        <w:t>o Štatúte Európskeho systému centrálnych bánk a Európskej centrálnej banky</w:t>
      </w:r>
      <w:r w:rsidRPr="00747E19">
        <w:rPr>
          <w:rFonts w:ascii="Times New Roman" w:hAnsi="Times New Roman"/>
        </w:rPr>
        <w:t xml:space="preserve">. </w:t>
      </w:r>
    </w:p>
    <w:p w:rsidR="00922D78" w:rsidRPr="00747E19" w:rsidP="00922D78">
      <w:pPr>
        <w:pStyle w:val="BodyTextIndent"/>
        <w:tabs>
          <w:tab w:val="left" w:pos="426"/>
        </w:tabs>
        <w:bidi w:val="0"/>
        <w:rPr>
          <w:rFonts w:ascii="Times New Roman" w:hAnsi="Times New Roman"/>
        </w:rPr>
      </w:pPr>
      <w:r w:rsidRPr="00747E19">
        <w:rPr>
          <w:rFonts w:ascii="Times New Roman" w:hAnsi="Times New Roman"/>
          <w:b/>
          <w:bCs/>
          <w:i/>
          <w:iCs/>
        </w:rPr>
        <w:t xml:space="preserve">Sekundárne právo </w:t>
      </w:r>
      <w:r w:rsidRPr="00747E19">
        <w:rPr>
          <w:rFonts w:ascii="Times New Roman" w:hAnsi="Times New Roman"/>
        </w:rPr>
        <w:t>(prijaté po nadobudnutí platnosti Lisabonskej zmluvy, ktorou sa mení a dopĺňa Zmluva o Európskej únii a Zmluva o Európskom spoločenstve - po 30. novembri 2009):</w:t>
      </w:r>
    </w:p>
    <w:p w:rsidR="00922D78" w:rsidRPr="00747E19" w:rsidP="00922D78">
      <w:pPr>
        <w:numPr>
          <w:numId w:val="40"/>
        </w:numPr>
        <w:autoSpaceDE w:val="0"/>
        <w:autoSpaceDN w:val="0"/>
        <w:bidi w:val="0"/>
        <w:adjustRightInd w:val="0"/>
        <w:spacing w:before="240" w:after="240"/>
        <w:ind w:left="284" w:hanging="284"/>
        <w:jc w:val="both"/>
        <w:rPr>
          <w:rFonts w:ascii="Times New Roman" w:hAnsi="Times New Roman"/>
          <w:bCs/>
          <w:iCs/>
          <w:u w:val="single"/>
        </w:rPr>
      </w:pPr>
      <w:r w:rsidRPr="00747E19">
        <w:rPr>
          <w:rFonts w:ascii="Times New Roman" w:hAnsi="Times New Roman"/>
          <w:bCs/>
          <w:iCs/>
          <w:u w:val="single"/>
        </w:rPr>
        <w:t>legislatívne akty:</w:t>
      </w:r>
    </w:p>
    <w:p w:rsidR="00922D78" w:rsidP="00922D78">
      <w:pPr>
        <w:tabs>
          <w:tab w:val="left" w:pos="709"/>
        </w:tabs>
        <w:autoSpaceDE w:val="0"/>
        <w:autoSpaceDN w:val="0"/>
        <w:bidi w:val="0"/>
        <w:spacing w:after="240" w:line="264" w:lineRule="auto"/>
        <w:ind w:left="397" w:hanging="284"/>
        <w:jc w:val="both"/>
        <w:rPr>
          <w:rFonts w:ascii="Times New Roman" w:hAnsi="Times New Roman"/>
          <w:bCs/>
          <w:iCs/>
        </w:rPr>
      </w:pPr>
      <w:r w:rsidRPr="00747E19">
        <w:rPr>
          <w:rFonts w:ascii="Times New Roman" w:hAnsi="Times New Roman"/>
          <w:bCs/>
          <w:iCs/>
        </w:rPr>
        <w:t xml:space="preserve">-  smernica Európskeho parlamentu a Rady </w:t>
      </w:r>
      <w:r w:rsidRPr="00747E19">
        <w:rPr>
          <w:rFonts w:ascii="Times New Roman" w:hAnsi="Times New Roman"/>
          <w:bCs/>
          <w:iCs/>
          <w:u w:val="single"/>
        </w:rPr>
        <w:t>2014/92/EÚ</w:t>
      </w:r>
      <w:r w:rsidRPr="00747E19">
        <w:rPr>
          <w:rFonts w:ascii="Times New Roman" w:hAnsi="Times New Roman"/>
          <w:bCs/>
          <w:iCs/>
        </w:rPr>
        <w:t xml:space="preserve"> z  23. júla 2014 o porovnateľnosti poplatkov za platobné účty, o presune platobných účtov a o prístupe k platobným účtom so základnými funkciami (Ú. v. EÚ L 257, 28.8.2014),</w:t>
      </w:r>
    </w:p>
    <w:p w:rsidR="00922D78" w:rsidRPr="00747E19" w:rsidP="00922D78">
      <w:pPr>
        <w:tabs>
          <w:tab w:val="left" w:pos="709"/>
        </w:tabs>
        <w:autoSpaceDE w:val="0"/>
        <w:autoSpaceDN w:val="0"/>
        <w:bidi w:val="0"/>
        <w:spacing w:after="240" w:line="264" w:lineRule="auto"/>
        <w:ind w:left="397" w:hanging="284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- smernica</w:t>
      </w:r>
      <w:r w:rsidRPr="003E7F71">
        <w:rPr>
          <w:rFonts w:ascii="Times New Roman" w:hAnsi="Times New Roman"/>
          <w:bCs/>
          <w:iCs/>
        </w:rPr>
        <w:t xml:space="preserve"> Európskeho parlamentu a Rady </w:t>
      </w:r>
      <w:r w:rsidRPr="00C32291">
        <w:rPr>
          <w:rFonts w:ascii="Times New Roman" w:hAnsi="Times New Roman"/>
          <w:bCs/>
          <w:iCs/>
          <w:u w:val="single"/>
        </w:rPr>
        <w:t>2013/11/EÚ</w:t>
      </w:r>
      <w:r w:rsidRPr="003E7F71">
        <w:rPr>
          <w:rFonts w:ascii="Times New Roman" w:hAnsi="Times New Roman"/>
          <w:bCs/>
          <w:iCs/>
        </w:rPr>
        <w:t xml:space="preserve"> z 21. mája 2013 o alternatívnom riešení spotrebiteľských sporov, ktorou sa mení nariadenie (ES) č. 2006/2004 a smernica 2009/22/ES (smernica o alternatívnom riešení spotrebiteľských sporov) (Ú. v. EÚ L 165, 18.6.2013)</w:t>
      </w:r>
    </w:p>
    <w:p w:rsidR="00922D78" w:rsidRPr="00747E19" w:rsidP="00922D78">
      <w:pPr>
        <w:tabs>
          <w:tab w:val="left" w:pos="709"/>
        </w:tabs>
        <w:autoSpaceDE w:val="0"/>
        <w:autoSpaceDN w:val="0"/>
        <w:bidi w:val="0"/>
        <w:spacing w:after="240" w:line="264" w:lineRule="auto"/>
        <w:ind w:left="397" w:hanging="284"/>
        <w:jc w:val="both"/>
        <w:rPr>
          <w:rFonts w:ascii="Times New Roman" w:hAnsi="Times New Roman"/>
          <w:iCs/>
        </w:rPr>
      </w:pPr>
      <w:r w:rsidRPr="00747E19">
        <w:rPr>
          <w:rFonts w:ascii="Times New Roman" w:hAnsi="Times New Roman"/>
          <w:bCs/>
          <w:iCs/>
        </w:rPr>
        <w:t xml:space="preserve">-   </w:t>
      </w:r>
      <w:r w:rsidRPr="00747E19">
        <w:rPr>
          <w:rFonts w:ascii="Times New Roman" w:hAnsi="Times New Roman"/>
          <w:iCs/>
        </w:rPr>
        <w:t xml:space="preserve">nariadenie </w:t>
      </w:r>
      <w:r w:rsidRPr="00747E19">
        <w:rPr>
          <w:rFonts w:ascii="Times New Roman" w:hAnsi="Times New Roman"/>
          <w:bCs/>
          <w:iCs/>
        </w:rPr>
        <w:t xml:space="preserve">Európskeho parlamentu a Rady (EÚ) č. </w:t>
      </w:r>
      <w:r w:rsidRPr="00747E19">
        <w:rPr>
          <w:rFonts w:ascii="Times New Roman" w:hAnsi="Times New Roman"/>
          <w:bCs/>
          <w:iCs/>
          <w:u w:val="single"/>
        </w:rPr>
        <w:t>260/2012</w:t>
      </w:r>
      <w:r w:rsidRPr="00747E19">
        <w:rPr>
          <w:rFonts w:ascii="Times New Roman" w:hAnsi="Times New Roman"/>
          <w:bCs/>
          <w:iCs/>
        </w:rPr>
        <w:t xml:space="preserve"> zo 14. marca 2012, ktorým sa ustanovujú technické a obchodné požiadavky na úhrady a inkasá v eurách a ktorým sa mení a dopĺňa nariadenie (ES) č. 924/2009</w:t>
      </w:r>
      <w:r w:rsidRPr="00747E19">
        <w:rPr>
          <w:rFonts w:ascii="Times New Roman" w:hAnsi="Times New Roman"/>
          <w:b/>
          <w:bCs/>
          <w:iCs/>
        </w:rPr>
        <w:t xml:space="preserve"> </w:t>
      </w:r>
      <w:r w:rsidRPr="00747E19">
        <w:rPr>
          <w:rFonts w:ascii="Times New Roman" w:hAnsi="Times New Roman"/>
          <w:bCs/>
        </w:rPr>
        <w:t>(</w:t>
      </w:r>
      <w:r w:rsidRPr="00747E19">
        <w:rPr>
          <w:rFonts w:ascii="Times New Roman" w:hAnsi="Times New Roman"/>
          <w:iCs/>
        </w:rPr>
        <w:t>Ú. v. EÚ L 94, 30.3.2012) v platnom znení.</w:t>
      </w:r>
    </w:p>
    <w:p w:rsidR="00922D78" w:rsidRPr="00747E19" w:rsidP="00922D78">
      <w:pPr>
        <w:autoSpaceDE w:val="0"/>
        <w:autoSpaceDN w:val="0"/>
        <w:bidi w:val="0"/>
        <w:spacing w:after="240"/>
        <w:jc w:val="both"/>
        <w:rPr>
          <w:rFonts w:ascii="Times New Roman" w:hAnsi="Times New Roman"/>
          <w:bCs/>
          <w:iCs/>
        </w:rPr>
      </w:pPr>
      <w:r w:rsidRPr="00747E19">
        <w:rPr>
          <w:rFonts w:ascii="Times New Roman" w:hAnsi="Times New Roman"/>
          <w:b/>
          <w:bCs/>
          <w:i/>
          <w:iCs/>
        </w:rPr>
        <w:t xml:space="preserve">Sekundárne právo  </w:t>
      </w:r>
      <w:r w:rsidRPr="00747E19">
        <w:rPr>
          <w:rFonts w:ascii="Times New Roman" w:hAnsi="Times New Roman"/>
        </w:rPr>
        <w:t>(prijaté pred nadobudnutím platnosti Lisabonskej zmluvy, ktorou sa mení a dopĺňa Zmluva o Európskej únii a Zmluva o Európskom spoločenstve - do 30. novembra 2009)</w:t>
      </w:r>
      <w:r w:rsidRPr="00747E19">
        <w:rPr>
          <w:rFonts w:ascii="Times New Roman" w:hAnsi="Times New Roman"/>
          <w:bCs/>
          <w:iCs/>
        </w:rPr>
        <w:t>:</w:t>
      </w:r>
    </w:p>
    <w:p w:rsidR="00922D78" w:rsidRPr="00747E19" w:rsidP="00922D78">
      <w:pPr>
        <w:pStyle w:val="BodyTextIndent"/>
        <w:autoSpaceDE w:val="0"/>
        <w:autoSpaceDN w:val="0"/>
        <w:bidi w:val="0"/>
        <w:adjustRightInd w:val="0"/>
        <w:spacing w:after="60" w:line="264" w:lineRule="auto"/>
        <w:ind w:left="397" w:hanging="227"/>
        <w:rPr>
          <w:rStyle w:val="PlaceholderText1"/>
          <w:rFonts w:ascii="Times New Roman" w:hAnsi="Times New Roman"/>
          <w:i/>
          <w:iCs/>
          <w:color w:val="auto"/>
        </w:rPr>
      </w:pPr>
      <w:r w:rsidRPr="00747E19">
        <w:rPr>
          <w:rStyle w:val="PlaceholderText1"/>
          <w:rFonts w:ascii="Times New Roman" w:hAnsi="Times New Roman"/>
          <w:color w:val="auto"/>
        </w:rPr>
        <w:t xml:space="preserve">-  smernica Európskeho parlamentu a Rady </w:t>
      </w:r>
      <w:r w:rsidRPr="00747E19">
        <w:rPr>
          <w:rStyle w:val="PlaceholderText1"/>
          <w:rFonts w:ascii="Times New Roman" w:hAnsi="Times New Roman"/>
          <w:color w:val="auto"/>
          <w:u w:val="single"/>
        </w:rPr>
        <w:t>2009/110/ES</w:t>
      </w:r>
      <w:r w:rsidRPr="00747E19">
        <w:rPr>
          <w:rStyle w:val="PlaceholderText1"/>
          <w:rFonts w:ascii="Times New Roman" w:hAnsi="Times New Roman"/>
          <w:color w:val="auto"/>
        </w:rPr>
        <w:t xml:space="preserve"> zo 16. septembra 2009 o začatí a vykonávaní činností a dohľade nad obozretným podnikaním inštitúcií elektronického peňažníctva, ktorou sa menia a dopĺňajú smernice 2005/60/ES a 2006/48/ES a zrušuje smernica 2000/46/ES (Ú. v. EÚ L 267, 10.10. 2009),</w:t>
      </w:r>
    </w:p>
    <w:p w:rsidR="00922D78" w:rsidP="00922D78">
      <w:pPr>
        <w:pStyle w:val="ListParagraph"/>
        <w:bidi w:val="0"/>
        <w:spacing w:after="120" w:line="264" w:lineRule="auto"/>
        <w:ind w:left="397" w:hanging="227"/>
        <w:contextualSpacing w:val="0"/>
        <w:jc w:val="both"/>
        <w:rPr>
          <w:rFonts w:ascii="Times New Roman" w:hAnsi="Times New Roman"/>
        </w:rPr>
      </w:pPr>
      <w:r w:rsidRPr="00747E19">
        <w:rPr>
          <w:rFonts w:ascii="Times New Roman" w:hAnsi="Times New Roman"/>
        </w:rPr>
        <w:t xml:space="preserve">-  smernica Európskeho parlamentu a Rady </w:t>
      </w:r>
      <w:r w:rsidRPr="00747E19">
        <w:rPr>
          <w:rFonts w:ascii="Times New Roman" w:hAnsi="Times New Roman"/>
          <w:u w:val="single"/>
        </w:rPr>
        <w:t>2007/64/ES</w:t>
      </w:r>
      <w:r w:rsidRPr="00747E19">
        <w:rPr>
          <w:rFonts w:ascii="Times New Roman" w:hAnsi="Times New Roman"/>
        </w:rPr>
        <w:t xml:space="preserve"> z 13. novembra 2007 o platobných službách na vnútornom trhu, ktorou sa menia a dopĺňajú smernice 97/7/ES, 2002/65/ES, 2005/60/ES a 2006/48/ES a ktorou sa zrušuje smernica 97/5/ES (Ú. v. EÚ L 319, 5. 12. 2007) v platnom znení,</w:t>
      </w:r>
    </w:p>
    <w:p w:rsidR="00922D78" w:rsidP="00922D78">
      <w:pPr>
        <w:pStyle w:val="ListParagraph"/>
        <w:bidi w:val="0"/>
        <w:spacing w:after="120" w:line="264" w:lineRule="auto"/>
        <w:ind w:left="397" w:hanging="2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smernica Rady </w:t>
      </w:r>
      <w:r w:rsidRPr="00C32291">
        <w:rPr>
          <w:rFonts w:ascii="Times New Roman" w:hAnsi="Times New Roman"/>
          <w:u w:val="single"/>
        </w:rPr>
        <w:t>2000/78/ES</w:t>
      </w:r>
      <w:r>
        <w:rPr>
          <w:rFonts w:ascii="Times New Roman" w:hAnsi="Times New Roman"/>
        </w:rPr>
        <w:t xml:space="preserve"> z 27. novembra 2000, ktorá ustanovuje všeobecný rámec pre rovnaké zaobchádzanie v zamestnaní a povolaní (Mimoriadne vydanie kap. 5/ zv. 4; Ú. v. ES L 303, 02.12.2000) </w:t>
      </w:r>
    </w:p>
    <w:p w:rsidR="00922D78" w:rsidRPr="00747E19" w:rsidP="00922D78">
      <w:pPr>
        <w:pStyle w:val="ListParagraph"/>
        <w:bidi w:val="0"/>
        <w:spacing w:after="120" w:line="264" w:lineRule="auto"/>
        <w:ind w:left="397" w:hanging="2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smernicu Európskeho parlamentu a Rady 2006/54/ES z 5. júla 2006 o vykonávaní zásady rovnosti príležitostí a rovnakého zaobchádzania s mužmi a ženami vo veciach zamestnanosti a povolania (prepracované znenie) (Ú. v. EÚ L 204, 26.7.2006)</w:t>
      </w:r>
    </w:p>
    <w:p w:rsidR="00922D78" w:rsidRPr="00747E19" w:rsidP="00922D78">
      <w:pPr>
        <w:pStyle w:val="ListParagraph"/>
        <w:tabs>
          <w:tab w:val="left" w:pos="142"/>
        </w:tabs>
        <w:bidi w:val="0"/>
        <w:spacing w:after="120" w:line="264" w:lineRule="auto"/>
        <w:ind w:left="397" w:hanging="227"/>
        <w:contextualSpacing w:val="0"/>
        <w:jc w:val="both"/>
        <w:rPr>
          <w:rFonts w:ascii="Times New Roman" w:hAnsi="Times New Roman"/>
        </w:rPr>
      </w:pPr>
      <w:r w:rsidRPr="00747E19">
        <w:rPr>
          <w:rFonts w:ascii="Times New Roman" w:hAnsi="Times New Roman"/>
        </w:rPr>
        <w:t xml:space="preserve">-  smernica </w:t>
      </w:r>
      <w:r w:rsidRPr="00747E19">
        <w:rPr>
          <w:rFonts w:ascii="Times New Roman" w:hAnsi="Times New Roman"/>
          <w:bCs/>
        </w:rPr>
        <w:t xml:space="preserve">Európskeho parlamentu a Rady </w:t>
      </w:r>
      <w:r w:rsidRPr="00747E19">
        <w:rPr>
          <w:rFonts w:ascii="Times New Roman" w:hAnsi="Times New Roman"/>
          <w:bCs/>
          <w:u w:val="single"/>
        </w:rPr>
        <w:t>98/26/ES</w:t>
      </w:r>
      <w:r w:rsidRPr="00747E19">
        <w:rPr>
          <w:rFonts w:ascii="Times New Roman" w:hAnsi="Times New Roman"/>
          <w:bCs/>
        </w:rPr>
        <w:t xml:space="preserve"> z 19. mája 1998 o konečnom zúčtovaní v platobných systémoch a zúčtovacích systémoch cenných papierov (</w:t>
      </w:r>
      <w:r w:rsidRPr="00747E19">
        <w:rPr>
          <w:rFonts w:ascii="Times New Roman" w:hAnsi="Times New Roman"/>
        </w:rPr>
        <w:t xml:space="preserve">Mimoriadne vydanie Ú. v. EÚ, kap. </w:t>
      </w:r>
      <w:r w:rsidRPr="00747E19">
        <w:rPr>
          <w:rStyle w:val="Emphasis"/>
          <w:rFonts w:ascii="Times New Roman" w:hAnsi="Times New Roman"/>
          <w:b w:val="0"/>
          <w:bCs/>
          <w:i w:val="0"/>
          <w:iCs/>
        </w:rPr>
        <w:t xml:space="preserve">6/zv. 3) </w:t>
      </w:r>
      <w:r w:rsidRPr="00747E19">
        <w:rPr>
          <w:rFonts w:ascii="Times New Roman" w:hAnsi="Times New Roman"/>
          <w:iCs/>
        </w:rPr>
        <w:t>v platnom znení,</w:t>
      </w:r>
    </w:p>
    <w:p w:rsidR="00922D78" w:rsidRPr="00747E19" w:rsidP="00922D78">
      <w:pPr>
        <w:pStyle w:val="ListParagraph"/>
        <w:tabs>
          <w:tab w:val="left" w:pos="142"/>
        </w:tabs>
        <w:bidi w:val="0"/>
        <w:spacing w:after="120" w:line="264" w:lineRule="auto"/>
        <w:ind w:left="397" w:hanging="227"/>
        <w:contextualSpacing w:val="0"/>
        <w:jc w:val="both"/>
        <w:rPr>
          <w:rFonts w:ascii="Times New Roman" w:hAnsi="Times New Roman"/>
        </w:rPr>
      </w:pPr>
      <w:r w:rsidRPr="00747E19">
        <w:rPr>
          <w:rFonts w:ascii="Times New Roman" w:hAnsi="Times New Roman"/>
        </w:rPr>
        <w:t xml:space="preserve">-   nariadenie Európskeho parlamentu a Rady (ES) č. </w:t>
      </w:r>
      <w:r w:rsidRPr="00747E19">
        <w:rPr>
          <w:rFonts w:ascii="Times New Roman" w:hAnsi="Times New Roman"/>
          <w:u w:val="single"/>
        </w:rPr>
        <w:t>1781/2006</w:t>
      </w:r>
      <w:r w:rsidRPr="00747E19">
        <w:rPr>
          <w:rFonts w:ascii="Times New Roman" w:hAnsi="Times New Roman"/>
        </w:rPr>
        <w:t xml:space="preserve"> z 15. novembra 2006 o údajoch o príkazcovi, ktoré sprevádzajú prevody finančných prostriedkov (Ú. v. EÚ L 345, 8.12. 2006),</w:t>
      </w:r>
    </w:p>
    <w:p w:rsidR="00922D78" w:rsidRPr="00747E19" w:rsidP="00922D78">
      <w:pPr>
        <w:pStyle w:val="ListParagraph"/>
        <w:bidi w:val="0"/>
        <w:spacing w:after="120" w:line="264" w:lineRule="auto"/>
        <w:ind w:left="426" w:hanging="284"/>
        <w:jc w:val="both"/>
        <w:rPr>
          <w:rFonts w:ascii="Times New Roman" w:hAnsi="Times New Roman"/>
        </w:rPr>
      </w:pPr>
      <w:r w:rsidRPr="00747E19">
        <w:rPr>
          <w:rFonts w:ascii="Times New Roman" w:hAnsi="Times New Roman"/>
        </w:rPr>
        <w:t>-  nariadenie Európskeho parlamentu a Rady (</w:t>
      </w:r>
      <w:r w:rsidRPr="00747E19">
        <w:rPr>
          <w:rFonts w:ascii="Times New Roman" w:hAnsi="Times New Roman"/>
          <w:bCs/>
        </w:rPr>
        <w:t xml:space="preserve">ES) č. </w:t>
      </w:r>
      <w:r w:rsidRPr="00747E19">
        <w:rPr>
          <w:rFonts w:ascii="Times New Roman" w:hAnsi="Times New Roman"/>
          <w:bCs/>
          <w:u w:val="single"/>
        </w:rPr>
        <w:t>924/2009</w:t>
      </w:r>
      <w:r w:rsidRPr="00747E19">
        <w:rPr>
          <w:rFonts w:ascii="Times New Roman" w:hAnsi="Times New Roman"/>
          <w:bCs/>
        </w:rPr>
        <w:t xml:space="preserve"> zo 16. septembra 2009 o cezhraničných platbách v Spoločenstve, ktorým sa zrušuje nariadenie (ES) č. 2560/2001</w:t>
      </w:r>
      <w:r w:rsidRPr="00747E19">
        <w:rPr>
          <w:rFonts w:ascii="Times New Roman" w:hAnsi="Times New Roman"/>
        </w:rPr>
        <w:t xml:space="preserve"> (</w:t>
      </w:r>
      <w:r w:rsidRPr="00747E19">
        <w:rPr>
          <w:rFonts w:ascii="Times New Roman" w:hAnsi="Times New Roman"/>
          <w:iCs/>
        </w:rPr>
        <w:t>Ú. v. EÚ L 266, 9.10. 2009</w:t>
      </w:r>
      <w:r w:rsidRPr="00747E19">
        <w:rPr>
          <w:rFonts w:ascii="Times New Roman" w:hAnsi="Times New Roman"/>
        </w:rPr>
        <w:t>) v platnom znení.</w:t>
      </w:r>
    </w:p>
    <w:p w:rsidR="00922D78" w:rsidRPr="00747E19" w:rsidP="00922D78">
      <w:pPr>
        <w:pStyle w:val="ListParagraph"/>
        <w:bidi w:val="0"/>
        <w:spacing w:after="120"/>
        <w:ind w:left="0"/>
        <w:jc w:val="both"/>
        <w:rPr>
          <w:rFonts w:ascii="Times New Roman" w:hAnsi="Times New Roman"/>
        </w:rPr>
      </w:pPr>
    </w:p>
    <w:p w:rsidR="00922D78" w:rsidRPr="00747E19" w:rsidP="00922D78">
      <w:pPr>
        <w:pStyle w:val="BodyText"/>
        <w:bidi w:val="0"/>
        <w:spacing w:line="276" w:lineRule="auto"/>
        <w:jc w:val="both"/>
        <w:rPr>
          <w:rFonts w:ascii="Times New Roman" w:hAnsi="Times New Roman"/>
        </w:rPr>
      </w:pPr>
      <w:r w:rsidRPr="00747E19">
        <w:rPr>
          <w:rFonts w:ascii="Times New Roman" w:hAnsi="Times New Roman"/>
        </w:rPr>
        <w:t>b)  je obsiahnutá v judikatúre Súdneho dvora Európskej únie:</w:t>
      </w:r>
    </w:p>
    <w:p w:rsidR="00922D78" w:rsidRPr="00747E19" w:rsidP="00922D78">
      <w:pPr>
        <w:numPr>
          <w:numId w:val="41"/>
        </w:numPr>
        <w:tabs>
          <w:tab w:val="left" w:pos="426"/>
        </w:tabs>
        <w:bidi w:val="0"/>
        <w:spacing w:after="120"/>
        <w:ind w:left="426" w:hanging="284"/>
        <w:jc w:val="both"/>
        <w:rPr>
          <w:rFonts w:ascii="Times New Roman" w:hAnsi="Times New Roman"/>
        </w:rPr>
      </w:pPr>
      <w:r w:rsidRPr="00747E19">
        <w:rPr>
          <w:rFonts w:ascii="Times New Roman" w:hAnsi="Times New Roman"/>
        </w:rPr>
        <w:t xml:space="preserve">rozhodnutie Súdneho dvora vo veci C - 616/11, </w:t>
      </w:r>
      <w:r w:rsidRPr="00747E19">
        <w:rPr>
          <w:rFonts w:ascii="Times New Roman" w:hAnsi="Times New Roman"/>
          <w:bCs/>
        </w:rPr>
        <w:t>T</w:t>
      </w:r>
      <w:r w:rsidRPr="00747E19">
        <w:rPr>
          <w:rFonts w:ascii="Times New Roman" w:hAnsi="Times New Roman"/>
          <w:bCs/>
        </w:rPr>
        <w:noBreakHyphen/>
        <w:t>Mobile Austria GmbH</w:t>
      </w:r>
      <w:r w:rsidRPr="00747E19">
        <w:rPr>
          <w:rFonts w:ascii="Times New Roman" w:hAnsi="Times New Roman"/>
        </w:rPr>
        <w:t xml:space="preserve"> proti </w:t>
      </w:r>
      <w:r w:rsidRPr="00747E19">
        <w:rPr>
          <w:rFonts w:ascii="Times New Roman" w:hAnsi="Times New Roman"/>
          <w:bCs/>
        </w:rPr>
        <w:t>Verein für Konsumenteninformation</w:t>
      </w:r>
      <w:r w:rsidRPr="00747E19">
        <w:rPr>
          <w:rFonts w:ascii="Times New Roman" w:hAnsi="Times New Roman"/>
        </w:rPr>
        <w:t>, [</w:t>
      </w:r>
      <w:r w:rsidRPr="00747E19">
        <w:rPr>
          <w:rFonts w:ascii="Times New Roman" w:hAnsi="Times New Roman"/>
          <w:bCs/>
        </w:rPr>
        <w:t>zatiaľ neuverejnený</w:t>
      </w:r>
      <w:r w:rsidRPr="00747E19">
        <w:rPr>
          <w:rFonts w:ascii="Times New Roman" w:hAnsi="Times New Roman"/>
        </w:rPr>
        <w:t>].</w:t>
      </w:r>
    </w:p>
    <w:p w:rsidR="00922D78" w:rsidRPr="00747E19" w:rsidP="00922D78">
      <w:pPr>
        <w:pStyle w:val="BodyText"/>
        <w:bidi w:val="0"/>
        <w:spacing w:after="0" w:line="276" w:lineRule="auto"/>
        <w:jc w:val="both"/>
        <w:rPr>
          <w:rFonts w:ascii="Times New Roman" w:hAnsi="Times New Roman"/>
        </w:rPr>
      </w:pPr>
    </w:p>
    <w:p w:rsidR="00922D78" w:rsidRPr="00747E19" w:rsidP="00922D78">
      <w:pPr>
        <w:bidi w:val="0"/>
        <w:spacing w:after="120" w:line="276" w:lineRule="auto"/>
        <w:jc w:val="both"/>
        <w:rPr>
          <w:rFonts w:ascii="Times New Roman" w:hAnsi="Times New Roman"/>
          <w:b/>
          <w:bCs/>
        </w:rPr>
      </w:pPr>
      <w:r w:rsidRPr="00747E19">
        <w:rPr>
          <w:rFonts w:ascii="Times New Roman" w:hAnsi="Times New Roman"/>
          <w:b/>
          <w:bCs/>
        </w:rPr>
        <w:t>4. Záväzky Slovenskej republiky vo vzťahu k Európskej únii:</w:t>
      </w:r>
    </w:p>
    <w:p w:rsidR="00922D78" w:rsidRPr="00747E19" w:rsidP="00922D78">
      <w:pPr>
        <w:pStyle w:val="BodyText"/>
        <w:bidi w:val="0"/>
        <w:jc w:val="both"/>
        <w:rPr>
          <w:rFonts w:ascii="Times New Roman" w:hAnsi="Times New Roman"/>
        </w:rPr>
      </w:pPr>
      <w:r w:rsidRPr="00747E19">
        <w:rPr>
          <w:rFonts w:ascii="Times New Roman" w:hAnsi="Times New Roman"/>
        </w:rPr>
        <w:t xml:space="preserve">a)  </w:t>
      </w:r>
      <w:r w:rsidRPr="00747E19">
        <w:rPr>
          <w:rFonts w:ascii="Times New Roman" w:hAnsi="Times New Roman"/>
          <w:lang w:eastAsia="cs-CZ"/>
        </w:rPr>
        <w:t xml:space="preserve">Lehota na prebratie smernice 2014/92/EÚ bola </w:t>
      </w:r>
      <w:r w:rsidRPr="00747E19">
        <w:rPr>
          <w:rFonts w:ascii="Times New Roman" w:hAnsi="Times New Roman"/>
        </w:rPr>
        <w:t>stanovená do 18. septembra 2016 okrem:</w:t>
      </w:r>
    </w:p>
    <w:p w:rsidR="00922D78" w:rsidRPr="00747E19" w:rsidP="00922D78">
      <w:pPr>
        <w:pStyle w:val="BodyText"/>
        <w:tabs>
          <w:tab w:val="left" w:pos="426"/>
        </w:tabs>
        <w:bidi w:val="0"/>
        <w:ind w:firstLine="284"/>
        <w:jc w:val="both"/>
        <w:rPr>
          <w:rFonts w:ascii="Times New Roman" w:hAnsi="Times New Roman"/>
        </w:rPr>
      </w:pPr>
      <w:r w:rsidRPr="00747E19">
        <w:rPr>
          <w:rFonts w:ascii="Times New Roman" w:hAnsi="Times New Roman"/>
          <w:lang w:eastAsia="en-US"/>
        </w:rPr>
        <w:t>-  čl. 3 -  od 17. septembra 2014</w:t>
      </w:r>
      <w:r w:rsidRPr="00747E19">
        <w:rPr>
          <w:rFonts w:ascii="Times New Roman" w:hAnsi="Times New Roman"/>
        </w:rPr>
        <w:t>,</w:t>
      </w:r>
    </w:p>
    <w:p w:rsidR="00922D78" w:rsidRPr="00747E19" w:rsidP="00922D78">
      <w:pPr>
        <w:pStyle w:val="ListParagraph"/>
        <w:widowControl w:val="0"/>
        <w:numPr>
          <w:numId w:val="42"/>
        </w:numPr>
        <w:bidi w:val="0"/>
        <w:adjustRightInd w:val="0"/>
        <w:spacing w:after="120"/>
        <w:ind w:left="426" w:hanging="142"/>
        <w:jc w:val="both"/>
        <w:rPr>
          <w:rFonts w:ascii="Times New Roman" w:hAnsi="Times New Roman"/>
        </w:rPr>
      </w:pPr>
      <w:r w:rsidRPr="00747E19">
        <w:rPr>
          <w:rFonts w:ascii="Times New Roman" w:hAnsi="Times New Roman"/>
          <w:lang w:eastAsia="en-US"/>
        </w:rPr>
        <w:t>čl. 4 ods. 1 až 5, čl. 5 ods. 1, 2 a 3, čl. 6 ods. 1 a 2 a čl. 7 - do deviatich mesiacov od nadobudnutia účinnosti delegovaného aktu uvedeného v článku 3 ods. 4;</w:t>
      </w:r>
    </w:p>
    <w:p w:rsidR="00922D78" w:rsidRPr="00747E19" w:rsidP="00922D78">
      <w:pPr>
        <w:bidi w:val="0"/>
        <w:ind w:left="426" w:hanging="142"/>
        <w:jc w:val="both"/>
        <w:rPr>
          <w:rFonts w:ascii="Times New Roman" w:hAnsi="Times New Roman"/>
        </w:rPr>
      </w:pPr>
      <w:r w:rsidRPr="00747E19">
        <w:rPr>
          <w:rFonts w:ascii="Times New Roman" w:hAnsi="Times New Roman"/>
        </w:rPr>
        <w:t>Na základe úvahy členského štátu:</w:t>
      </w:r>
    </w:p>
    <w:p w:rsidR="00922D78" w:rsidRPr="00747E19" w:rsidP="00922D78">
      <w:pPr>
        <w:pStyle w:val="ListParagraph"/>
        <w:widowControl w:val="0"/>
        <w:numPr>
          <w:numId w:val="42"/>
        </w:numPr>
        <w:bidi w:val="0"/>
        <w:adjustRightInd w:val="0"/>
        <w:ind w:left="426" w:hanging="142"/>
        <w:jc w:val="both"/>
        <w:rPr>
          <w:rFonts w:ascii="Times New Roman" w:hAnsi="Times New Roman"/>
        </w:rPr>
      </w:pPr>
      <w:r w:rsidRPr="00747E19">
        <w:rPr>
          <w:rFonts w:ascii="Times New Roman" w:hAnsi="Times New Roman"/>
        </w:rPr>
        <w:t>členské štáty, v ktorých už na vnútroštátnej úrovni existuje dokument rovnocenný dokumentu  s informáciami o poplatkoch, môžu rozhodnúť o začlenení spoločného formátu a jeho spoločného symbolu najneskôr do 18 mesiacov od nadobudnutia účinnosti delegovaného aktu uvedeného v čl. 3 ods. 4;</w:t>
      </w:r>
    </w:p>
    <w:p w:rsidR="00922D78" w:rsidRPr="00747E19" w:rsidP="00922D78">
      <w:pPr>
        <w:pStyle w:val="BodyText"/>
        <w:numPr>
          <w:numId w:val="42"/>
        </w:numPr>
        <w:bidi w:val="0"/>
        <w:ind w:left="426" w:hanging="142"/>
        <w:jc w:val="both"/>
        <w:rPr>
          <w:rFonts w:ascii="Times New Roman" w:hAnsi="Times New Roman"/>
        </w:rPr>
      </w:pPr>
      <w:r w:rsidRPr="00747E19">
        <w:rPr>
          <w:rFonts w:ascii="Times New Roman" w:hAnsi="Times New Roman"/>
        </w:rPr>
        <w:t>členské štáty, v ktorých už na vnútroštátnej úrovni existuje dokument rovnocenný výpisu poplatkov, môžu rozhodnúť o začlenení spoločného formátu a jeho spoločného symbolu najneskôr do 18 mesiacov od nadobudnutia účinnosti delegovaného aktu uvedeného v čl. 3 ods. 4.</w:t>
      </w:r>
    </w:p>
    <w:p w:rsidR="00922D78" w:rsidRPr="00747E19" w:rsidP="00922D78">
      <w:pPr>
        <w:pStyle w:val="BodyText"/>
        <w:bidi w:val="0"/>
        <w:spacing w:after="60"/>
        <w:ind w:left="284" w:hanging="284"/>
        <w:jc w:val="both"/>
        <w:rPr>
          <w:rFonts w:ascii="Times New Roman" w:hAnsi="Times New Roman"/>
        </w:rPr>
      </w:pPr>
      <w:r w:rsidRPr="00747E19">
        <w:rPr>
          <w:rFonts w:ascii="Times New Roman" w:hAnsi="Times New Roman"/>
        </w:rPr>
        <w:t xml:space="preserve">b)  Lehota na predloženie návrhu právneho prepisu na rokovanie vlády podľa určenia gestorských ústredných orgánov štátnej správy zodpovedných za prebratie smerníc a vypracovanie tabuliek zhody k návrhom všeobecne záväzných právnych predpisov, ktorým sa zabezpečí prebratie smernice </w:t>
      </w:r>
      <w:r w:rsidRPr="00747E19">
        <w:rPr>
          <w:rFonts w:ascii="Times New Roman" w:hAnsi="Times New Roman"/>
          <w:bCs/>
        </w:rPr>
        <w:t>2014/92/EÚ bola</w:t>
      </w:r>
      <w:r w:rsidRPr="00747E19">
        <w:rPr>
          <w:rFonts w:ascii="Times New Roman" w:hAnsi="Times New Roman"/>
        </w:rPr>
        <w:t xml:space="preserve"> stanovená do </w:t>
      </w:r>
      <w:r>
        <w:rPr>
          <w:rFonts w:ascii="Times New Roman" w:hAnsi="Times New Roman"/>
        </w:rPr>
        <w:t>augusta</w:t>
      </w:r>
      <w:r w:rsidRPr="00747E19">
        <w:rPr>
          <w:rFonts w:ascii="Times New Roman" w:hAnsi="Times New Roman"/>
        </w:rPr>
        <w:t xml:space="preserve"> 2016.</w:t>
      </w:r>
    </w:p>
    <w:p w:rsidR="00922D78" w:rsidRPr="00747E19" w:rsidP="00922D78">
      <w:pPr>
        <w:pStyle w:val="BodyText"/>
        <w:bidi w:val="0"/>
        <w:jc w:val="both"/>
        <w:rPr>
          <w:rFonts w:ascii="Times New Roman" w:hAnsi="Times New Roman"/>
        </w:rPr>
      </w:pPr>
      <w:r w:rsidRPr="00747E19">
        <w:rPr>
          <w:rFonts w:ascii="Times New Roman" w:hAnsi="Times New Roman"/>
        </w:rPr>
        <w:t>c)   Proti SR nebolo začaté konanie o porušení Zmluvy o fungovaní Európskej únie podľa čl. 258 až 260.</w:t>
      </w:r>
    </w:p>
    <w:p w:rsidR="00922D78" w:rsidRPr="00747E19" w:rsidP="00922D78">
      <w:pPr>
        <w:autoSpaceDE w:val="0"/>
        <w:autoSpaceDN w:val="0"/>
        <w:bidi w:val="0"/>
        <w:ind w:left="284" w:hanging="284"/>
        <w:jc w:val="both"/>
        <w:rPr>
          <w:rFonts w:ascii="Times New Roman" w:hAnsi="Times New Roman"/>
          <w:bCs/>
        </w:rPr>
      </w:pPr>
      <w:r w:rsidRPr="00747E19">
        <w:rPr>
          <w:rStyle w:val="PlaceholderText1"/>
          <w:rFonts w:ascii="Times New Roman" w:hAnsi="Times New Roman"/>
          <w:color w:val="auto"/>
        </w:rPr>
        <w:t xml:space="preserve">d)  Smernica 2014/92/EÚ bola prebratá do </w:t>
      </w:r>
      <w:r w:rsidRPr="00747E19">
        <w:rPr>
          <w:rFonts w:ascii="Times New Roman" w:hAnsi="Times New Roman"/>
        </w:rPr>
        <w:t>zákona 492/2009 Z. z. o platobných službách a o zmene a doplnení niektorých zákonov v znení neskorších predpisov, do zákona č. 483/2001 Z. z. o bankách a o zmene a doplnení niektorých zákonov v znení neskorších predpisov a do zákona č. 747/2004 Z. z. o dohľade nad finančným trhom a o zmene a doplnení niektorých zákonov v znení neskorších predpisov</w:t>
      </w:r>
      <w:r w:rsidRPr="00747E19">
        <w:rPr>
          <w:rFonts w:ascii="Times New Roman" w:hAnsi="Times New Roman"/>
          <w:bCs/>
        </w:rPr>
        <w:t>.</w:t>
      </w:r>
    </w:p>
    <w:p w:rsidR="00922D78" w:rsidRPr="00747E19" w:rsidP="00922D78">
      <w:pPr>
        <w:autoSpaceDE w:val="0"/>
        <w:autoSpaceDN w:val="0"/>
        <w:bidi w:val="0"/>
        <w:jc w:val="both"/>
        <w:rPr>
          <w:rFonts w:ascii="Times New Roman" w:hAnsi="Times New Roman"/>
          <w:bCs/>
        </w:rPr>
      </w:pPr>
    </w:p>
    <w:p w:rsidR="00922D78" w:rsidRPr="00747E19" w:rsidP="00922D78">
      <w:pPr>
        <w:bidi w:val="0"/>
        <w:spacing w:line="276" w:lineRule="auto"/>
        <w:jc w:val="both"/>
        <w:rPr>
          <w:rFonts w:ascii="Times New Roman" w:hAnsi="Times New Roman"/>
          <w:b/>
          <w:bCs/>
        </w:rPr>
      </w:pPr>
      <w:r w:rsidRPr="00747E19">
        <w:rPr>
          <w:rFonts w:ascii="Times New Roman" w:hAnsi="Times New Roman"/>
          <w:b/>
          <w:bCs/>
        </w:rPr>
        <w:t>5. Stupeň zlučiteľnosti návrhu zákona s právom Európskej únie:</w:t>
      </w:r>
    </w:p>
    <w:p w:rsidR="00922D78" w:rsidRPr="00747E19" w:rsidP="00922D78">
      <w:pPr>
        <w:bidi w:val="0"/>
        <w:spacing w:line="276" w:lineRule="auto"/>
        <w:jc w:val="both"/>
        <w:rPr>
          <w:rFonts w:ascii="Times New Roman" w:hAnsi="Times New Roman"/>
        </w:rPr>
      </w:pPr>
      <w:r w:rsidRPr="00747E19">
        <w:rPr>
          <w:rFonts w:ascii="Times New Roman" w:hAnsi="Times New Roman"/>
        </w:rPr>
        <w:t>Úplný.</w:t>
      </w:r>
    </w:p>
    <w:p w:rsidR="00922D78" w:rsidRPr="00747E19" w:rsidP="00922D78">
      <w:pPr>
        <w:bidi w:val="0"/>
        <w:spacing w:line="276" w:lineRule="auto"/>
        <w:jc w:val="both"/>
        <w:rPr>
          <w:rFonts w:ascii="Times New Roman" w:hAnsi="Times New Roman"/>
        </w:rPr>
      </w:pPr>
    </w:p>
    <w:p w:rsidR="00922D78" w:rsidRPr="00747E19" w:rsidP="00922D78">
      <w:pPr>
        <w:bidi w:val="0"/>
        <w:spacing w:line="276" w:lineRule="auto"/>
        <w:jc w:val="both"/>
        <w:rPr>
          <w:rFonts w:ascii="Times New Roman" w:hAnsi="Times New Roman"/>
          <w:b/>
          <w:bCs/>
        </w:rPr>
      </w:pPr>
      <w:r w:rsidRPr="00747E19">
        <w:rPr>
          <w:rFonts w:ascii="Times New Roman" w:hAnsi="Times New Roman"/>
          <w:b/>
          <w:bCs/>
        </w:rPr>
        <w:t>6. Gestor a spolupracujúce rezorty:</w:t>
      </w:r>
    </w:p>
    <w:p w:rsidR="00922D78" w:rsidRPr="00747E19" w:rsidP="00922D78">
      <w:pPr>
        <w:bidi w:val="0"/>
        <w:spacing w:line="276" w:lineRule="auto"/>
        <w:jc w:val="both"/>
        <w:rPr>
          <w:rFonts w:ascii="Times New Roman" w:hAnsi="Times New Roman"/>
          <w:b/>
          <w:bCs/>
        </w:rPr>
      </w:pPr>
      <w:r w:rsidRPr="00747E19">
        <w:rPr>
          <w:rFonts w:ascii="Times New Roman" w:hAnsi="Times New Roman"/>
        </w:rPr>
        <w:t xml:space="preserve">Ministerstvo financií Slovenskej republiky, Národná banka Slovenska a Ministerstvo vnútra SR. </w:t>
      </w:r>
    </w:p>
    <w:p w:rsidR="00922D78" w:rsidRPr="00747E19" w:rsidP="00922D78">
      <w:pPr>
        <w:pStyle w:val="BodyTextIndent"/>
        <w:bidi w:val="0"/>
        <w:spacing w:line="276" w:lineRule="auto"/>
        <w:rPr>
          <w:rFonts w:ascii="Times New Roman" w:hAnsi="Times New Roman"/>
        </w:rPr>
      </w:pPr>
    </w:p>
    <w:p w:rsidR="00922D78" w:rsidRPr="00747E19" w:rsidP="00922D78">
      <w:pPr>
        <w:bidi w:val="0"/>
        <w:spacing w:line="276" w:lineRule="auto"/>
        <w:rPr>
          <w:rFonts w:ascii="Times New Roman" w:hAnsi="Times New Roman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RP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922D78" w:rsidRPr="00922D78" w:rsidP="00922D78">
      <w:pPr>
        <w:widowControl w:val="0"/>
        <w:bidi w:val="0"/>
        <w:adjustRightInd w:val="0"/>
        <w:rPr>
          <w:rFonts w:ascii="Times New Roman" w:hAnsi="Times New Roman"/>
          <w:color w:val="auto"/>
        </w:rPr>
      </w:pPr>
    </w:p>
    <w:p w:rsidR="00396DB3" w:rsidRPr="00992309" w:rsidP="00992309">
      <w:pPr>
        <w:bidi w:val="0"/>
        <w:jc w:val="both"/>
        <w:rPr>
          <w:rFonts w:ascii="Times New Roman" w:hAnsi="Times New Roman"/>
          <w:b/>
          <w:color w:val="auto"/>
        </w:rPr>
      </w:pPr>
      <w:r w:rsidRPr="00992309">
        <w:rPr>
          <w:rFonts w:ascii="Times New Roman" w:hAnsi="Times New Roman"/>
          <w:b/>
          <w:color w:val="auto"/>
        </w:rPr>
        <w:t>B. Osobitná časť</w:t>
      </w:r>
    </w:p>
    <w:p w:rsidR="00714CF9" w:rsidRPr="00992309" w:rsidP="00992309">
      <w:pPr>
        <w:bidi w:val="0"/>
        <w:jc w:val="both"/>
        <w:rPr>
          <w:rFonts w:ascii="Times New Roman" w:hAnsi="Times New Roman"/>
          <w:color w:val="auto"/>
        </w:rPr>
      </w:pPr>
    </w:p>
    <w:p w:rsidR="003E1429" w:rsidRPr="00992309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b/>
          <w:bCs/>
          <w:color w:val="auto"/>
        </w:rPr>
      </w:pPr>
      <w:r w:rsidRPr="00992309">
        <w:rPr>
          <w:rFonts w:ascii="Times New Roman" w:hAnsi="Times New Roman"/>
          <w:b/>
          <w:bCs/>
          <w:color w:val="auto"/>
        </w:rPr>
        <w:t>K Čl. I</w:t>
      </w:r>
      <w:r w:rsidR="000736B0">
        <w:rPr>
          <w:rFonts w:ascii="Times New Roman" w:hAnsi="Times New Roman"/>
          <w:b/>
          <w:bCs/>
          <w:color w:val="auto"/>
        </w:rPr>
        <w:t> a Čl. II</w:t>
      </w:r>
    </w:p>
    <w:p w:rsidR="00AC2751" w:rsidRPr="00992309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color w:val="auto"/>
        </w:rPr>
      </w:pPr>
      <w:r w:rsidR="00990877">
        <w:rPr>
          <w:rFonts w:ascii="Times New Roman" w:hAnsi="Times New Roman"/>
          <w:color w:val="auto"/>
        </w:rPr>
        <w:t>Transpozícia</w:t>
      </w:r>
      <w:r w:rsidRPr="00992309" w:rsidR="00990877">
        <w:rPr>
          <w:rFonts w:ascii="Times New Roman" w:hAnsi="Times New Roman"/>
          <w:color w:val="auto"/>
        </w:rPr>
        <w:t xml:space="preserve"> </w:t>
      </w:r>
      <w:r w:rsidRPr="00990877" w:rsidR="00990877">
        <w:rPr>
          <w:rFonts w:ascii="Times New Roman" w:hAnsi="Times New Roman"/>
          <w:color w:val="auto"/>
        </w:rPr>
        <w:t xml:space="preserve">smernica Európskeho parlamentu a Rady 2014/92/EÚ z 23. júla 2014 </w:t>
      </w:r>
      <w:r w:rsidR="001C576C">
        <w:rPr>
          <w:rFonts w:ascii="Times New Roman" w:hAnsi="Times New Roman"/>
          <w:color w:val="auto"/>
        </w:rPr>
        <w:t xml:space="preserve">                      </w:t>
      </w:r>
      <w:r w:rsidRPr="00990877" w:rsidR="00990877">
        <w:rPr>
          <w:rFonts w:ascii="Times New Roman" w:hAnsi="Times New Roman"/>
          <w:color w:val="auto"/>
        </w:rPr>
        <w:t>o porovnateľnosti poplatkov za platobné účty, o presune platobných účtov a o</w:t>
      </w:r>
      <w:r w:rsidR="001C576C">
        <w:rPr>
          <w:rFonts w:ascii="Times New Roman" w:hAnsi="Times New Roman"/>
          <w:color w:val="auto"/>
        </w:rPr>
        <w:t> </w:t>
      </w:r>
      <w:r w:rsidRPr="00990877" w:rsidR="00990877">
        <w:rPr>
          <w:rFonts w:ascii="Times New Roman" w:hAnsi="Times New Roman"/>
          <w:color w:val="auto"/>
        </w:rPr>
        <w:t>prístupe</w:t>
      </w:r>
      <w:r w:rsidR="001C576C">
        <w:rPr>
          <w:rFonts w:ascii="Times New Roman" w:hAnsi="Times New Roman"/>
          <w:color w:val="auto"/>
        </w:rPr>
        <w:t xml:space="preserve">                </w:t>
      </w:r>
      <w:r w:rsidRPr="00990877" w:rsidR="00990877">
        <w:rPr>
          <w:rFonts w:ascii="Times New Roman" w:hAnsi="Times New Roman"/>
          <w:color w:val="auto"/>
        </w:rPr>
        <w:t xml:space="preserve"> k platobným účtom so základnými funkciami</w:t>
      </w:r>
      <w:r w:rsidRPr="00990877" w:rsidR="00990877">
        <w:rPr>
          <w:rFonts w:ascii="Times New Roman" w:hAnsi="Times New Roman"/>
          <w:color w:val="auto"/>
        </w:rPr>
        <w:t xml:space="preserve"> </w:t>
      </w:r>
      <w:r w:rsidRPr="00992309">
        <w:rPr>
          <w:rFonts w:ascii="Times New Roman" w:hAnsi="Times New Roman"/>
          <w:color w:val="auto"/>
        </w:rPr>
        <w:t xml:space="preserve">(ďalej len „smernica PAD“) sa zavádza návrhom zákona, </w:t>
      </w:r>
      <w:r w:rsidRPr="00992309" w:rsidR="007619FF">
        <w:rPr>
          <w:rFonts w:ascii="Times New Roman" w:hAnsi="Times New Roman"/>
          <w:color w:val="auto"/>
        </w:rPr>
        <w:t xml:space="preserve">ktorým sa mení a dopĺňa zákon č. 492/2009 Z. z. o platobných službách </w:t>
      </w:r>
      <w:r w:rsidR="001C576C">
        <w:rPr>
          <w:rFonts w:ascii="Times New Roman" w:hAnsi="Times New Roman"/>
          <w:color w:val="auto"/>
        </w:rPr>
        <w:t xml:space="preserve">          </w:t>
      </w:r>
      <w:r w:rsidRPr="00992309" w:rsidR="007619FF">
        <w:rPr>
          <w:rFonts w:ascii="Times New Roman" w:hAnsi="Times New Roman"/>
          <w:color w:val="auto"/>
        </w:rPr>
        <w:t>a o</w:t>
      </w:r>
      <w:r w:rsidR="001C576C">
        <w:rPr>
          <w:rFonts w:ascii="Times New Roman" w:hAnsi="Times New Roman"/>
          <w:color w:val="auto"/>
        </w:rPr>
        <w:t> </w:t>
      </w:r>
      <w:r w:rsidRPr="00992309" w:rsidR="007619FF">
        <w:rPr>
          <w:rFonts w:ascii="Times New Roman" w:hAnsi="Times New Roman"/>
          <w:color w:val="auto"/>
        </w:rPr>
        <w:t>zmene</w:t>
      </w:r>
      <w:r w:rsidR="001C576C">
        <w:rPr>
          <w:rFonts w:ascii="Times New Roman" w:hAnsi="Times New Roman"/>
          <w:color w:val="auto"/>
        </w:rPr>
        <w:t xml:space="preserve"> </w:t>
      </w:r>
      <w:r w:rsidRPr="00992309" w:rsidR="007619FF">
        <w:rPr>
          <w:rFonts w:ascii="Times New Roman" w:hAnsi="Times New Roman"/>
          <w:color w:val="auto"/>
        </w:rPr>
        <w:t>a doplnení niektorých zákonov v znení neskorších predpisov a ktorým sa mení a dopĺňa  zákon č.  483/2001 Z. z. o bankách a o zmene a doplnení niektorých zákonov</w:t>
      </w:r>
      <w:r w:rsidR="0033517E">
        <w:rPr>
          <w:rFonts w:ascii="Times New Roman" w:hAnsi="Times New Roman"/>
          <w:color w:val="auto"/>
        </w:rPr>
        <w:t xml:space="preserve">            </w:t>
      </w:r>
      <w:r w:rsidRPr="00992309" w:rsidR="007619FF">
        <w:rPr>
          <w:rFonts w:ascii="Times New Roman" w:hAnsi="Times New Roman"/>
          <w:color w:val="auto"/>
        </w:rPr>
        <w:t xml:space="preserve"> v znení neskorších predpisov</w:t>
      </w:r>
      <w:r w:rsidRPr="00992309" w:rsidR="007619FF">
        <w:rPr>
          <w:rFonts w:ascii="Times New Roman" w:hAnsi="Times New Roman"/>
          <w:color w:val="auto"/>
        </w:rPr>
        <w:t xml:space="preserve"> </w:t>
      </w:r>
      <w:r w:rsidRPr="00992309">
        <w:rPr>
          <w:rFonts w:ascii="Times New Roman" w:hAnsi="Times New Roman"/>
          <w:color w:val="auto"/>
        </w:rPr>
        <w:t xml:space="preserve">(ďalej len „návrh zákona“) Návrh zákona reaguje na viacero doposiaľ neupravených oblastí, ktoré si vyžadovali spoločnú únijnú legislatívnu úpravu. Predovšetkým </w:t>
      </w:r>
      <w:r w:rsidR="00E726F5">
        <w:rPr>
          <w:rFonts w:ascii="Times New Roman" w:hAnsi="Times New Roman"/>
          <w:color w:val="auto"/>
        </w:rPr>
        <w:t>ide o</w:t>
      </w:r>
      <w:r w:rsidRPr="00992309">
        <w:rPr>
          <w:rFonts w:ascii="Times New Roman" w:hAnsi="Times New Roman"/>
          <w:color w:val="auto"/>
        </w:rPr>
        <w:t xml:space="preserve"> podmienky porovnateľnosti poplatkov poskytovateľov platobných služieb, stanovenie podmienok pre presun platobného účtu spotrebiteľa a vytvorenie platobného účtu</w:t>
      </w:r>
      <w:r w:rsidRPr="00992309" w:rsidR="007F5844">
        <w:rPr>
          <w:rFonts w:ascii="Times New Roman" w:hAnsi="Times New Roman"/>
          <w:color w:val="auto"/>
        </w:rPr>
        <w:t xml:space="preserve"> </w:t>
      </w:r>
      <w:r w:rsidRPr="00992309">
        <w:rPr>
          <w:rFonts w:ascii="Times New Roman" w:hAnsi="Times New Roman"/>
          <w:color w:val="auto"/>
        </w:rPr>
        <w:t xml:space="preserve">so základnými funkciami. </w:t>
      </w:r>
    </w:p>
    <w:p w:rsidR="004B3759" w:rsidRPr="00992309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b/>
          <w:bCs/>
          <w:color w:val="auto"/>
        </w:rPr>
      </w:pPr>
      <w:r w:rsidRPr="00992309" w:rsidR="00E94BBA">
        <w:rPr>
          <w:rFonts w:ascii="Times New Roman" w:hAnsi="Times New Roman"/>
          <w:b/>
          <w:bCs/>
          <w:color w:val="auto"/>
        </w:rPr>
        <w:t>K</w:t>
      </w:r>
      <w:r w:rsidRPr="00992309">
        <w:rPr>
          <w:rFonts w:ascii="Times New Roman" w:hAnsi="Times New Roman"/>
          <w:b/>
          <w:bCs/>
          <w:color w:val="auto"/>
        </w:rPr>
        <w:t> bodu 1</w:t>
      </w:r>
    </w:p>
    <w:p w:rsidR="004712C6" w:rsidRPr="00992309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color w:val="auto"/>
        </w:rPr>
      </w:pPr>
      <w:r w:rsidRPr="00992309" w:rsidR="006D6339">
        <w:rPr>
          <w:rFonts w:ascii="Times New Roman" w:hAnsi="Times New Roman"/>
          <w:color w:val="auto"/>
        </w:rPr>
        <w:t xml:space="preserve">Zákon č. 492/2009 Z. z. o platobných službách a o zmene o doplnení niektorých zákonov </w:t>
      </w:r>
      <w:r w:rsidRPr="00992309">
        <w:rPr>
          <w:rFonts w:ascii="Times New Roman" w:hAnsi="Times New Roman"/>
          <w:color w:val="auto"/>
        </w:rPr>
        <w:t>sa rozširuje o predmet úpravy porovnateľnosti poplatkov a presunu platobného účtu.</w:t>
      </w:r>
    </w:p>
    <w:p w:rsidR="004712C6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b/>
          <w:color w:val="auto"/>
        </w:rPr>
      </w:pPr>
      <w:r w:rsidRPr="00992309">
        <w:rPr>
          <w:rFonts w:ascii="Times New Roman" w:hAnsi="Times New Roman"/>
          <w:b/>
          <w:color w:val="auto"/>
        </w:rPr>
        <w:t>K bodu 2</w:t>
      </w:r>
    </w:p>
    <w:p w:rsidR="00717554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color w:val="auto"/>
        </w:rPr>
      </w:pPr>
      <w:r w:rsidRPr="00717554">
        <w:rPr>
          <w:rFonts w:ascii="Times New Roman" w:hAnsi="Times New Roman"/>
          <w:color w:val="auto"/>
        </w:rPr>
        <w:t xml:space="preserve">Navrhovanou zmenou sa určuje mena v ktorej je možné realizovať vydávanie, spravovanie </w:t>
      </w:r>
      <w:r w:rsidR="001C576C">
        <w:rPr>
          <w:rFonts w:ascii="Times New Roman" w:hAnsi="Times New Roman"/>
          <w:color w:val="auto"/>
        </w:rPr>
        <w:t xml:space="preserve">           </w:t>
      </w:r>
      <w:r w:rsidRPr="00717554">
        <w:rPr>
          <w:rFonts w:ascii="Times New Roman" w:hAnsi="Times New Roman"/>
          <w:color w:val="auto"/>
        </w:rPr>
        <w:t xml:space="preserve">a spätnú výmenu elektronických peňazí a zároveň sa dosiahne vyšší stupeň súladu </w:t>
      </w:r>
      <w:r w:rsidR="001C576C">
        <w:rPr>
          <w:rFonts w:ascii="Times New Roman" w:hAnsi="Times New Roman"/>
          <w:color w:val="auto"/>
        </w:rPr>
        <w:t xml:space="preserve">                </w:t>
      </w:r>
      <w:r w:rsidRPr="00717554">
        <w:rPr>
          <w:rFonts w:ascii="Times New Roman" w:hAnsi="Times New Roman"/>
          <w:color w:val="auto"/>
        </w:rPr>
        <w:t xml:space="preserve">so smernicou Európskeho parlamentu a Rady 2009/110/ES o začatí a vykonávaní činností </w:t>
      </w:r>
      <w:r w:rsidR="001C576C">
        <w:rPr>
          <w:rFonts w:ascii="Times New Roman" w:hAnsi="Times New Roman"/>
          <w:color w:val="auto"/>
        </w:rPr>
        <w:t xml:space="preserve">         </w:t>
      </w:r>
      <w:r w:rsidRPr="00717554">
        <w:rPr>
          <w:rFonts w:ascii="Times New Roman" w:hAnsi="Times New Roman"/>
          <w:color w:val="auto"/>
        </w:rPr>
        <w:t>a dohľade nad obozretným podnikaním inštitúcií elektronického peňažníctva, ktorou sa menia a dopĺňajú smernice 2005/60/ES a 2006/48/ES a zrušuje smernica 2000/46/ES.</w:t>
      </w:r>
    </w:p>
    <w:p w:rsidR="00717554" w:rsidRPr="00E726F5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b/>
          <w:color w:val="auto"/>
        </w:rPr>
      </w:pPr>
      <w:r w:rsidRPr="00E726F5">
        <w:rPr>
          <w:rFonts w:ascii="Times New Roman" w:hAnsi="Times New Roman"/>
          <w:b/>
          <w:color w:val="auto"/>
        </w:rPr>
        <w:t>K</w:t>
      </w:r>
      <w:r w:rsidRPr="001E4D3F">
        <w:rPr>
          <w:rFonts w:ascii="Times New Roman" w:hAnsi="Times New Roman"/>
          <w:b/>
          <w:color w:val="auto"/>
        </w:rPr>
        <w:t> </w:t>
      </w:r>
      <w:r w:rsidRPr="00E726F5">
        <w:rPr>
          <w:rFonts w:ascii="Times New Roman" w:hAnsi="Times New Roman"/>
          <w:b/>
          <w:color w:val="auto"/>
        </w:rPr>
        <w:t xml:space="preserve">bodu 3 </w:t>
      </w:r>
    </w:p>
    <w:p w:rsidR="004712C6" w:rsidRPr="00992309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color w:val="auto"/>
        </w:rPr>
      </w:pPr>
      <w:r w:rsidRPr="00992309">
        <w:rPr>
          <w:rFonts w:ascii="Times New Roman" w:hAnsi="Times New Roman"/>
          <w:color w:val="auto"/>
        </w:rPr>
        <w:t xml:space="preserve">V súlade s transpozíciou smernice sa </w:t>
      </w:r>
      <w:r w:rsidRPr="00992309" w:rsidR="00FA3263">
        <w:rPr>
          <w:rFonts w:ascii="Times New Roman" w:hAnsi="Times New Roman"/>
          <w:color w:val="auto"/>
        </w:rPr>
        <w:t xml:space="preserve">na </w:t>
      </w:r>
      <w:r w:rsidRPr="00992309">
        <w:rPr>
          <w:rFonts w:ascii="Times New Roman" w:hAnsi="Times New Roman"/>
          <w:color w:val="auto"/>
        </w:rPr>
        <w:t xml:space="preserve">určené ustanovenia bude vzťahovať úprava platobných operácií </w:t>
      </w:r>
      <w:r w:rsidRPr="00992309" w:rsidR="00AC2751">
        <w:rPr>
          <w:rFonts w:ascii="Times New Roman" w:hAnsi="Times New Roman"/>
          <w:color w:val="auto"/>
        </w:rPr>
        <w:t>vykonávaných</w:t>
      </w:r>
      <w:r w:rsidRPr="00992309">
        <w:rPr>
          <w:rFonts w:ascii="Times New Roman" w:hAnsi="Times New Roman"/>
          <w:color w:val="auto"/>
        </w:rPr>
        <w:t xml:space="preserve"> prostredníctvom zmeniek a šekov, poukážok, cestovných šekov alebo poukazov poštového platobného styku v listinnej podobe.</w:t>
      </w:r>
    </w:p>
    <w:p w:rsidR="004712C6" w:rsidRPr="00992309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b/>
          <w:color w:val="auto"/>
        </w:rPr>
      </w:pPr>
      <w:r w:rsidRPr="00992309">
        <w:rPr>
          <w:rFonts w:ascii="Times New Roman" w:hAnsi="Times New Roman"/>
          <w:b/>
          <w:color w:val="auto"/>
        </w:rPr>
        <w:t xml:space="preserve">K bodu </w:t>
      </w:r>
      <w:r w:rsidR="00717554">
        <w:rPr>
          <w:rFonts w:ascii="Times New Roman" w:hAnsi="Times New Roman"/>
          <w:b/>
          <w:color w:val="auto"/>
        </w:rPr>
        <w:t>4</w:t>
      </w:r>
    </w:p>
    <w:p w:rsidR="004B3759" w:rsidRPr="00992309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color w:val="auto"/>
        </w:rPr>
      </w:pPr>
      <w:r w:rsidR="000736B0">
        <w:rPr>
          <w:rFonts w:ascii="Times New Roman" w:hAnsi="Times New Roman"/>
          <w:color w:val="auto"/>
        </w:rPr>
        <w:t>Úprava n</w:t>
      </w:r>
      <w:r w:rsidRPr="00992309">
        <w:rPr>
          <w:rFonts w:ascii="Times New Roman" w:hAnsi="Times New Roman"/>
          <w:color w:val="auto"/>
        </w:rPr>
        <w:t>ávrh</w:t>
      </w:r>
      <w:r w:rsidR="000736B0">
        <w:rPr>
          <w:rFonts w:ascii="Times New Roman" w:hAnsi="Times New Roman"/>
          <w:color w:val="auto"/>
        </w:rPr>
        <w:t>u</w:t>
      </w:r>
      <w:r w:rsidRPr="00992309">
        <w:rPr>
          <w:rFonts w:ascii="Times New Roman" w:hAnsi="Times New Roman"/>
          <w:color w:val="auto"/>
        </w:rPr>
        <w:t xml:space="preserve"> zákona sa vzťahuje na všetkých poskytovateľov platobných služieb s vý</w:t>
      </w:r>
      <w:r w:rsidRPr="00992309" w:rsidR="00AB50C8">
        <w:rPr>
          <w:rFonts w:ascii="Times New Roman" w:hAnsi="Times New Roman"/>
          <w:color w:val="auto"/>
        </w:rPr>
        <w:t>nimkou Národnej banky</w:t>
      </w:r>
      <w:r w:rsidRPr="00992309">
        <w:rPr>
          <w:rFonts w:ascii="Times New Roman" w:hAnsi="Times New Roman"/>
          <w:color w:val="auto"/>
        </w:rPr>
        <w:t xml:space="preserve"> Slovenska a Európskej centrálnej banky.</w:t>
      </w:r>
    </w:p>
    <w:p w:rsidR="00717554" w:rsidP="00992309">
      <w:pPr>
        <w:bidi w:val="0"/>
        <w:spacing w:before="100" w:beforeAutospacing="1" w:after="240"/>
        <w:jc w:val="both"/>
        <w:rPr>
          <w:rFonts w:ascii="Times New Roman" w:hAnsi="Times New Roman"/>
          <w:b/>
          <w:color w:val="auto"/>
        </w:rPr>
      </w:pPr>
      <w:r w:rsidRPr="00EF3A99" w:rsidR="00EF3A99">
        <w:rPr>
          <w:rFonts w:ascii="Times New Roman" w:hAnsi="Times New Roman"/>
          <w:b/>
          <w:color w:val="auto"/>
        </w:rPr>
        <w:t xml:space="preserve">K bodu </w:t>
      </w:r>
      <w:r>
        <w:rPr>
          <w:rFonts w:ascii="Times New Roman" w:hAnsi="Times New Roman"/>
          <w:b/>
          <w:color w:val="auto"/>
        </w:rPr>
        <w:t>5</w:t>
      </w:r>
    </w:p>
    <w:p w:rsidR="00EF3A99" w:rsidRPr="00E726F5" w:rsidP="00717554">
      <w:pPr>
        <w:bidi w:val="0"/>
        <w:spacing w:before="100" w:beforeAutospacing="1" w:after="240"/>
        <w:jc w:val="both"/>
        <w:rPr>
          <w:rFonts w:ascii="Times New Roman" w:hAnsi="Times New Roman"/>
          <w:color w:val="auto"/>
        </w:rPr>
      </w:pPr>
      <w:r w:rsidRPr="00E726F5" w:rsidR="00717554">
        <w:rPr>
          <w:rFonts w:ascii="Times New Roman" w:hAnsi="Times New Roman"/>
          <w:color w:val="auto"/>
        </w:rPr>
        <w:t>Úprava súvisí s</w:t>
      </w:r>
      <w:r w:rsidRPr="001E4D3F" w:rsidR="00717554">
        <w:rPr>
          <w:rFonts w:ascii="Times New Roman" w:hAnsi="Times New Roman"/>
          <w:color w:val="auto"/>
        </w:rPr>
        <w:t> </w:t>
      </w:r>
      <w:r w:rsidRPr="00E726F5" w:rsidR="00717554">
        <w:rPr>
          <w:rFonts w:ascii="Times New Roman" w:hAnsi="Times New Roman"/>
          <w:color w:val="auto"/>
        </w:rPr>
        <w:t>presunom platobných účtov, pri ktorom sa fakultatívna úprava mení na obligatórnu vo vzťahu k poskytovateľom platobných služieb, ktorí musia pri presune platobného účtu považovať osobu, ktorá v čase uzatvorenia rámcovej zmluvy o poskytovaní platobných služieb zamestnáva menej ako desať osôb a ktorej ročný obrat, alebo celková ročná bilančná hodnota nepresahuje 2 000 000 eur</w:t>
      </w:r>
      <w:r w:rsidR="00E726F5">
        <w:rPr>
          <w:rFonts w:ascii="Times New Roman" w:hAnsi="Times New Roman"/>
          <w:color w:val="auto"/>
        </w:rPr>
        <w:t>,</w:t>
      </w:r>
      <w:r w:rsidRPr="00E726F5" w:rsidR="00717554">
        <w:rPr>
          <w:rFonts w:ascii="Times New Roman" w:hAnsi="Times New Roman"/>
          <w:color w:val="auto"/>
        </w:rPr>
        <w:t xml:space="preserve"> za spotrebiteľa. </w:t>
      </w:r>
    </w:p>
    <w:p w:rsidR="0033517E" w:rsidP="00717554">
      <w:pPr>
        <w:bidi w:val="0"/>
        <w:spacing w:before="100" w:beforeAutospacing="1" w:after="240"/>
        <w:jc w:val="both"/>
        <w:rPr>
          <w:rFonts w:ascii="Times New Roman" w:hAnsi="Times New Roman"/>
          <w:b/>
          <w:color w:val="auto"/>
        </w:rPr>
      </w:pPr>
    </w:p>
    <w:p w:rsidR="0033517E" w:rsidP="00717554">
      <w:pPr>
        <w:bidi w:val="0"/>
        <w:spacing w:before="100" w:beforeAutospacing="1" w:after="240"/>
        <w:jc w:val="both"/>
        <w:rPr>
          <w:rFonts w:ascii="Times New Roman" w:hAnsi="Times New Roman"/>
          <w:b/>
          <w:color w:val="auto"/>
        </w:rPr>
      </w:pPr>
    </w:p>
    <w:p w:rsidR="00717554" w:rsidP="00717554">
      <w:pPr>
        <w:bidi w:val="0"/>
        <w:spacing w:before="100" w:beforeAutospacing="1" w:after="240"/>
        <w:jc w:val="both"/>
        <w:rPr>
          <w:rFonts w:ascii="Times New Roman" w:hAnsi="Times New Roman"/>
          <w:b/>
          <w:color w:val="auto"/>
        </w:rPr>
      </w:pPr>
      <w:r w:rsidRPr="00EF3A99">
        <w:rPr>
          <w:rFonts w:ascii="Times New Roman" w:hAnsi="Times New Roman"/>
          <w:b/>
          <w:color w:val="auto"/>
        </w:rPr>
        <w:t xml:space="preserve">K bodu </w:t>
      </w:r>
      <w:r>
        <w:rPr>
          <w:rFonts w:ascii="Times New Roman" w:hAnsi="Times New Roman"/>
          <w:b/>
          <w:color w:val="auto"/>
        </w:rPr>
        <w:t>6</w:t>
      </w:r>
    </w:p>
    <w:p w:rsidR="00911FD7" w:rsidP="00E726F5">
      <w:pPr>
        <w:bidi w:val="0"/>
        <w:jc w:val="both"/>
        <w:rPr>
          <w:rFonts w:ascii="Times New Roman" w:hAnsi="Times New Roman"/>
        </w:rPr>
      </w:pPr>
      <w:r w:rsidRPr="001E12E2">
        <w:rPr>
          <w:rFonts w:ascii="Times New Roman" w:hAnsi="Times New Roman"/>
        </w:rPr>
        <w:t xml:space="preserve">Navrhovaným ustanovením sa </w:t>
      </w:r>
      <w:r>
        <w:rPr>
          <w:rFonts w:ascii="Times New Roman" w:hAnsi="Times New Roman"/>
        </w:rPr>
        <w:t xml:space="preserve">spresňuje </w:t>
      </w:r>
      <w:r w:rsidRPr="001E12E2">
        <w:rPr>
          <w:rFonts w:ascii="Times New Roman" w:hAnsi="Times New Roman"/>
        </w:rPr>
        <w:t>doterajšie ustanovenie § 2 ods</w:t>
      </w:r>
      <w:r>
        <w:rPr>
          <w:rFonts w:ascii="Times New Roman" w:hAnsi="Times New Roman"/>
        </w:rPr>
        <w:t>.</w:t>
      </w:r>
      <w:r w:rsidRPr="001E12E2">
        <w:rPr>
          <w:rFonts w:ascii="Times New Roman" w:hAnsi="Times New Roman"/>
        </w:rPr>
        <w:t xml:space="preserve"> 30 a zároveň sa odstránia existujúce nejasnosti vyplývajúce z aplikačnej praxe.</w:t>
      </w:r>
    </w:p>
    <w:p w:rsidR="00717554" w:rsidRPr="00E726F5" w:rsidP="00992309">
      <w:pPr>
        <w:bidi w:val="0"/>
        <w:spacing w:before="100" w:beforeAutospacing="1" w:after="240"/>
        <w:jc w:val="both"/>
        <w:rPr>
          <w:rFonts w:ascii="Times New Roman" w:hAnsi="Times New Roman"/>
          <w:b/>
          <w:color w:val="auto"/>
        </w:rPr>
      </w:pPr>
      <w:r w:rsidRPr="00E726F5" w:rsidR="00911FD7">
        <w:rPr>
          <w:rFonts w:ascii="Times New Roman" w:hAnsi="Times New Roman"/>
          <w:b/>
          <w:color w:val="auto"/>
        </w:rPr>
        <w:t xml:space="preserve">K bodu </w:t>
      </w:r>
      <w:r w:rsidR="00911FD7">
        <w:rPr>
          <w:rFonts w:ascii="Times New Roman" w:hAnsi="Times New Roman"/>
          <w:b/>
          <w:color w:val="auto"/>
        </w:rPr>
        <w:t>7</w:t>
      </w:r>
    </w:p>
    <w:p w:rsidR="00592CB5" w:rsidRPr="00992309" w:rsidP="00992309">
      <w:pPr>
        <w:bidi w:val="0"/>
        <w:spacing w:before="100" w:beforeAutospacing="1" w:after="240"/>
        <w:jc w:val="both"/>
        <w:rPr>
          <w:rFonts w:ascii="Times New Roman" w:hAnsi="Times New Roman"/>
          <w:color w:val="auto"/>
        </w:rPr>
      </w:pPr>
      <w:r w:rsidR="00E726F5">
        <w:rPr>
          <w:rFonts w:ascii="Times New Roman" w:hAnsi="Times New Roman"/>
          <w:color w:val="auto"/>
        </w:rPr>
        <w:t>Transpozíciou</w:t>
      </w:r>
      <w:r w:rsidRPr="00992309" w:rsidR="00E726F5">
        <w:rPr>
          <w:rFonts w:ascii="Times New Roman" w:hAnsi="Times New Roman"/>
          <w:color w:val="auto"/>
        </w:rPr>
        <w:t xml:space="preserve"> </w:t>
      </w:r>
      <w:r w:rsidRPr="00992309" w:rsidR="00FE52EF">
        <w:rPr>
          <w:rFonts w:ascii="Times New Roman" w:hAnsi="Times New Roman"/>
          <w:color w:val="auto"/>
        </w:rPr>
        <w:t>smernice sa rozšíril okruh legálnych definícií</w:t>
      </w:r>
      <w:r w:rsidRPr="00992309">
        <w:rPr>
          <w:rFonts w:ascii="Times New Roman" w:hAnsi="Times New Roman"/>
          <w:color w:val="auto"/>
        </w:rPr>
        <w:t xml:space="preserve">, ktoré majú za cieľ </w:t>
      </w:r>
      <w:r w:rsidRPr="00992309" w:rsidR="00B37175">
        <w:rPr>
          <w:rFonts w:ascii="Times New Roman" w:hAnsi="Times New Roman"/>
          <w:color w:val="auto"/>
        </w:rPr>
        <w:t>zrozumiteľný</w:t>
      </w:r>
      <w:r w:rsidRPr="00992309">
        <w:rPr>
          <w:rFonts w:ascii="Times New Roman" w:hAnsi="Times New Roman"/>
          <w:color w:val="auto"/>
        </w:rPr>
        <w:t xml:space="preserve"> výklad ustanovení zákona a ich </w:t>
      </w:r>
      <w:r w:rsidRPr="00992309" w:rsidR="00F87FD3">
        <w:rPr>
          <w:rFonts w:ascii="Times New Roman" w:hAnsi="Times New Roman"/>
          <w:color w:val="auto"/>
        </w:rPr>
        <w:t xml:space="preserve">jednoznačnú </w:t>
      </w:r>
      <w:r w:rsidRPr="00992309">
        <w:rPr>
          <w:rFonts w:ascii="Times New Roman" w:hAnsi="Times New Roman"/>
          <w:color w:val="auto"/>
        </w:rPr>
        <w:t xml:space="preserve">aplikáciu v praxi. </w:t>
      </w:r>
    </w:p>
    <w:p w:rsidR="00E726F5" w:rsidP="00992309">
      <w:pPr>
        <w:bidi w:val="0"/>
        <w:spacing w:before="100" w:beforeAutospacing="1" w:after="240"/>
        <w:jc w:val="both"/>
        <w:rPr>
          <w:rFonts w:ascii="Times New Roman" w:hAnsi="Times New Roman"/>
          <w:color w:val="auto"/>
        </w:rPr>
      </w:pPr>
      <w:r w:rsidRPr="00992309" w:rsidR="00FE52EF">
        <w:rPr>
          <w:rFonts w:ascii="Times New Roman" w:hAnsi="Times New Roman"/>
          <w:color w:val="auto"/>
        </w:rPr>
        <w:t xml:space="preserve">Službami viazanými na platobný účet sa rozumejú všetky </w:t>
      </w:r>
      <w:r w:rsidRPr="00992309" w:rsidR="00AB50C8">
        <w:rPr>
          <w:rFonts w:ascii="Times New Roman" w:hAnsi="Times New Roman"/>
          <w:color w:val="auto"/>
        </w:rPr>
        <w:t xml:space="preserve">platobné služby a </w:t>
      </w:r>
      <w:r w:rsidRPr="00992309" w:rsidR="00FE52EF">
        <w:rPr>
          <w:rFonts w:ascii="Times New Roman" w:hAnsi="Times New Roman"/>
          <w:color w:val="auto"/>
        </w:rPr>
        <w:t xml:space="preserve">služby, </w:t>
      </w:r>
      <w:r w:rsidRPr="00992309" w:rsidR="00E94BBA">
        <w:rPr>
          <w:rFonts w:ascii="Times New Roman" w:hAnsi="Times New Roman"/>
          <w:color w:val="auto"/>
        </w:rPr>
        <w:t>ktoré</w:t>
      </w:r>
      <w:r w:rsidRPr="00992309" w:rsidR="00FE52EF">
        <w:rPr>
          <w:rFonts w:ascii="Times New Roman" w:hAnsi="Times New Roman"/>
          <w:color w:val="auto"/>
        </w:rPr>
        <w:t xml:space="preserve"> súvisia s</w:t>
      </w:r>
      <w:r w:rsidRPr="00992309" w:rsidR="00E94BBA">
        <w:rPr>
          <w:rFonts w:ascii="Times New Roman" w:hAnsi="Times New Roman"/>
          <w:color w:val="auto"/>
        </w:rPr>
        <w:t xml:space="preserve">o zriadením, </w:t>
      </w:r>
      <w:r w:rsidRPr="00992309" w:rsidR="00FA3263">
        <w:rPr>
          <w:rFonts w:ascii="Times New Roman" w:hAnsi="Times New Roman"/>
          <w:color w:val="auto"/>
        </w:rPr>
        <w:t> a </w:t>
      </w:r>
      <w:r w:rsidRPr="00992309" w:rsidR="00E94BBA">
        <w:rPr>
          <w:rFonts w:ascii="Times New Roman" w:hAnsi="Times New Roman"/>
          <w:color w:val="auto"/>
        </w:rPr>
        <w:t>zrušením platobného účtu ako napr. otvorenie nového</w:t>
      </w:r>
      <w:r w:rsidRPr="00992309" w:rsidR="00FE52EF">
        <w:rPr>
          <w:rFonts w:ascii="Times New Roman" w:hAnsi="Times New Roman"/>
          <w:color w:val="auto"/>
        </w:rPr>
        <w:t> </w:t>
      </w:r>
      <w:r w:rsidRPr="00992309" w:rsidR="00E94BBA">
        <w:rPr>
          <w:rFonts w:ascii="Times New Roman" w:hAnsi="Times New Roman"/>
          <w:color w:val="auto"/>
        </w:rPr>
        <w:t xml:space="preserve"> platobného účtu, mesačný poplatok za vedenie platobného účtu</w:t>
      </w:r>
      <w:r w:rsidRPr="00992309" w:rsidR="00FE52EF">
        <w:rPr>
          <w:rFonts w:ascii="Times New Roman" w:hAnsi="Times New Roman"/>
          <w:color w:val="auto"/>
        </w:rPr>
        <w:t>, poplatok za výpis z účtu, alebo poplatok za zmenu dispoz</w:t>
      </w:r>
      <w:r w:rsidRPr="00992309" w:rsidR="00E94BBA">
        <w:rPr>
          <w:rFonts w:ascii="Times New Roman" w:hAnsi="Times New Roman"/>
          <w:color w:val="auto"/>
        </w:rPr>
        <w:t>ičných oprávnení k platobnému účtu.</w:t>
      </w:r>
      <w:r w:rsidRPr="00992309" w:rsidR="004712C6">
        <w:rPr>
          <w:rFonts w:ascii="Times New Roman" w:hAnsi="Times New Roman"/>
          <w:color w:val="auto"/>
        </w:rPr>
        <w:t xml:space="preserve"> </w:t>
      </w:r>
    </w:p>
    <w:p w:rsidR="002234B9" w:rsidRPr="00992309" w:rsidP="00992309">
      <w:pPr>
        <w:bidi w:val="0"/>
        <w:spacing w:before="100" w:beforeAutospacing="1" w:after="240"/>
        <w:jc w:val="both"/>
        <w:rPr>
          <w:rFonts w:ascii="Times New Roman" w:hAnsi="Times New Roman"/>
          <w:color w:val="auto"/>
        </w:rPr>
      </w:pPr>
      <w:r w:rsidRPr="00992309">
        <w:rPr>
          <w:rFonts w:ascii="Times New Roman" w:hAnsi="Times New Roman"/>
          <w:color w:val="auto"/>
        </w:rPr>
        <w:t>Prekročením sa rozumie automaticky prijaté prečerpanie, pri ktorom poskytovateľ platobných služieb umožňuje spotrebiteľovi disponovať finančnými prostriedkami nad rámec aktuálneho zostatku alebo nad rámec dohodnutého povoleného prečerpania.</w:t>
      </w:r>
    </w:p>
    <w:p w:rsidR="002234B9" w:rsidRPr="00992309" w:rsidP="00992309">
      <w:pPr>
        <w:bidi w:val="0"/>
        <w:spacing w:before="100" w:beforeAutospacing="1" w:after="240"/>
        <w:jc w:val="both"/>
        <w:rPr>
          <w:rFonts w:ascii="Times New Roman" w:hAnsi="Times New Roman"/>
          <w:color w:val="auto"/>
        </w:rPr>
      </w:pPr>
      <w:r w:rsidRPr="00992309">
        <w:rPr>
          <w:rFonts w:ascii="Times New Roman" w:hAnsi="Times New Roman"/>
          <w:color w:val="auto"/>
        </w:rPr>
        <w:t>Prečerpaním sa jedná o výslovnú dohodu, na základe ktorej veriteľ umožňuje spotrebiteľovi disponovať s finančnými prostriedkami nad rámec aktuálneho zostatku platobného účtu. Pod tento typ patrí napr. dnes už bežne používaný tzv. kontokorentný úver.</w:t>
      </w:r>
    </w:p>
    <w:p w:rsidR="00E94BBA" w:rsidRPr="00992309" w:rsidP="00992309">
      <w:pPr>
        <w:bidi w:val="0"/>
        <w:spacing w:before="100" w:beforeAutospacing="1" w:after="240"/>
        <w:jc w:val="both"/>
        <w:rPr>
          <w:rFonts w:ascii="Times New Roman" w:hAnsi="Times New Roman"/>
          <w:color w:val="auto"/>
        </w:rPr>
      </w:pPr>
      <w:r w:rsidRPr="00992309">
        <w:rPr>
          <w:rFonts w:ascii="Times New Roman" w:hAnsi="Times New Roman"/>
          <w:color w:val="auto"/>
        </w:rPr>
        <w:t xml:space="preserve">Definovaním poplatku sa zavádza do zákona bežne používaný pojem, ktorý bolo nutné vymedziť vo vzťahu k úprave porovnateľnosti poplatkov, predovšetkým k novo zavedenej povinnosti zasielania výpisu poplatkov spotrebiteľa. Poplatok je definovaný široko, pričom je zohľadnené, že </w:t>
      </w:r>
      <w:r w:rsidRPr="00992309" w:rsidR="00FA3263">
        <w:rPr>
          <w:rFonts w:ascii="Times New Roman" w:hAnsi="Times New Roman"/>
          <w:color w:val="auto"/>
        </w:rPr>
        <w:t>ide</w:t>
      </w:r>
      <w:r w:rsidRPr="00992309">
        <w:rPr>
          <w:rFonts w:ascii="Times New Roman" w:hAnsi="Times New Roman"/>
          <w:color w:val="auto"/>
        </w:rPr>
        <w:t xml:space="preserve"> o sumu vyjadrenú pevnou sumou, ale i percentuálne, ale aj o sankcie ukladané zo strany poskytovateľa platobných služieb. </w:t>
      </w:r>
    </w:p>
    <w:p w:rsidR="00B14751" w:rsidRPr="00992309" w:rsidP="00992309">
      <w:pPr>
        <w:bidi w:val="0"/>
        <w:spacing w:before="100" w:beforeAutospacing="1" w:after="240"/>
        <w:jc w:val="both"/>
        <w:rPr>
          <w:rFonts w:ascii="Times New Roman" w:hAnsi="Times New Roman"/>
          <w:b/>
          <w:bCs/>
          <w:color w:val="auto"/>
        </w:rPr>
      </w:pPr>
      <w:r w:rsidRPr="00992309">
        <w:rPr>
          <w:rFonts w:ascii="Times New Roman" w:hAnsi="Times New Roman"/>
          <w:b/>
          <w:bCs/>
          <w:color w:val="auto"/>
        </w:rPr>
        <w:t>K</w:t>
      </w:r>
      <w:r w:rsidR="00EF3A99">
        <w:rPr>
          <w:rFonts w:ascii="Times New Roman" w:hAnsi="Times New Roman"/>
          <w:b/>
          <w:bCs/>
          <w:color w:val="auto"/>
        </w:rPr>
        <w:t xml:space="preserve"> bodu </w:t>
      </w:r>
      <w:r w:rsidR="00911FD7">
        <w:rPr>
          <w:rFonts w:ascii="Times New Roman" w:hAnsi="Times New Roman"/>
          <w:b/>
          <w:bCs/>
          <w:color w:val="auto"/>
        </w:rPr>
        <w:t>8</w:t>
      </w:r>
    </w:p>
    <w:p w:rsidR="004712C6" w:rsidRPr="00992309" w:rsidP="00992309">
      <w:pPr>
        <w:bidi w:val="0"/>
        <w:spacing w:before="100" w:beforeAutospacing="1" w:after="240"/>
        <w:jc w:val="both"/>
        <w:rPr>
          <w:rFonts w:ascii="Times New Roman" w:hAnsi="Times New Roman"/>
          <w:bCs/>
          <w:color w:val="auto"/>
        </w:rPr>
      </w:pPr>
      <w:r w:rsidRPr="00992309">
        <w:rPr>
          <w:rFonts w:ascii="Times New Roman" w:hAnsi="Times New Roman"/>
          <w:bCs/>
          <w:color w:val="auto"/>
        </w:rPr>
        <w:t>Návrhom zákona sa rozširuje okruh informácií, ktoré má obsahovať rámcová zmluva.</w:t>
      </w:r>
    </w:p>
    <w:p w:rsidR="00911FD7" w:rsidP="00992309">
      <w:pPr>
        <w:bidi w:val="0"/>
        <w:spacing w:before="100" w:beforeAutospacing="1" w:after="240"/>
        <w:jc w:val="both"/>
        <w:rPr>
          <w:rFonts w:ascii="Times New Roman" w:hAnsi="Times New Roman"/>
          <w:b/>
          <w:bCs/>
          <w:color w:val="auto"/>
        </w:rPr>
      </w:pPr>
      <w:r w:rsidR="00EF3A99">
        <w:rPr>
          <w:rFonts w:ascii="Times New Roman" w:hAnsi="Times New Roman"/>
          <w:b/>
          <w:bCs/>
          <w:color w:val="auto"/>
        </w:rPr>
        <w:t xml:space="preserve">K bodu </w:t>
      </w:r>
      <w:r>
        <w:rPr>
          <w:rFonts w:ascii="Times New Roman" w:hAnsi="Times New Roman"/>
          <w:b/>
          <w:bCs/>
          <w:color w:val="auto"/>
        </w:rPr>
        <w:t>9</w:t>
      </w:r>
    </w:p>
    <w:p w:rsidR="00614276" w:rsidRPr="001E4D3F" w:rsidP="00992309">
      <w:pPr>
        <w:bidi w:val="0"/>
        <w:spacing w:before="100" w:beforeAutospacing="1" w:after="240"/>
        <w:jc w:val="both"/>
        <w:rPr>
          <w:rFonts w:ascii="Times New Roman" w:hAnsi="Times New Roman"/>
          <w:bCs/>
          <w:color w:val="auto"/>
        </w:rPr>
      </w:pPr>
      <w:r w:rsidRPr="001E4D3F" w:rsidR="00911FD7">
        <w:rPr>
          <w:rFonts w:ascii="Times New Roman" w:hAnsi="Times New Roman"/>
          <w:bCs/>
          <w:color w:val="auto"/>
        </w:rPr>
        <w:t>Ide o osobitnú úpravu začiatku plynutia výpovednej lehoty v prípade presunu platobného účtu spotrebiteľa.</w:t>
      </w:r>
    </w:p>
    <w:p w:rsidR="00911FD7" w:rsidRPr="001E4D3F" w:rsidP="00992309">
      <w:pPr>
        <w:bidi w:val="0"/>
        <w:spacing w:before="100" w:beforeAutospacing="1" w:after="240"/>
        <w:jc w:val="both"/>
        <w:rPr>
          <w:rFonts w:ascii="Times New Roman" w:hAnsi="Times New Roman"/>
          <w:b/>
          <w:bCs/>
          <w:color w:val="auto"/>
        </w:rPr>
      </w:pPr>
      <w:r w:rsidRPr="00911FD7">
        <w:rPr>
          <w:rFonts w:ascii="Times New Roman" w:hAnsi="Times New Roman"/>
          <w:b/>
          <w:bCs/>
          <w:color w:val="auto"/>
        </w:rPr>
        <w:t xml:space="preserve">K bodu </w:t>
      </w:r>
      <w:r>
        <w:rPr>
          <w:rFonts w:ascii="Times New Roman" w:hAnsi="Times New Roman"/>
          <w:b/>
          <w:bCs/>
          <w:color w:val="auto"/>
        </w:rPr>
        <w:t>10</w:t>
      </w:r>
    </w:p>
    <w:p w:rsidR="004A55B1" w:rsidRPr="00992309" w:rsidP="00992309">
      <w:pPr>
        <w:bidi w:val="0"/>
        <w:spacing w:before="100" w:beforeAutospacing="1" w:after="240"/>
        <w:jc w:val="both"/>
        <w:rPr>
          <w:rFonts w:ascii="Times New Roman" w:hAnsi="Times New Roman"/>
          <w:bCs/>
          <w:color w:val="auto"/>
        </w:rPr>
      </w:pPr>
      <w:r w:rsidRPr="00992309">
        <w:rPr>
          <w:rFonts w:ascii="Times New Roman" w:hAnsi="Times New Roman"/>
          <w:bCs/>
          <w:color w:val="auto"/>
        </w:rPr>
        <w:t>V návrhu úpravy ustanovenia § 33 ods. 2 ide o uplatnenie národnej voľby podľa článku 45 ods. 6  Smernice Európskeho parlamentu a Rady 2007/64/ES o platobných službách na vnútornom trhu, ktorou sa menia</w:t>
      </w:r>
      <w:r w:rsidRPr="00992309" w:rsidR="007F5844">
        <w:rPr>
          <w:rFonts w:ascii="Times New Roman" w:hAnsi="Times New Roman"/>
          <w:bCs/>
          <w:color w:val="auto"/>
        </w:rPr>
        <w:t xml:space="preserve"> </w:t>
      </w:r>
      <w:r w:rsidRPr="00992309">
        <w:rPr>
          <w:rFonts w:ascii="Times New Roman" w:hAnsi="Times New Roman"/>
          <w:bCs/>
          <w:color w:val="auto"/>
        </w:rPr>
        <w:t xml:space="preserve">a dopĺňajú smernice 97/7/ES, 2002/65/ES, 2005/60/ES </w:t>
      </w:r>
      <w:r w:rsidR="001C576C">
        <w:rPr>
          <w:rFonts w:ascii="Times New Roman" w:hAnsi="Times New Roman"/>
          <w:bCs/>
          <w:color w:val="auto"/>
        </w:rPr>
        <w:t xml:space="preserve">          </w:t>
      </w:r>
      <w:r w:rsidRPr="00992309">
        <w:rPr>
          <w:rFonts w:ascii="Times New Roman" w:hAnsi="Times New Roman"/>
          <w:bCs/>
          <w:color w:val="auto"/>
        </w:rPr>
        <w:t xml:space="preserve">a 2006/48/ES a ktorou sa zrušuje smernica 97/5/ES, ktorá umožňuje priaznivejšiu úpravu </w:t>
      </w:r>
      <w:r w:rsidR="001C576C">
        <w:rPr>
          <w:rFonts w:ascii="Times New Roman" w:hAnsi="Times New Roman"/>
          <w:bCs/>
          <w:color w:val="auto"/>
        </w:rPr>
        <w:t xml:space="preserve">        </w:t>
      </w:r>
      <w:r w:rsidRPr="00992309">
        <w:rPr>
          <w:rFonts w:ascii="Times New Roman" w:hAnsi="Times New Roman"/>
          <w:bCs/>
          <w:color w:val="auto"/>
        </w:rPr>
        <w:t xml:space="preserve">vo vzťahu k vypovedaniu rámcovej zmluvy. Zmena sa zavádza aj z dôvodu zjednodušenia presunu účtu a zabezpečenia rovnosti možností používateľov platobných služieb.  </w:t>
      </w:r>
    </w:p>
    <w:p w:rsidR="00AE2949" w:rsidRPr="00992309" w:rsidP="00992309">
      <w:pPr>
        <w:bidi w:val="0"/>
        <w:spacing w:before="100" w:beforeAutospacing="1" w:after="240"/>
        <w:jc w:val="both"/>
        <w:rPr>
          <w:rFonts w:ascii="Times New Roman" w:hAnsi="Times New Roman"/>
          <w:b/>
          <w:bCs/>
          <w:color w:val="auto"/>
        </w:rPr>
      </w:pPr>
      <w:r w:rsidRPr="00992309">
        <w:rPr>
          <w:rFonts w:ascii="Times New Roman" w:hAnsi="Times New Roman"/>
          <w:b/>
          <w:bCs/>
          <w:color w:val="auto"/>
        </w:rPr>
        <w:t>K bodu</w:t>
      </w:r>
      <w:r w:rsidR="00BA4DB1">
        <w:rPr>
          <w:rFonts w:ascii="Times New Roman" w:hAnsi="Times New Roman"/>
          <w:b/>
          <w:bCs/>
          <w:color w:val="auto"/>
        </w:rPr>
        <w:t xml:space="preserve"> 11</w:t>
      </w:r>
    </w:p>
    <w:p w:rsidR="00A80F48" w:rsidRPr="00992309" w:rsidP="00992309">
      <w:pPr>
        <w:bidi w:val="0"/>
        <w:spacing w:before="100" w:beforeAutospacing="1" w:after="240"/>
        <w:jc w:val="both"/>
        <w:rPr>
          <w:rFonts w:ascii="Times New Roman" w:hAnsi="Times New Roman"/>
          <w:bCs/>
          <w:color w:val="auto"/>
        </w:rPr>
      </w:pPr>
      <w:r w:rsidRPr="00992309">
        <w:rPr>
          <w:rFonts w:ascii="Times New Roman" w:hAnsi="Times New Roman"/>
          <w:bCs/>
          <w:color w:val="auto"/>
        </w:rPr>
        <w:t xml:space="preserve">Rozširujú sa povinnosti poskytovateľa platobných služieb o používanie terminológie zoznamu obsahujúceho najčastejšie používané služby platobného účtu a o povinnosť predkladania výkazov, hlásení a správ Národnej banke Slovenska, pričom uvedené ustanovenie sa premieta aj do vydania opatrenia </w:t>
      </w:r>
      <w:r w:rsidRPr="00992309" w:rsidR="00317FA8">
        <w:rPr>
          <w:rFonts w:ascii="Times New Roman" w:hAnsi="Times New Roman"/>
          <w:color w:val="auto"/>
        </w:rPr>
        <w:t xml:space="preserve"> </w:t>
      </w:r>
      <w:r w:rsidRPr="00992309" w:rsidR="00317FA8">
        <w:rPr>
          <w:rFonts w:ascii="Times New Roman" w:hAnsi="Times New Roman"/>
          <w:bCs/>
          <w:color w:val="auto"/>
        </w:rPr>
        <w:t>Národnej banky Slovenska (ďalej len „NBS“)</w:t>
      </w:r>
      <w:r w:rsidRPr="00992309">
        <w:rPr>
          <w:rFonts w:ascii="Times New Roman" w:hAnsi="Times New Roman"/>
          <w:bCs/>
          <w:color w:val="auto"/>
        </w:rPr>
        <w:t xml:space="preserve">. </w:t>
      </w:r>
    </w:p>
    <w:p w:rsidR="00AE2949" w:rsidRPr="00992309" w:rsidP="00992309">
      <w:pPr>
        <w:bidi w:val="0"/>
        <w:spacing w:before="100" w:beforeAutospacing="1" w:after="240"/>
        <w:jc w:val="both"/>
        <w:rPr>
          <w:rFonts w:ascii="Times New Roman" w:hAnsi="Times New Roman"/>
          <w:b/>
          <w:bCs/>
          <w:color w:val="auto"/>
        </w:rPr>
      </w:pPr>
      <w:r w:rsidRPr="00992309">
        <w:rPr>
          <w:rFonts w:ascii="Times New Roman" w:hAnsi="Times New Roman"/>
          <w:b/>
          <w:bCs/>
          <w:color w:val="auto"/>
        </w:rPr>
        <w:t xml:space="preserve">K bodu </w:t>
      </w:r>
      <w:r w:rsidR="00BA4DB1">
        <w:rPr>
          <w:rFonts w:ascii="Times New Roman" w:hAnsi="Times New Roman"/>
          <w:b/>
          <w:bCs/>
          <w:color w:val="auto"/>
        </w:rPr>
        <w:t>12</w:t>
      </w:r>
    </w:p>
    <w:p w:rsidR="00C62E62" w:rsidRPr="008539D9" w:rsidP="00992309">
      <w:pPr>
        <w:bidi w:val="0"/>
        <w:spacing w:before="100" w:beforeAutospacing="1" w:after="240"/>
        <w:jc w:val="both"/>
        <w:rPr>
          <w:rFonts w:ascii="Times New Roman" w:hAnsi="Times New Roman"/>
          <w:bCs/>
          <w:color w:val="auto"/>
        </w:rPr>
      </w:pPr>
      <w:r w:rsidRPr="00992309" w:rsidR="00EB4613">
        <w:rPr>
          <w:rFonts w:ascii="Times New Roman" w:hAnsi="Times New Roman"/>
          <w:bCs/>
          <w:color w:val="auto"/>
        </w:rPr>
        <w:t xml:space="preserve">Poskytovateľ platobných služieb má povinnosť </w:t>
      </w:r>
      <w:r w:rsidRPr="007228E5" w:rsidR="007228E5">
        <w:rPr>
          <w:rFonts w:ascii="Times New Roman" w:hAnsi="Times New Roman"/>
          <w:bCs/>
          <w:color w:val="auto"/>
        </w:rPr>
        <w:t>v dostatočnom predstihu pred uzavretím akejkoľvek rámcovej zmluvy alebo pred vyjadrením ponuky v listinnej podobe alebo na inom trvanlivom médiu</w:t>
      </w:r>
      <w:r w:rsidRPr="007228E5" w:rsidR="007228E5">
        <w:rPr>
          <w:rFonts w:ascii="Times New Roman" w:hAnsi="Times New Roman"/>
          <w:bCs/>
          <w:color w:val="auto"/>
        </w:rPr>
        <w:t xml:space="preserve"> </w:t>
      </w:r>
      <w:r w:rsidR="007228E5">
        <w:rPr>
          <w:rFonts w:ascii="Times New Roman" w:hAnsi="Times New Roman"/>
          <w:bCs/>
          <w:color w:val="auto"/>
        </w:rPr>
        <w:t xml:space="preserve">poskytnúť </w:t>
      </w:r>
      <w:r w:rsidRPr="00992309" w:rsidR="00EB4613">
        <w:rPr>
          <w:rFonts w:ascii="Times New Roman" w:hAnsi="Times New Roman"/>
          <w:bCs/>
          <w:color w:val="auto"/>
        </w:rPr>
        <w:t>spotrebiteľovi</w:t>
      </w:r>
      <w:r w:rsidRPr="00992309" w:rsidR="002E4642">
        <w:rPr>
          <w:rFonts w:ascii="Times New Roman" w:hAnsi="Times New Roman"/>
          <w:bCs/>
          <w:color w:val="auto"/>
        </w:rPr>
        <w:t xml:space="preserve"> </w:t>
      </w:r>
      <w:r w:rsidRPr="00992309" w:rsidR="00EB4613">
        <w:rPr>
          <w:rFonts w:ascii="Times New Roman" w:hAnsi="Times New Roman"/>
          <w:bCs/>
          <w:color w:val="auto"/>
        </w:rPr>
        <w:t xml:space="preserve">dokument s označením „Dokument </w:t>
      </w:r>
      <w:r w:rsidRPr="00992309" w:rsidR="00FA3263">
        <w:rPr>
          <w:rFonts w:ascii="Times New Roman" w:hAnsi="Times New Roman"/>
          <w:bCs/>
          <w:color w:val="auto"/>
        </w:rPr>
        <w:t> s </w:t>
      </w:r>
      <w:r w:rsidRPr="00992309" w:rsidR="00EB4613">
        <w:rPr>
          <w:rFonts w:ascii="Times New Roman" w:hAnsi="Times New Roman"/>
          <w:bCs/>
          <w:color w:val="auto"/>
        </w:rPr>
        <w:t xml:space="preserve">informáciami o poplatkoch“ so spoločným symbolom na základe vykonávacích technických predpisov Európskej komisie. Nie je vylúčené súčasné uvádzanie komerčných, marketingových názvov pre jednotlivé platobné služby. Imanentnou súčasťou predmetného dokumentu je aj </w:t>
      </w:r>
      <w:r w:rsidR="007228E5">
        <w:rPr>
          <w:rFonts w:ascii="Times New Roman" w:hAnsi="Times New Roman"/>
          <w:bCs/>
          <w:color w:val="auto"/>
        </w:rPr>
        <w:t>informácia</w:t>
      </w:r>
      <w:r w:rsidRPr="007228E5" w:rsidR="007228E5">
        <w:rPr>
          <w:rFonts w:ascii="Times New Roman" w:hAnsi="Times New Roman"/>
          <w:bCs/>
          <w:color w:val="auto"/>
        </w:rPr>
        <w:t xml:space="preserve"> o práve spotrebiteľa na poskytnutie slovníku štandardizovanej </w:t>
      </w:r>
      <w:r w:rsidRPr="008539D9" w:rsidR="007228E5">
        <w:rPr>
          <w:rFonts w:ascii="Times New Roman" w:hAnsi="Times New Roman"/>
          <w:bCs/>
          <w:color w:val="auto"/>
        </w:rPr>
        <w:t>terminológie s výkladom jednotlivých termínov a pojmov používaných v zozname,</w:t>
      </w:r>
      <w:r w:rsidRPr="008539D9" w:rsidR="00EB4613">
        <w:rPr>
          <w:rFonts w:ascii="Times New Roman" w:hAnsi="Times New Roman"/>
          <w:bCs/>
          <w:color w:val="auto"/>
        </w:rPr>
        <w:t xml:space="preserve"> ktorý má slúžiť ako spotrebiteľská pomôcka, ktorá umožní identifikovať obsah služby. Zákon osobitne upravuje identifikáciu balíka služieb v dokumente a súčasne zavádza bezplatnosť poskytovania uvedeného dokumentu. S ohľadom na povinnosti poskytovateľa platobných služieb sa môžu</w:t>
      </w:r>
      <w:r w:rsidRPr="008539D9" w:rsidR="00C6532C">
        <w:rPr>
          <w:rFonts w:ascii="Times New Roman" w:hAnsi="Times New Roman"/>
          <w:bCs/>
          <w:color w:val="auto"/>
        </w:rPr>
        <w:t xml:space="preserve"> informácie</w:t>
      </w:r>
      <w:r w:rsidRPr="008539D9" w:rsidR="00FA3263">
        <w:rPr>
          <w:rFonts w:ascii="Times New Roman" w:hAnsi="Times New Roman"/>
          <w:bCs/>
          <w:color w:val="auto"/>
        </w:rPr>
        <w:t>,</w:t>
      </w:r>
      <w:r w:rsidRPr="008539D9" w:rsidR="00C6532C">
        <w:rPr>
          <w:rFonts w:ascii="Times New Roman" w:hAnsi="Times New Roman"/>
          <w:bCs/>
          <w:color w:val="auto"/>
        </w:rPr>
        <w:t xml:space="preserve"> ktoré poskytuje pred uzatvorením rámcovej zmluvy</w:t>
      </w:r>
      <w:r w:rsidRPr="008539D9" w:rsidR="002E4642">
        <w:rPr>
          <w:rFonts w:ascii="Times New Roman" w:hAnsi="Times New Roman"/>
          <w:bCs/>
          <w:color w:val="auto"/>
        </w:rPr>
        <w:t xml:space="preserve"> </w:t>
      </w:r>
      <w:r w:rsidRPr="008539D9" w:rsidR="00C6532C">
        <w:rPr>
          <w:rFonts w:ascii="Times New Roman" w:hAnsi="Times New Roman"/>
          <w:bCs/>
          <w:color w:val="auto"/>
        </w:rPr>
        <w:t>so spotrebiteľom poskytnúť súčasne s dokumentom s informáciami o poplatko</w:t>
      </w:r>
      <w:r w:rsidRPr="008539D9" w:rsidR="00317FA8">
        <w:rPr>
          <w:rFonts w:ascii="Times New Roman" w:hAnsi="Times New Roman"/>
          <w:bCs/>
          <w:color w:val="auto"/>
        </w:rPr>
        <w:t>ch</w:t>
      </w:r>
      <w:r w:rsidRPr="008539D9" w:rsidR="00C6532C">
        <w:rPr>
          <w:rFonts w:ascii="Times New Roman" w:hAnsi="Times New Roman"/>
          <w:bCs/>
          <w:color w:val="auto"/>
        </w:rPr>
        <w:t>, za dodržania</w:t>
      </w:r>
      <w:r w:rsidRPr="008539D9" w:rsidR="00EB4613">
        <w:rPr>
          <w:rFonts w:ascii="Times New Roman" w:hAnsi="Times New Roman"/>
          <w:bCs/>
          <w:color w:val="auto"/>
        </w:rPr>
        <w:t xml:space="preserve"> formálnej ako aj obsahovej st</w:t>
      </w:r>
      <w:r w:rsidRPr="008539D9" w:rsidR="00C6532C">
        <w:rPr>
          <w:rFonts w:ascii="Times New Roman" w:hAnsi="Times New Roman"/>
          <w:bCs/>
          <w:color w:val="auto"/>
        </w:rPr>
        <w:t>ránky poskytovaných informácií.</w:t>
      </w:r>
    </w:p>
    <w:p w:rsidR="001B106F" w:rsidRPr="008539D9" w:rsidP="00992309">
      <w:pPr>
        <w:bidi w:val="0"/>
        <w:spacing w:before="100" w:beforeAutospacing="1" w:after="240"/>
        <w:jc w:val="both"/>
        <w:rPr>
          <w:rFonts w:ascii="Times New Roman" w:hAnsi="Times New Roman"/>
          <w:bCs/>
          <w:color w:val="auto"/>
        </w:rPr>
      </w:pPr>
      <w:r w:rsidRPr="008539D9">
        <w:rPr>
          <w:rFonts w:ascii="Times New Roman" w:hAnsi="Times New Roman"/>
          <w:bCs/>
          <w:color w:val="auto"/>
        </w:rPr>
        <w:t>Štandardizovaná terminológia zoznamu je vytvorená procesom, kedy NBS zozbiera na základe usmernenia Európskeho orgánu pre dohľad najtypickejšie poplatky za služby viazané na platobné účty, následne po spracovaní a prijatí regulačných technických predpisov Komisie bude spoločná terminológia ustanovená a zapracovaná do zoznamu, ktorý bude zverejnený NBS.</w:t>
      </w:r>
    </w:p>
    <w:p w:rsidR="008539D9" w:rsidRPr="001B106F" w:rsidP="00992309">
      <w:pPr>
        <w:bidi w:val="0"/>
        <w:spacing w:before="100" w:beforeAutospacing="1" w:after="240"/>
        <w:jc w:val="both"/>
        <w:rPr>
          <w:rFonts w:ascii="Times New Roman" w:hAnsi="Times New Roman"/>
          <w:bCs/>
          <w:color w:val="FF0000"/>
        </w:rPr>
      </w:pPr>
      <w:r w:rsidRPr="008539D9">
        <w:rPr>
          <w:rFonts w:ascii="Times New Roman" w:hAnsi="Times New Roman"/>
          <w:bCs/>
          <w:color w:val="auto"/>
        </w:rPr>
        <w:t>Vyhlásenie poskytovateľa platobných služieb</w:t>
      </w:r>
      <w:r w:rsidR="00381942">
        <w:rPr>
          <w:rFonts w:ascii="Times New Roman" w:hAnsi="Times New Roman"/>
        </w:rPr>
        <w:t>, že d</w:t>
      </w:r>
      <w:r w:rsidRPr="00381942" w:rsidR="00381942">
        <w:rPr>
          <w:rFonts w:ascii="Times New Roman" w:hAnsi="Times New Roman"/>
          <w:bCs/>
          <w:color w:val="auto"/>
        </w:rPr>
        <w:t>okument s informáciami o poplatkoch za služby viazané na platobný účet</w:t>
      </w:r>
      <w:r w:rsidRPr="008539D9">
        <w:rPr>
          <w:rFonts w:ascii="Times New Roman" w:hAnsi="Times New Roman"/>
          <w:bCs/>
          <w:color w:val="auto"/>
        </w:rPr>
        <w:t xml:space="preserve"> obsahuje poplatky za najtypickejšie služby viazané na platobný účet, a informácie pred uzatvorením rámcovej zmluvy a informácie, ktoré obsahuje rámcová zmluva o všetkých službách viazaných na platobný účet, sa uvádzajú v iných zrozumiteľne označených dokumentoch,</w:t>
      </w:r>
      <w:r>
        <w:rPr>
          <w:rFonts w:ascii="Times New Roman" w:hAnsi="Times New Roman"/>
          <w:bCs/>
          <w:color w:val="auto"/>
        </w:rPr>
        <w:t xml:space="preserve"> má za cieľ zabezpečiť rozlíšenie od právne záväzných dokumentov, ako je napríklad rámcová zmluva medzi poskytovateľom platobných služieb a spotrebiteľom. </w:t>
      </w:r>
    </w:p>
    <w:p w:rsidR="00614276" w:rsidRPr="00992309" w:rsidP="00992309">
      <w:pPr>
        <w:bidi w:val="0"/>
        <w:spacing w:before="100" w:beforeAutospacing="1" w:after="240"/>
        <w:jc w:val="both"/>
        <w:rPr>
          <w:rFonts w:ascii="Times New Roman" w:hAnsi="Times New Roman"/>
          <w:b/>
          <w:bCs/>
          <w:color w:val="auto"/>
        </w:rPr>
      </w:pPr>
      <w:r w:rsidRPr="00992309" w:rsidR="004A55B1">
        <w:rPr>
          <w:rFonts w:ascii="Times New Roman" w:hAnsi="Times New Roman"/>
          <w:b/>
          <w:bCs/>
          <w:color w:val="auto"/>
        </w:rPr>
        <w:t>K bodu 1</w:t>
      </w:r>
      <w:r w:rsidR="007228E5">
        <w:rPr>
          <w:rFonts w:ascii="Times New Roman" w:hAnsi="Times New Roman"/>
          <w:b/>
          <w:bCs/>
          <w:color w:val="auto"/>
        </w:rPr>
        <w:t>3</w:t>
      </w:r>
    </w:p>
    <w:p w:rsidR="00B14751" w:rsidRPr="00992309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bCs/>
          <w:color w:val="auto"/>
        </w:rPr>
      </w:pPr>
      <w:r w:rsidRPr="00992309" w:rsidR="007E04FE">
        <w:rPr>
          <w:rFonts w:ascii="Times New Roman" w:hAnsi="Times New Roman"/>
          <w:bCs/>
          <w:color w:val="auto"/>
        </w:rPr>
        <w:t>Zoznamom služieb viazaných na platobný účet</w:t>
      </w:r>
      <w:r w:rsidRPr="00992309" w:rsidR="00EB4613">
        <w:rPr>
          <w:rFonts w:ascii="Times New Roman" w:hAnsi="Times New Roman"/>
          <w:bCs/>
          <w:color w:val="auto"/>
        </w:rPr>
        <w:t xml:space="preserve"> v § 44a</w:t>
      </w:r>
      <w:r w:rsidRPr="00992309" w:rsidR="007E04FE">
        <w:rPr>
          <w:rFonts w:ascii="Times New Roman" w:hAnsi="Times New Roman"/>
          <w:bCs/>
          <w:color w:val="auto"/>
        </w:rPr>
        <w:t xml:space="preserve"> s</w:t>
      </w:r>
      <w:r w:rsidRPr="00992309" w:rsidR="00513C30">
        <w:rPr>
          <w:rFonts w:ascii="Times New Roman" w:hAnsi="Times New Roman"/>
          <w:bCs/>
          <w:color w:val="auto"/>
        </w:rPr>
        <w:t xml:space="preserve">a </w:t>
      </w:r>
      <w:r w:rsidRPr="00992309">
        <w:rPr>
          <w:rFonts w:ascii="Times New Roman" w:hAnsi="Times New Roman"/>
          <w:bCs/>
          <w:color w:val="auto"/>
        </w:rPr>
        <w:t>vytvára systém porovnateľnosti poplatkov na základe aktívnej spolupráce</w:t>
      </w:r>
      <w:r w:rsidRPr="00992309" w:rsidR="00317FA8">
        <w:rPr>
          <w:rFonts w:ascii="Times New Roman" w:hAnsi="Times New Roman"/>
          <w:bCs/>
          <w:color w:val="auto"/>
        </w:rPr>
        <w:t xml:space="preserve"> NBS</w:t>
      </w:r>
      <w:r w:rsidRPr="00992309" w:rsidR="00C6532C">
        <w:rPr>
          <w:rFonts w:ascii="Times New Roman" w:hAnsi="Times New Roman"/>
          <w:bCs/>
          <w:color w:val="auto"/>
        </w:rPr>
        <w:t>,</w:t>
      </w:r>
      <w:r w:rsidRPr="00992309">
        <w:rPr>
          <w:rFonts w:ascii="Times New Roman" w:hAnsi="Times New Roman"/>
          <w:bCs/>
          <w:color w:val="auto"/>
        </w:rPr>
        <w:t> </w:t>
      </w:r>
      <w:r w:rsidRPr="00992309" w:rsidR="00513C30">
        <w:rPr>
          <w:rFonts w:ascii="Times New Roman" w:hAnsi="Times New Roman"/>
          <w:bCs/>
          <w:color w:val="auto"/>
        </w:rPr>
        <w:t>Európskeho orgánu pre dohľad (Európsky orgán pre bankovníctvo)</w:t>
      </w:r>
      <w:r w:rsidRPr="00992309">
        <w:rPr>
          <w:rFonts w:ascii="Times New Roman" w:hAnsi="Times New Roman"/>
          <w:bCs/>
          <w:color w:val="auto"/>
        </w:rPr>
        <w:t xml:space="preserve"> a Európskej komisie. Uvedený zoznam bude prehodnocovaný na základe usmernení každé 4 roky a o výsledkoch prehodnotenia budú informované príslušné orgány Európsk</w:t>
      </w:r>
      <w:r w:rsidRPr="00992309" w:rsidR="00513C30">
        <w:rPr>
          <w:rFonts w:ascii="Times New Roman" w:hAnsi="Times New Roman"/>
          <w:bCs/>
          <w:color w:val="auto"/>
        </w:rPr>
        <w:t>ej únie</w:t>
      </w:r>
      <w:r w:rsidRPr="00992309">
        <w:rPr>
          <w:rFonts w:ascii="Times New Roman" w:hAnsi="Times New Roman"/>
          <w:bCs/>
          <w:color w:val="auto"/>
        </w:rPr>
        <w:t xml:space="preserve">. </w:t>
      </w:r>
    </w:p>
    <w:p w:rsidR="00A36F68" w:rsidRPr="00992309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bCs/>
          <w:color w:val="auto"/>
        </w:rPr>
      </w:pPr>
      <w:r w:rsidRPr="00992309">
        <w:rPr>
          <w:rFonts w:ascii="Times New Roman" w:hAnsi="Times New Roman"/>
          <w:bCs/>
          <w:color w:val="auto"/>
        </w:rPr>
        <w:t xml:space="preserve">Súčasne je zákonom ukotvená povinnosť </w:t>
      </w:r>
      <w:r w:rsidRPr="00992309" w:rsidR="00716C30">
        <w:rPr>
          <w:rFonts w:ascii="Times New Roman" w:hAnsi="Times New Roman"/>
          <w:bCs/>
          <w:color w:val="auto"/>
        </w:rPr>
        <w:t xml:space="preserve">NBS </w:t>
      </w:r>
      <w:r w:rsidRPr="00992309">
        <w:rPr>
          <w:rFonts w:ascii="Times New Roman" w:hAnsi="Times New Roman"/>
          <w:bCs/>
          <w:color w:val="auto"/>
        </w:rPr>
        <w:t xml:space="preserve">zriadiť na webovom sídle porovnávanie poplatkov k platobným účtom všetkých poskytovateľov platobných služieb, ktorí vykonávajú svoju činnosť na území Slovenskej republiky. </w:t>
      </w:r>
      <w:r w:rsidRPr="00992309" w:rsidR="00716C30">
        <w:rPr>
          <w:rFonts w:ascii="Times New Roman" w:hAnsi="Times New Roman"/>
          <w:bCs/>
          <w:color w:val="auto"/>
        </w:rPr>
        <w:t xml:space="preserve">Na stránke sa uvádza porovnanie jednotlivých poplatkov, ktoré je založené </w:t>
      </w:r>
      <w:r w:rsidRPr="00992309">
        <w:rPr>
          <w:rFonts w:ascii="Times New Roman" w:hAnsi="Times New Roman"/>
          <w:bCs/>
          <w:color w:val="auto"/>
        </w:rPr>
        <w:t>na objektívnych kritériách</w:t>
      </w:r>
      <w:r w:rsidRPr="00992309" w:rsidR="009512F1">
        <w:rPr>
          <w:rFonts w:ascii="Times New Roman" w:hAnsi="Times New Roman"/>
          <w:bCs/>
          <w:color w:val="auto"/>
        </w:rPr>
        <w:t xml:space="preserve"> </w:t>
      </w:r>
      <w:r w:rsidRPr="00992309" w:rsidR="00FA3263">
        <w:rPr>
          <w:rFonts w:ascii="Times New Roman" w:hAnsi="Times New Roman"/>
          <w:bCs/>
          <w:color w:val="auto"/>
        </w:rPr>
        <w:t xml:space="preserve"> s  </w:t>
      </w:r>
      <w:r w:rsidRPr="00992309">
        <w:rPr>
          <w:rFonts w:ascii="Times New Roman" w:hAnsi="Times New Roman"/>
          <w:bCs/>
          <w:color w:val="auto"/>
        </w:rPr>
        <w:t>pravidelne aktualizovaným obsahom stránky.</w:t>
      </w:r>
      <w:r w:rsidRPr="00992309" w:rsidR="00716C30">
        <w:rPr>
          <w:rFonts w:ascii="Times New Roman" w:hAnsi="Times New Roman"/>
          <w:bCs/>
          <w:color w:val="auto"/>
        </w:rPr>
        <w:t xml:space="preserve"> NBS uvádza na stránke dátum poslednej aktualizácie svojho obsahu a tiež uvedie postup, resp. kontaktné údaje pre nahlasovanie nesprávnych informácií zverejnených na uvedenej stránke.</w:t>
      </w:r>
    </w:p>
    <w:p w:rsidR="005265E0" w:rsidRPr="00992309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color w:val="auto"/>
        </w:rPr>
      </w:pPr>
      <w:r w:rsidRPr="00992309" w:rsidR="00EB4613">
        <w:rPr>
          <w:rFonts w:ascii="Times New Roman" w:hAnsi="Times New Roman"/>
          <w:bCs/>
          <w:color w:val="auto"/>
        </w:rPr>
        <w:t>V § 44b</w:t>
      </w:r>
      <w:r w:rsidRPr="00992309" w:rsidR="003834AB">
        <w:rPr>
          <w:rFonts w:ascii="Times New Roman" w:hAnsi="Times New Roman"/>
          <w:bCs/>
          <w:color w:val="auto"/>
        </w:rPr>
        <w:t xml:space="preserve"> sa z</w:t>
      </w:r>
      <w:r w:rsidRPr="00992309" w:rsidR="003F6D1D">
        <w:rPr>
          <w:rFonts w:ascii="Times New Roman" w:hAnsi="Times New Roman"/>
          <w:bCs/>
          <w:color w:val="auto"/>
        </w:rPr>
        <w:t xml:space="preserve">avádza </w:t>
      </w:r>
      <w:r w:rsidRPr="00992309" w:rsidR="003F6D1D">
        <w:rPr>
          <w:rFonts w:ascii="Times New Roman" w:hAnsi="Times New Roman"/>
          <w:color w:val="auto"/>
        </w:rPr>
        <w:t>nová povinnosť poskytovateľa platobných služieb, ktorou mu je uložené bezplatné zasielanie</w:t>
      </w:r>
      <w:r w:rsidRPr="00992309" w:rsidR="008B312F">
        <w:rPr>
          <w:rFonts w:ascii="Times New Roman" w:hAnsi="Times New Roman"/>
          <w:color w:val="auto"/>
        </w:rPr>
        <w:t xml:space="preserve"> výpis</w:t>
      </w:r>
      <w:r w:rsidRPr="00992309" w:rsidR="00C6532C">
        <w:rPr>
          <w:rFonts w:ascii="Times New Roman" w:hAnsi="Times New Roman"/>
          <w:color w:val="auto"/>
        </w:rPr>
        <w:t xml:space="preserve">u </w:t>
      </w:r>
      <w:r w:rsidRPr="00992309" w:rsidR="008B312F">
        <w:rPr>
          <w:rFonts w:ascii="Times New Roman" w:hAnsi="Times New Roman"/>
          <w:color w:val="auto"/>
        </w:rPr>
        <w:t>poplatkov</w:t>
      </w:r>
      <w:r w:rsidRPr="00992309" w:rsidR="003F6D1D">
        <w:rPr>
          <w:rFonts w:ascii="Times New Roman" w:hAnsi="Times New Roman"/>
          <w:color w:val="auto"/>
        </w:rPr>
        <w:t xml:space="preserve"> konkrétnemu spotrebiteľovi. Výpis poplatkov možno zasielať na základe dohody poskytovateľa platobných služieb a spotrebiteľa písomne, alebo elektronicky</w:t>
      </w:r>
      <w:r w:rsidR="007228E5">
        <w:rPr>
          <w:rFonts w:ascii="Times New Roman" w:hAnsi="Times New Roman"/>
          <w:color w:val="auto"/>
        </w:rPr>
        <w:t>, vždy písomne</w:t>
      </w:r>
      <w:r w:rsidR="00363612">
        <w:rPr>
          <w:rFonts w:ascii="Times New Roman" w:hAnsi="Times New Roman"/>
          <w:color w:val="auto"/>
        </w:rPr>
        <w:t>,</w:t>
      </w:r>
      <w:r w:rsidR="007228E5">
        <w:rPr>
          <w:rFonts w:ascii="Times New Roman" w:hAnsi="Times New Roman"/>
          <w:color w:val="auto"/>
        </w:rPr>
        <w:t xml:space="preserve"> ak o to spotrebiteľ požiada.</w:t>
      </w:r>
      <w:r w:rsidRPr="00992309" w:rsidR="003F6D1D">
        <w:rPr>
          <w:rFonts w:ascii="Times New Roman" w:hAnsi="Times New Roman"/>
          <w:color w:val="auto"/>
        </w:rPr>
        <w:t xml:space="preserve"> </w:t>
      </w:r>
      <w:r w:rsidR="00E726F5">
        <w:rPr>
          <w:rFonts w:ascii="Times New Roman" w:hAnsi="Times New Roman"/>
          <w:color w:val="auto"/>
        </w:rPr>
        <w:t>P</w:t>
      </w:r>
      <w:r w:rsidRPr="00992309" w:rsidR="003F6D1D">
        <w:rPr>
          <w:rFonts w:ascii="Times New Roman" w:hAnsi="Times New Roman"/>
          <w:color w:val="auto"/>
        </w:rPr>
        <w:t xml:space="preserve">oskytovateľ platobných služieb </w:t>
      </w:r>
      <w:r w:rsidR="00E726F5">
        <w:rPr>
          <w:rFonts w:ascii="Times New Roman" w:hAnsi="Times New Roman"/>
          <w:color w:val="auto"/>
        </w:rPr>
        <w:t xml:space="preserve">má </w:t>
      </w:r>
      <w:r w:rsidRPr="00992309" w:rsidR="003F6D1D">
        <w:rPr>
          <w:rFonts w:ascii="Times New Roman" w:hAnsi="Times New Roman"/>
          <w:color w:val="auto"/>
        </w:rPr>
        <w:t>povinnosť zasiela</w:t>
      </w:r>
      <w:r w:rsidR="000736B0">
        <w:rPr>
          <w:rFonts w:ascii="Times New Roman" w:hAnsi="Times New Roman"/>
          <w:color w:val="auto"/>
        </w:rPr>
        <w:t>ť</w:t>
      </w:r>
      <w:r w:rsidRPr="00992309" w:rsidR="003F6D1D">
        <w:rPr>
          <w:rFonts w:ascii="Times New Roman" w:hAnsi="Times New Roman"/>
          <w:color w:val="auto"/>
        </w:rPr>
        <w:t xml:space="preserve"> výpis poplatkov</w:t>
      </w:r>
      <w:r w:rsidR="00E726F5">
        <w:rPr>
          <w:rFonts w:ascii="Times New Roman" w:hAnsi="Times New Roman"/>
          <w:color w:val="auto"/>
        </w:rPr>
        <w:t xml:space="preserve"> </w:t>
      </w:r>
      <w:r w:rsidR="000736B0">
        <w:rPr>
          <w:rFonts w:ascii="Times New Roman" w:hAnsi="Times New Roman"/>
          <w:color w:val="auto"/>
        </w:rPr>
        <w:t xml:space="preserve">podľa dohody so spotrebiteľom, </w:t>
      </w:r>
      <w:r w:rsidR="00E726F5">
        <w:rPr>
          <w:rFonts w:ascii="Times New Roman" w:hAnsi="Times New Roman"/>
          <w:color w:val="auto"/>
        </w:rPr>
        <w:t>aspoň raz ročne.</w:t>
      </w:r>
      <w:r w:rsidRPr="00992309" w:rsidR="003F6D1D">
        <w:rPr>
          <w:rFonts w:ascii="Times New Roman" w:hAnsi="Times New Roman"/>
          <w:color w:val="auto"/>
        </w:rPr>
        <w:t xml:space="preserve"> </w:t>
      </w:r>
    </w:p>
    <w:p w:rsidR="00534E47" w:rsidRPr="00992309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bCs/>
          <w:color w:val="auto"/>
        </w:rPr>
      </w:pPr>
      <w:r w:rsidRPr="00992309" w:rsidR="003834AB">
        <w:rPr>
          <w:rFonts w:ascii="Times New Roman" w:hAnsi="Times New Roman"/>
          <w:color w:val="auto"/>
        </w:rPr>
        <w:t>V § 44c je upraven</w:t>
      </w:r>
      <w:r w:rsidR="000736B0">
        <w:rPr>
          <w:rFonts w:ascii="Times New Roman" w:hAnsi="Times New Roman"/>
          <w:color w:val="auto"/>
        </w:rPr>
        <w:t xml:space="preserve">é </w:t>
      </w:r>
      <w:r w:rsidRPr="00992309" w:rsidR="00C0710C">
        <w:rPr>
          <w:rFonts w:ascii="Times New Roman" w:hAnsi="Times New Roman"/>
          <w:bCs/>
          <w:color w:val="auto"/>
        </w:rPr>
        <w:t xml:space="preserve">poskytovanie balíka služieb. Pri uzatváraní rámcovej zmluvy má poskytovateľ platobných služieb povinnosť informovať spotrebiteľa o možnosti uzatvorenia osobitnej rámcovej </w:t>
      </w:r>
      <w:r w:rsidRPr="00992309" w:rsidR="004D1932">
        <w:rPr>
          <w:rFonts w:ascii="Times New Roman" w:hAnsi="Times New Roman"/>
          <w:bCs/>
          <w:color w:val="auto"/>
        </w:rPr>
        <w:t xml:space="preserve">zmluvy k jednotlivých službám, ktoré sú obsiahnuté v balíku služieb </w:t>
      </w:r>
      <w:r w:rsidRPr="00992309" w:rsidR="00C0710C">
        <w:rPr>
          <w:rFonts w:ascii="Times New Roman" w:hAnsi="Times New Roman"/>
          <w:bCs/>
          <w:color w:val="auto"/>
        </w:rPr>
        <w:t xml:space="preserve">a poskytnúť informácie o poplatkoch spojených s jednotlivými </w:t>
      </w:r>
      <w:r w:rsidRPr="00992309" w:rsidR="004D1932">
        <w:rPr>
          <w:rFonts w:ascii="Times New Roman" w:hAnsi="Times New Roman"/>
          <w:bCs/>
          <w:color w:val="auto"/>
        </w:rPr>
        <w:t>službami/</w:t>
      </w:r>
      <w:r w:rsidRPr="00992309" w:rsidR="00C0710C">
        <w:rPr>
          <w:rFonts w:ascii="Times New Roman" w:hAnsi="Times New Roman"/>
          <w:bCs/>
          <w:color w:val="auto"/>
        </w:rPr>
        <w:t xml:space="preserve">produktmi. </w:t>
      </w:r>
    </w:p>
    <w:p w:rsidR="00C0710C" w:rsidRPr="00992309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color w:val="auto"/>
        </w:rPr>
      </w:pPr>
      <w:r w:rsidRPr="00992309">
        <w:rPr>
          <w:rFonts w:ascii="Times New Roman" w:hAnsi="Times New Roman"/>
          <w:bCs/>
          <w:color w:val="auto"/>
        </w:rPr>
        <w:t xml:space="preserve">Paragrafové znenie § </w:t>
      </w:r>
      <w:r w:rsidRPr="00992309" w:rsidR="003834AB">
        <w:rPr>
          <w:rFonts w:ascii="Times New Roman" w:hAnsi="Times New Roman"/>
          <w:bCs/>
          <w:color w:val="auto"/>
        </w:rPr>
        <w:t>44d</w:t>
      </w:r>
      <w:r w:rsidRPr="00992309" w:rsidR="009A0B96">
        <w:rPr>
          <w:rFonts w:ascii="Times New Roman" w:hAnsi="Times New Roman"/>
          <w:bCs/>
          <w:color w:val="auto"/>
        </w:rPr>
        <w:t xml:space="preserve"> </w:t>
      </w:r>
      <w:r w:rsidRPr="00992309">
        <w:rPr>
          <w:rFonts w:ascii="Times New Roman" w:hAnsi="Times New Roman"/>
          <w:bCs/>
          <w:color w:val="auto"/>
        </w:rPr>
        <w:t xml:space="preserve">návrhu </w:t>
      </w:r>
      <w:r w:rsidRPr="00992309" w:rsidR="00CD6D37">
        <w:rPr>
          <w:rFonts w:ascii="Times New Roman" w:hAnsi="Times New Roman"/>
          <w:color w:val="auto"/>
        </w:rPr>
        <w:t>zákona upravuje presný postup</w:t>
      </w:r>
      <w:r w:rsidRPr="00992309">
        <w:rPr>
          <w:rFonts w:ascii="Times New Roman" w:hAnsi="Times New Roman"/>
          <w:color w:val="auto"/>
        </w:rPr>
        <w:t xml:space="preserve"> rámcového návrhu smernice PAD na</w:t>
      </w:r>
      <w:r w:rsidRPr="00992309" w:rsidR="00CD6D37">
        <w:rPr>
          <w:rFonts w:ascii="Times New Roman" w:hAnsi="Times New Roman"/>
          <w:color w:val="auto"/>
        </w:rPr>
        <w:t xml:space="preserve"> presun platobného účtu medzi poskytovateľmi platobných služieb.</w:t>
      </w:r>
      <w:r w:rsidRPr="00992309" w:rsidR="008F609F">
        <w:rPr>
          <w:rFonts w:ascii="Times New Roman" w:hAnsi="Times New Roman"/>
          <w:color w:val="auto"/>
        </w:rPr>
        <w:t xml:space="preserve"> </w:t>
      </w:r>
      <w:r w:rsidRPr="00992309" w:rsidR="000E2C0B">
        <w:rPr>
          <w:rFonts w:ascii="Times New Roman" w:hAnsi="Times New Roman"/>
          <w:color w:val="auto"/>
        </w:rPr>
        <w:t>Rozlišuje sa odovzdávajúci poskytovateľ platobných služieb a</w:t>
      </w:r>
      <w:r w:rsidRPr="00992309" w:rsidR="009512F1">
        <w:rPr>
          <w:rFonts w:ascii="Times New Roman" w:hAnsi="Times New Roman"/>
          <w:color w:val="auto"/>
        </w:rPr>
        <w:t>ko</w:t>
      </w:r>
      <w:r w:rsidRPr="00992309" w:rsidR="000E2C0B">
        <w:rPr>
          <w:rFonts w:ascii="Times New Roman" w:hAnsi="Times New Roman"/>
          <w:color w:val="auto"/>
        </w:rPr>
        <w:t xml:space="preserve"> poskytovateľ platobných služieb, od ktorého spotrebiteľ presúva svoj platobný účet k novému prijímajúcemu pos</w:t>
      </w:r>
      <w:r w:rsidRPr="00992309" w:rsidR="009512F1">
        <w:rPr>
          <w:rFonts w:ascii="Times New Roman" w:hAnsi="Times New Roman"/>
          <w:color w:val="auto"/>
        </w:rPr>
        <w:t>kytovateľovi platobných služieb, u ktorého spotrebiteľ má vedený platobný účet.</w:t>
      </w:r>
    </w:p>
    <w:p w:rsidR="00C0710C" w:rsidRPr="00992309" w:rsidP="00992309">
      <w:pPr>
        <w:bidi w:val="0"/>
        <w:spacing w:before="100" w:beforeAutospacing="1" w:after="240"/>
        <w:jc w:val="both"/>
        <w:rPr>
          <w:rFonts w:ascii="Times New Roman" w:hAnsi="Times New Roman"/>
          <w:color w:val="auto"/>
        </w:rPr>
      </w:pPr>
      <w:r w:rsidRPr="00992309">
        <w:rPr>
          <w:rFonts w:ascii="Times New Roman" w:hAnsi="Times New Roman"/>
          <w:color w:val="auto"/>
        </w:rPr>
        <w:t>V súvislosti s presunom platobného účtu sú upravené definície odovzdávajúceho a prijímajúceho poskytovateľa platobných služieb, ako aj samotný presun platobného účtu. Presunom účtu treba chápať ako presun informácií a nastavení týkajúcich sa platobného účtu, ktoré je potrebné za účelom presunu účtu preniesť tak, aby prišlo ku komplexnému presunu</w:t>
      </w:r>
      <w:r w:rsidRPr="00992309" w:rsidR="00366BB3">
        <w:rPr>
          <w:rFonts w:ascii="Times New Roman" w:hAnsi="Times New Roman"/>
          <w:color w:val="auto"/>
        </w:rPr>
        <w:t xml:space="preserve"> nastavení platobného účtu spotrebiteľa, ktorého s</w:t>
      </w:r>
      <w:r w:rsidRPr="00992309">
        <w:rPr>
          <w:rFonts w:ascii="Times New Roman" w:hAnsi="Times New Roman"/>
          <w:color w:val="auto"/>
        </w:rPr>
        <w:t xml:space="preserve">účasťou je aj nevyhnutná spolupráca medzi jednotlivými poskytovateľmi platobných služieb. </w:t>
      </w:r>
      <w:r w:rsidR="00E726F5">
        <w:rPr>
          <w:rFonts w:ascii="Times New Roman" w:hAnsi="Times New Roman"/>
          <w:color w:val="auto"/>
        </w:rPr>
        <w:t xml:space="preserve">Pri presune môže požiadať </w:t>
      </w:r>
      <w:r w:rsidR="000736B0">
        <w:rPr>
          <w:rFonts w:ascii="Times New Roman" w:hAnsi="Times New Roman"/>
          <w:color w:val="auto"/>
        </w:rPr>
        <w:t>spotrebiteľ</w:t>
      </w:r>
      <w:r w:rsidR="00E726F5">
        <w:rPr>
          <w:rFonts w:ascii="Times New Roman" w:hAnsi="Times New Roman"/>
          <w:color w:val="auto"/>
        </w:rPr>
        <w:t xml:space="preserve"> o presun finančných prostriedkov. </w:t>
      </w:r>
      <w:r w:rsidRPr="00992309">
        <w:rPr>
          <w:rFonts w:ascii="Times New Roman" w:hAnsi="Times New Roman"/>
          <w:color w:val="auto"/>
        </w:rPr>
        <w:t>Presun platobného účtu môže, ale nemusí byť ukončený zrušením platobného</w:t>
      </w:r>
      <w:r w:rsidRPr="00992309" w:rsidR="00C6532C">
        <w:rPr>
          <w:rFonts w:ascii="Times New Roman" w:hAnsi="Times New Roman"/>
          <w:color w:val="auto"/>
        </w:rPr>
        <w:t xml:space="preserve"> účtu u odovzdávajúceho poskytovateľa platobných služieb</w:t>
      </w:r>
      <w:r w:rsidRPr="00992309">
        <w:rPr>
          <w:rFonts w:ascii="Times New Roman" w:hAnsi="Times New Roman"/>
          <w:color w:val="auto"/>
        </w:rPr>
        <w:t xml:space="preserve">. V nadväznosti na </w:t>
      </w:r>
      <w:r w:rsidR="007228E5">
        <w:rPr>
          <w:rFonts w:ascii="Times New Roman" w:hAnsi="Times New Roman"/>
          <w:color w:val="auto"/>
        </w:rPr>
        <w:t>zrušenie</w:t>
      </w:r>
      <w:r w:rsidRPr="00992309" w:rsidR="007228E5">
        <w:rPr>
          <w:rFonts w:ascii="Times New Roman" w:hAnsi="Times New Roman"/>
          <w:color w:val="auto"/>
        </w:rPr>
        <w:t xml:space="preserve"> </w:t>
      </w:r>
      <w:r w:rsidRPr="00992309">
        <w:rPr>
          <w:rFonts w:ascii="Times New Roman" w:hAnsi="Times New Roman"/>
          <w:color w:val="auto"/>
        </w:rPr>
        <w:t xml:space="preserve">platobného účtu </w:t>
      </w:r>
      <w:r w:rsidRPr="00992309" w:rsidR="00AC2751">
        <w:rPr>
          <w:rFonts w:ascii="Times New Roman" w:hAnsi="Times New Roman"/>
          <w:color w:val="auto"/>
        </w:rPr>
        <w:t xml:space="preserve">môže </w:t>
      </w:r>
      <w:r w:rsidRPr="00992309" w:rsidR="007228E5">
        <w:rPr>
          <w:rFonts w:ascii="Times New Roman" w:hAnsi="Times New Roman"/>
          <w:color w:val="auto"/>
        </w:rPr>
        <w:t>d</w:t>
      </w:r>
      <w:r w:rsidR="007228E5">
        <w:rPr>
          <w:rFonts w:ascii="Times New Roman" w:hAnsi="Times New Roman"/>
          <w:color w:val="auto"/>
        </w:rPr>
        <w:t>ôjsť</w:t>
      </w:r>
      <w:r w:rsidRPr="00992309" w:rsidR="007228E5">
        <w:rPr>
          <w:rFonts w:ascii="Times New Roman" w:hAnsi="Times New Roman"/>
          <w:color w:val="auto"/>
        </w:rPr>
        <w:t xml:space="preserve"> </w:t>
      </w:r>
      <w:r w:rsidRPr="00992309">
        <w:rPr>
          <w:rFonts w:ascii="Times New Roman" w:hAnsi="Times New Roman"/>
          <w:color w:val="auto"/>
        </w:rPr>
        <w:t>aj k presunu zostatku</w:t>
      </w:r>
      <w:r w:rsidR="006B41EA">
        <w:rPr>
          <w:rFonts w:ascii="Times New Roman" w:hAnsi="Times New Roman"/>
          <w:color w:val="auto"/>
        </w:rPr>
        <w:t xml:space="preserve"> finančných prostriedkov</w:t>
      </w:r>
      <w:r w:rsidRPr="00992309">
        <w:rPr>
          <w:rFonts w:ascii="Times New Roman" w:hAnsi="Times New Roman"/>
          <w:color w:val="auto"/>
        </w:rPr>
        <w:t xml:space="preserve">. </w:t>
      </w:r>
      <w:r w:rsidR="00363612">
        <w:rPr>
          <w:rFonts w:ascii="Times New Roman" w:hAnsi="Times New Roman"/>
          <w:bCs/>
          <w:color w:val="auto"/>
        </w:rPr>
        <w:t>P</w:t>
      </w:r>
      <w:r w:rsidRPr="00363612" w:rsidR="00363612">
        <w:rPr>
          <w:rFonts w:ascii="Times New Roman" w:hAnsi="Times New Roman"/>
          <w:bCs/>
          <w:color w:val="auto"/>
        </w:rPr>
        <w:t xml:space="preserve">revod </w:t>
      </w:r>
      <w:r w:rsidR="00363612">
        <w:rPr>
          <w:rFonts w:ascii="Times New Roman" w:hAnsi="Times New Roman"/>
          <w:bCs/>
          <w:color w:val="auto"/>
        </w:rPr>
        <w:t>finančných prostriedky je bezplatný iba v mene euro, prevod v inej mene môže byť spoplatnený.</w:t>
      </w:r>
      <w:r w:rsidRPr="00992309" w:rsidR="00363612">
        <w:rPr>
          <w:rFonts w:ascii="Times New Roman" w:hAnsi="Times New Roman"/>
          <w:bCs/>
          <w:color w:val="auto"/>
        </w:rPr>
        <w:t xml:space="preserve"> </w:t>
      </w:r>
      <w:r w:rsidR="00E726F5">
        <w:rPr>
          <w:rFonts w:ascii="Times New Roman" w:hAnsi="Times New Roman"/>
          <w:color w:val="auto"/>
        </w:rPr>
        <w:t>P</w:t>
      </w:r>
      <w:r w:rsidRPr="00992309">
        <w:rPr>
          <w:rFonts w:ascii="Times New Roman" w:hAnsi="Times New Roman"/>
          <w:color w:val="auto"/>
        </w:rPr>
        <w:t>resun</w:t>
      </w:r>
      <w:r w:rsidRPr="00992309" w:rsidR="000E2C0B">
        <w:rPr>
          <w:rFonts w:ascii="Times New Roman" w:hAnsi="Times New Roman"/>
          <w:color w:val="auto"/>
        </w:rPr>
        <w:t>om</w:t>
      </w:r>
      <w:r w:rsidRPr="00992309">
        <w:rPr>
          <w:rFonts w:ascii="Times New Roman" w:hAnsi="Times New Roman"/>
          <w:color w:val="auto"/>
        </w:rPr>
        <w:t xml:space="preserve"> účtu môže byť súčasne považovaný aj prevod kladného zostatku alebo zrušenie platobného účtu, alebo všetky uvedené možnosti zároveň. </w:t>
      </w:r>
    </w:p>
    <w:p w:rsidR="00363612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bCs/>
          <w:color w:val="auto"/>
        </w:rPr>
      </w:pPr>
      <w:r w:rsidRPr="00992309" w:rsidR="00FC6378">
        <w:rPr>
          <w:rFonts w:ascii="Times New Roman" w:hAnsi="Times New Roman"/>
          <w:bCs/>
          <w:color w:val="auto"/>
        </w:rPr>
        <w:t>Spotrebiteľ si môže zvoliť podanie žiadosti v písomnej forme</w:t>
      </w:r>
      <w:r w:rsidR="000736B0">
        <w:rPr>
          <w:rFonts w:ascii="Times New Roman" w:hAnsi="Times New Roman"/>
          <w:bCs/>
          <w:color w:val="auto"/>
        </w:rPr>
        <w:t>,</w:t>
      </w:r>
      <w:r w:rsidR="006B41EA">
        <w:rPr>
          <w:rFonts w:ascii="Times New Roman" w:hAnsi="Times New Roman"/>
          <w:bCs/>
          <w:color w:val="auto"/>
        </w:rPr>
        <w:t xml:space="preserve"> osobne na pobočke ale</w:t>
      </w:r>
      <w:r w:rsidR="009A4D77">
        <w:rPr>
          <w:rFonts w:ascii="Times New Roman" w:hAnsi="Times New Roman"/>
          <w:bCs/>
          <w:color w:val="auto"/>
        </w:rPr>
        <w:t>bo poštou s úradne osvedčeným podpisom</w:t>
      </w:r>
      <w:r w:rsidR="000736B0">
        <w:rPr>
          <w:rFonts w:ascii="Times New Roman" w:hAnsi="Times New Roman"/>
          <w:bCs/>
          <w:color w:val="auto"/>
        </w:rPr>
        <w:t>,</w:t>
      </w:r>
      <w:r w:rsidRPr="00992309" w:rsidR="00167B6E">
        <w:rPr>
          <w:rFonts w:ascii="Times New Roman" w:hAnsi="Times New Roman"/>
          <w:bCs/>
          <w:color w:val="auto"/>
        </w:rPr>
        <w:t xml:space="preserve"> </w:t>
      </w:r>
      <w:r w:rsidRPr="00992309" w:rsidR="00FC6378">
        <w:rPr>
          <w:rFonts w:ascii="Times New Roman" w:hAnsi="Times New Roman"/>
          <w:bCs/>
          <w:color w:val="auto"/>
        </w:rPr>
        <w:t>alebo elektronicky</w:t>
      </w:r>
      <w:r w:rsidR="000736B0">
        <w:rPr>
          <w:rFonts w:ascii="Times New Roman" w:hAnsi="Times New Roman"/>
          <w:bCs/>
          <w:color w:val="auto"/>
        </w:rPr>
        <w:t>,</w:t>
      </w:r>
      <w:r w:rsidRPr="00992309" w:rsidR="007F5844">
        <w:rPr>
          <w:rFonts w:ascii="Times New Roman" w:hAnsi="Times New Roman"/>
          <w:bCs/>
          <w:color w:val="auto"/>
        </w:rPr>
        <w:t xml:space="preserve"> </w:t>
      </w:r>
      <w:r w:rsidRPr="00992309" w:rsidR="00FC6378">
        <w:rPr>
          <w:rFonts w:ascii="Times New Roman" w:hAnsi="Times New Roman"/>
          <w:bCs/>
          <w:color w:val="auto"/>
        </w:rPr>
        <w:t xml:space="preserve">so zabezpečeným elektronickým podpisom. </w:t>
      </w:r>
      <w:r w:rsidRPr="00992309">
        <w:rPr>
          <w:rFonts w:ascii="Times New Roman" w:hAnsi="Times New Roman"/>
          <w:bCs/>
          <w:color w:val="auto"/>
        </w:rPr>
        <w:t>V prípade viacerých majiteľov je potrebný súhlas všetkých na presun platobného účtu.</w:t>
      </w:r>
    </w:p>
    <w:p w:rsidR="00167B6E" w:rsidRPr="00992309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bCs/>
          <w:color w:val="auto"/>
        </w:rPr>
      </w:pPr>
      <w:r w:rsidRPr="00992309" w:rsidR="00363612">
        <w:rPr>
          <w:rFonts w:ascii="Times New Roman" w:hAnsi="Times New Roman"/>
          <w:bCs/>
          <w:color w:val="auto"/>
        </w:rPr>
        <w:t xml:space="preserve">Spotrebiteľ môže požiadať o presun platobného účtu iba jedného prijímajúceho poskytovateľa platobných služieb. </w:t>
      </w:r>
    </w:p>
    <w:p w:rsidR="000E2C0B" w:rsidRPr="00992309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color w:val="auto"/>
        </w:rPr>
      </w:pPr>
      <w:r w:rsidRPr="00992309" w:rsidR="00FC6378">
        <w:rPr>
          <w:rFonts w:ascii="Times New Roman" w:hAnsi="Times New Roman"/>
          <w:bCs/>
          <w:color w:val="auto"/>
        </w:rPr>
        <w:t xml:space="preserve">Žiadosť o presun platobného účtu sa podáva u prijímajúceho poskytovateľa platobných služieb, </w:t>
      </w:r>
      <w:r w:rsidRPr="00992309" w:rsidR="00167B6E">
        <w:rPr>
          <w:rFonts w:ascii="Times New Roman" w:hAnsi="Times New Roman"/>
          <w:bCs/>
          <w:color w:val="auto"/>
        </w:rPr>
        <w:t xml:space="preserve">t.j. poskytovateľa platobných služieb, ku ktorému chce spotrebiteľ presunúť </w:t>
      </w:r>
      <w:r w:rsidRPr="00992309">
        <w:rPr>
          <w:rFonts w:ascii="Times New Roman" w:hAnsi="Times New Roman"/>
          <w:color w:val="auto"/>
        </w:rPr>
        <w:t>platobný účet</w:t>
      </w:r>
      <w:r w:rsidRPr="00992309" w:rsidR="00167B6E">
        <w:rPr>
          <w:rFonts w:ascii="Times New Roman" w:hAnsi="Times New Roman"/>
          <w:color w:val="auto"/>
        </w:rPr>
        <w:t xml:space="preserve">. </w:t>
      </w:r>
      <w:r w:rsidRPr="00992309">
        <w:rPr>
          <w:rFonts w:ascii="Times New Roman" w:hAnsi="Times New Roman"/>
          <w:color w:val="auto"/>
        </w:rPr>
        <w:t>Samotný vzor žiadosti je upravený všeobecne záväzným právnym predpisom. Žiadosť má byť vyhotovená v štátnom jazyku, ale je možné na základe súhlasu strán zvoliť aj iný jazyk, pričom sa dodržia náležitosti vzoru žiadosti ustanovenej všeobecne záväzným právnym predpisom.</w:t>
      </w:r>
    </w:p>
    <w:p w:rsidR="000E2C0B" w:rsidRPr="00992309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color w:val="auto"/>
        </w:rPr>
      </w:pPr>
      <w:r w:rsidRPr="00992309">
        <w:rPr>
          <w:rFonts w:ascii="Times New Roman" w:hAnsi="Times New Roman"/>
          <w:color w:val="auto"/>
        </w:rPr>
        <w:t xml:space="preserve">Osobitným prípadom je presun platobného účtu, ktorým je platobný účet </w:t>
      </w:r>
      <w:r w:rsidRPr="00992309" w:rsidR="009512F1">
        <w:rPr>
          <w:rFonts w:ascii="Times New Roman" w:hAnsi="Times New Roman"/>
          <w:color w:val="auto"/>
        </w:rPr>
        <w:t>so základnými funkciami</w:t>
      </w:r>
      <w:r w:rsidRPr="00992309" w:rsidR="002E4642">
        <w:rPr>
          <w:rFonts w:ascii="Times New Roman" w:hAnsi="Times New Roman"/>
          <w:color w:val="auto"/>
        </w:rPr>
        <w:t xml:space="preserve"> a základný bankový produkt</w:t>
      </w:r>
      <w:r w:rsidRPr="00992309" w:rsidR="009512F1">
        <w:rPr>
          <w:rFonts w:ascii="Times New Roman" w:hAnsi="Times New Roman"/>
          <w:color w:val="auto"/>
        </w:rPr>
        <w:t>, presunom</w:t>
      </w:r>
      <w:r w:rsidRPr="00992309">
        <w:rPr>
          <w:rFonts w:ascii="Times New Roman" w:hAnsi="Times New Roman"/>
          <w:color w:val="auto"/>
        </w:rPr>
        <w:t xml:space="preserve"> </w:t>
      </w:r>
      <w:r w:rsidRPr="00992309" w:rsidR="00E75A75">
        <w:rPr>
          <w:rFonts w:ascii="Times New Roman" w:hAnsi="Times New Roman"/>
          <w:color w:val="auto"/>
        </w:rPr>
        <w:t>ktorého</w:t>
      </w:r>
      <w:r w:rsidRPr="00992309">
        <w:rPr>
          <w:rFonts w:ascii="Times New Roman" w:hAnsi="Times New Roman"/>
          <w:color w:val="auto"/>
        </w:rPr>
        <w:t xml:space="preserve"> vždy dochádza k uzatvoreniu </w:t>
      </w:r>
      <w:r w:rsidRPr="00992309" w:rsidR="00C225F9">
        <w:rPr>
          <w:rFonts w:ascii="Times New Roman" w:hAnsi="Times New Roman"/>
          <w:color w:val="auto"/>
        </w:rPr>
        <w:t>pôvodného platobného účtu so základnými funkciami</w:t>
      </w:r>
      <w:r w:rsidRPr="00992309" w:rsidR="002E4642">
        <w:rPr>
          <w:rFonts w:ascii="Times New Roman" w:hAnsi="Times New Roman"/>
          <w:color w:val="auto"/>
        </w:rPr>
        <w:t xml:space="preserve"> a základného bankového produktu</w:t>
      </w:r>
      <w:r w:rsidRPr="00992309" w:rsidR="00C225F9">
        <w:rPr>
          <w:rFonts w:ascii="Times New Roman" w:hAnsi="Times New Roman"/>
          <w:color w:val="auto"/>
        </w:rPr>
        <w:t>.</w:t>
      </w:r>
      <w:r w:rsidR="006B41EA">
        <w:rPr>
          <w:rFonts w:ascii="Times New Roman" w:hAnsi="Times New Roman"/>
          <w:color w:val="auto"/>
        </w:rPr>
        <w:t xml:space="preserve"> Ide o výnimku, kedy počas presunu určitú dobu existujú oba účty</w:t>
      </w:r>
      <w:r w:rsidRPr="00992309" w:rsidR="006B41EA">
        <w:rPr>
          <w:rFonts w:ascii="Times New Roman" w:hAnsi="Times New Roman"/>
          <w:color w:val="auto"/>
        </w:rPr>
        <w:t xml:space="preserve"> </w:t>
      </w:r>
      <w:r w:rsidR="006B41EA">
        <w:rPr>
          <w:rFonts w:ascii="Times New Roman" w:hAnsi="Times New Roman"/>
          <w:color w:val="auto"/>
        </w:rPr>
        <w:t xml:space="preserve">súbežne. </w:t>
      </w:r>
      <w:r w:rsidRPr="00992309" w:rsidR="002E4642">
        <w:rPr>
          <w:rFonts w:ascii="Times New Roman" w:hAnsi="Times New Roman"/>
          <w:color w:val="auto"/>
        </w:rPr>
        <w:t>Uvedené nadväzuje na zákaz súčasného vedenia viacerých platobných účtov u spotrebiteľa v prípadoch týchto osobitných platobných účtov.</w:t>
      </w:r>
      <w:r w:rsidRPr="00992309" w:rsidR="00C225F9">
        <w:rPr>
          <w:rFonts w:ascii="Times New Roman" w:hAnsi="Times New Roman"/>
          <w:color w:val="auto"/>
        </w:rPr>
        <w:t xml:space="preserve"> </w:t>
      </w:r>
    </w:p>
    <w:p w:rsidR="005153F4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color w:val="auto"/>
        </w:rPr>
      </w:pPr>
      <w:r w:rsidRPr="00992309" w:rsidR="0003629B">
        <w:rPr>
          <w:rFonts w:ascii="Times New Roman" w:hAnsi="Times New Roman"/>
          <w:color w:val="auto"/>
        </w:rPr>
        <w:t xml:space="preserve">V žiadosti spotrebiteľ uvedie dátum, od ktorého sa budú </w:t>
      </w:r>
      <w:r w:rsidRPr="00992309" w:rsidR="00C225F9">
        <w:rPr>
          <w:rFonts w:ascii="Times New Roman" w:hAnsi="Times New Roman"/>
          <w:color w:val="auto"/>
        </w:rPr>
        <w:t>úhrady a inkasá</w:t>
      </w:r>
      <w:r w:rsidRPr="00992309" w:rsidR="0003629B">
        <w:rPr>
          <w:rFonts w:ascii="Times New Roman" w:hAnsi="Times New Roman"/>
          <w:color w:val="auto"/>
        </w:rPr>
        <w:t xml:space="preserve"> vykonávať </w:t>
      </w:r>
      <w:r w:rsidR="000920DE">
        <w:rPr>
          <w:rFonts w:ascii="Times New Roman" w:hAnsi="Times New Roman"/>
          <w:color w:val="auto"/>
        </w:rPr>
        <w:t xml:space="preserve">                   </w:t>
      </w:r>
      <w:r w:rsidRPr="00992309" w:rsidR="0003629B">
        <w:rPr>
          <w:rFonts w:ascii="Times New Roman" w:hAnsi="Times New Roman"/>
          <w:color w:val="auto"/>
        </w:rPr>
        <w:t xml:space="preserve">z platobného účtu zriadeného u prijímajúceho poskytovateľa platobných služieb. Dátum určí </w:t>
      </w:r>
      <w:r w:rsidRPr="00992309" w:rsidR="00C225F9">
        <w:rPr>
          <w:rFonts w:ascii="Times New Roman" w:hAnsi="Times New Roman"/>
          <w:color w:val="auto"/>
        </w:rPr>
        <w:t xml:space="preserve">spotrebiteľ v žiadosti tak, </w:t>
      </w:r>
      <w:r w:rsidR="006B41EA">
        <w:rPr>
          <w:rFonts w:ascii="Times New Roman" w:hAnsi="Times New Roman"/>
          <w:color w:val="auto"/>
        </w:rPr>
        <w:t>aby to</w:t>
      </w:r>
      <w:r w:rsidR="000920DE">
        <w:rPr>
          <w:rFonts w:ascii="Times New Roman" w:hAnsi="Times New Roman"/>
          <w:color w:val="auto"/>
        </w:rPr>
        <w:t xml:space="preserve"> bol</w:t>
      </w:r>
      <w:r w:rsidR="006B41EA">
        <w:rPr>
          <w:rFonts w:ascii="Times New Roman" w:hAnsi="Times New Roman"/>
          <w:color w:val="auto"/>
        </w:rPr>
        <w:t xml:space="preserve"> najskôr 18</w:t>
      </w:r>
      <w:r w:rsidR="000920DE">
        <w:rPr>
          <w:rFonts w:ascii="Times New Roman" w:hAnsi="Times New Roman"/>
          <w:color w:val="auto"/>
        </w:rPr>
        <w:t>.</w:t>
      </w:r>
      <w:r w:rsidR="006B41EA">
        <w:rPr>
          <w:rFonts w:ascii="Times New Roman" w:hAnsi="Times New Roman"/>
          <w:color w:val="auto"/>
        </w:rPr>
        <w:t xml:space="preserve"> deň po doručení úplnej a riadnej žiadosti o presun platobného účtu</w:t>
      </w:r>
      <w:r w:rsidRPr="00992309" w:rsidR="00C225F9">
        <w:rPr>
          <w:rFonts w:ascii="Times New Roman" w:hAnsi="Times New Roman"/>
          <w:color w:val="auto"/>
        </w:rPr>
        <w:t xml:space="preserve">. </w:t>
      </w:r>
      <w:r w:rsidRPr="00992309" w:rsidR="0003629B">
        <w:rPr>
          <w:rFonts w:ascii="Times New Roman" w:hAnsi="Times New Roman"/>
          <w:color w:val="auto"/>
        </w:rPr>
        <w:t xml:space="preserve">Určenie dátumu má význam aj pre odovzdávajúceho poskytovateľa platobných služieb, pretože deň pred určeným dátumom je povinný </w:t>
      </w:r>
      <w:r w:rsidRPr="00992309" w:rsidR="00C225F9">
        <w:rPr>
          <w:rFonts w:ascii="Times New Roman" w:hAnsi="Times New Roman"/>
          <w:color w:val="auto"/>
        </w:rPr>
        <w:t xml:space="preserve">zrušiť úhrady a inkasá. </w:t>
      </w:r>
      <w:r w:rsidRPr="00992309" w:rsidR="00167B6E">
        <w:rPr>
          <w:rFonts w:ascii="Times New Roman" w:hAnsi="Times New Roman"/>
          <w:color w:val="auto"/>
        </w:rPr>
        <w:t xml:space="preserve">Náležitosti žiadosti </w:t>
      </w:r>
      <w:r w:rsidR="005B28BC">
        <w:rPr>
          <w:rFonts w:ascii="Times New Roman" w:hAnsi="Times New Roman"/>
          <w:color w:val="auto"/>
        </w:rPr>
        <w:t xml:space="preserve">a súvisiacich tlačív </w:t>
      </w:r>
      <w:r w:rsidRPr="00992309" w:rsidR="00167B6E">
        <w:rPr>
          <w:rFonts w:ascii="Times New Roman" w:hAnsi="Times New Roman"/>
          <w:color w:val="auto"/>
        </w:rPr>
        <w:t>bližšie uprav</w:t>
      </w:r>
      <w:r w:rsidRPr="00992309" w:rsidR="00825ADB">
        <w:rPr>
          <w:rFonts w:ascii="Times New Roman" w:hAnsi="Times New Roman"/>
          <w:color w:val="auto"/>
        </w:rPr>
        <w:t>í</w:t>
      </w:r>
      <w:r w:rsidRPr="00992309" w:rsidR="00167B6E">
        <w:rPr>
          <w:rFonts w:ascii="Times New Roman" w:hAnsi="Times New Roman"/>
          <w:color w:val="auto"/>
        </w:rPr>
        <w:t xml:space="preserve"> všeobecne záväzný právny predpis vydaný Ministerstvom financií </w:t>
      </w:r>
      <w:r w:rsidRPr="00992309" w:rsidR="004E2B61">
        <w:rPr>
          <w:rFonts w:ascii="Times New Roman" w:hAnsi="Times New Roman"/>
          <w:color w:val="auto"/>
        </w:rPr>
        <w:t>SR</w:t>
      </w:r>
      <w:r w:rsidRPr="00992309" w:rsidR="00167B6E">
        <w:rPr>
          <w:rFonts w:ascii="Times New Roman" w:hAnsi="Times New Roman"/>
          <w:color w:val="auto"/>
        </w:rPr>
        <w:t xml:space="preserve">. V prípade </w:t>
      </w:r>
      <w:r w:rsidRPr="00992309" w:rsidR="0003629B">
        <w:rPr>
          <w:rFonts w:ascii="Times New Roman" w:hAnsi="Times New Roman"/>
          <w:color w:val="auto"/>
        </w:rPr>
        <w:t>absen</w:t>
      </w:r>
      <w:r w:rsidRPr="00992309" w:rsidR="00167B6E">
        <w:rPr>
          <w:rFonts w:ascii="Times New Roman" w:hAnsi="Times New Roman"/>
          <w:color w:val="auto"/>
        </w:rPr>
        <w:t>cie obligatórnych náležitost</w:t>
      </w:r>
      <w:r w:rsidRPr="00992309" w:rsidR="006763E8">
        <w:rPr>
          <w:rFonts w:ascii="Times New Roman" w:hAnsi="Times New Roman"/>
          <w:color w:val="auto"/>
        </w:rPr>
        <w:t>í</w:t>
      </w:r>
      <w:r w:rsidRPr="00992309" w:rsidR="00167B6E">
        <w:rPr>
          <w:rFonts w:ascii="Times New Roman" w:hAnsi="Times New Roman"/>
          <w:color w:val="auto"/>
        </w:rPr>
        <w:t xml:space="preserve"> žiadosti vyzve</w:t>
      </w:r>
      <w:r w:rsidRPr="00992309" w:rsidR="00664C61">
        <w:rPr>
          <w:rFonts w:ascii="Times New Roman" w:hAnsi="Times New Roman"/>
          <w:color w:val="auto"/>
        </w:rPr>
        <w:t xml:space="preserve"> </w:t>
      </w:r>
      <w:r w:rsidRPr="00992309" w:rsidR="00715602">
        <w:rPr>
          <w:rFonts w:ascii="Times New Roman" w:hAnsi="Times New Roman"/>
          <w:color w:val="auto"/>
        </w:rPr>
        <w:t xml:space="preserve">prijímajúci </w:t>
      </w:r>
      <w:r w:rsidRPr="00992309" w:rsidR="00167B6E">
        <w:rPr>
          <w:rFonts w:ascii="Times New Roman" w:hAnsi="Times New Roman"/>
          <w:color w:val="auto"/>
        </w:rPr>
        <w:t xml:space="preserve">poskytovateľ </w:t>
      </w:r>
      <w:r w:rsidRPr="00992309" w:rsidR="0003629B">
        <w:rPr>
          <w:rFonts w:ascii="Times New Roman" w:hAnsi="Times New Roman"/>
          <w:color w:val="auto"/>
        </w:rPr>
        <w:t>platobných</w:t>
      </w:r>
      <w:r w:rsidRPr="00992309" w:rsidR="00167B6E">
        <w:rPr>
          <w:rFonts w:ascii="Times New Roman" w:hAnsi="Times New Roman"/>
          <w:color w:val="auto"/>
        </w:rPr>
        <w:t xml:space="preserve"> služieb spo</w:t>
      </w:r>
      <w:r w:rsidRPr="00992309" w:rsidR="00664C61">
        <w:rPr>
          <w:rFonts w:ascii="Times New Roman" w:hAnsi="Times New Roman"/>
          <w:color w:val="auto"/>
        </w:rPr>
        <w:t xml:space="preserve">trebiteľa na doplnenie žiadosti </w:t>
      </w:r>
      <w:r w:rsidR="000920DE">
        <w:rPr>
          <w:rFonts w:ascii="Times New Roman" w:hAnsi="Times New Roman"/>
          <w:color w:val="auto"/>
        </w:rPr>
        <w:t xml:space="preserve">             </w:t>
      </w:r>
      <w:r w:rsidRPr="00992309" w:rsidR="00664C61">
        <w:rPr>
          <w:rFonts w:ascii="Times New Roman" w:hAnsi="Times New Roman"/>
          <w:color w:val="auto"/>
        </w:rPr>
        <w:t>a stanoví dostatočný časový priestor pre spotrebiteľa na odstránenie prekážok brániacich presunu platobného účtu.</w:t>
      </w:r>
      <w:r w:rsidR="006B41EA">
        <w:rPr>
          <w:rFonts w:ascii="Times New Roman" w:hAnsi="Times New Roman"/>
          <w:color w:val="auto"/>
        </w:rPr>
        <w:t xml:space="preserve"> Počas </w:t>
      </w:r>
      <w:r w:rsidR="009A4D77">
        <w:rPr>
          <w:rFonts w:ascii="Times New Roman" w:hAnsi="Times New Roman"/>
          <w:color w:val="auto"/>
        </w:rPr>
        <w:t xml:space="preserve">doby na </w:t>
      </w:r>
      <w:r w:rsidR="006B41EA">
        <w:rPr>
          <w:rFonts w:ascii="Times New Roman" w:hAnsi="Times New Roman"/>
          <w:color w:val="auto"/>
        </w:rPr>
        <w:t>doplneni</w:t>
      </w:r>
      <w:r w:rsidR="009A4D77">
        <w:rPr>
          <w:rFonts w:ascii="Times New Roman" w:hAnsi="Times New Roman"/>
          <w:color w:val="auto"/>
        </w:rPr>
        <w:t>e</w:t>
      </w:r>
      <w:r w:rsidR="006B41EA">
        <w:rPr>
          <w:rFonts w:ascii="Times New Roman" w:hAnsi="Times New Roman"/>
          <w:color w:val="auto"/>
        </w:rPr>
        <w:t xml:space="preserve"> neplynú lehoty, do doručenia úplnej a riadne vyplnenej žiadosti o presun platobného účtu.</w:t>
      </w:r>
      <w:r w:rsidRPr="00992309" w:rsidR="00664C61">
        <w:rPr>
          <w:rFonts w:ascii="Times New Roman" w:hAnsi="Times New Roman"/>
          <w:color w:val="auto"/>
        </w:rPr>
        <w:t xml:space="preserve"> </w:t>
      </w:r>
      <w:r w:rsidR="006B41EA">
        <w:rPr>
          <w:rFonts w:ascii="Times New Roman" w:hAnsi="Times New Roman"/>
          <w:color w:val="auto"/>
        </w:rPr>
        <w:t>Súčasne môže dôjsť k posunu dátumu, od</w:t>
      </w:r>
      <w:r w:rsidRPr="006B41EA" w:rsidR="006B41EA">
        <w:rPr>
          <w:rFonts w:ascii="Times New Roman" w:hAnsi="Times New Roman"/>
          <w:color w:val="auto"/>
        </w:rPr>
        <w:t xml:space="preserve"> ktorého sa budú úhrady a inkasá vykonávať z platobného účtu zriadeného u prijímajúceho poskytovateľa platobných služieb. </w:t>
      </w:r>
      <w:r w:rsidR="006B41EA">
        <w:rPr>
          <w:rFonts w:ascii="Times New Roman" w:hAnsi="Times New Roman"/>
          <w:color w:val="auto"/>
        </w:rPr>
        <w:t xml:space="preserve">Ak sa zmena dátumu nereflektuje pri doplnení žiadosti, počíta sa </w:t>
      </w:r>
      <w:r w:rsidR="000920DE">
        <w:rPr>
          <w:rFonts w:ascii="Times New Roman" w:hAnsi="Times New Roman"/>
          <w:color w:val="auto"/>
        </w:rPr>
        <w:t xml:space="preserve">s </w:t>
      </w:r>
      <w:r w:rsidR="009A4D77">
        <w:rPr>
          <w:rFonts w:ascii="Times New Roman" w:hAnsi="Times New Roman"/>
          <w:color w:val="auto"/>
        </w:rPr>
        <w:t>18</w:t>
      </w:r>
      <w:r w:rsidR="000920DE">
        <w:rPr>
          <w:rFonts w:ascii="Times New Roman" w:hAnsi="Times New Roman"/>
          <w:color w:val="auto"/>
        </w:rPr>
        <w:t>.</w:t>
      </w:r>
      <w:r w:rsidR="006B41EA">
        <w:rPr>
          <w:rFonts w:ascii="Times New Roman" w:hAnsi="Times New Roman"/>
          <w:color w:val="auto"/>
        </w:rPr>
        <w:t xml:space="preserve"> dňom odo dňa doručenia úplnej a riadne vyplnenej žiadosti o presun platobného účtu. </w:t>
      </w:r>
      <w:r w:rsidRPr="006B41EA" w:rsidR="006B41EA">
        <w:rPr>
          <w:rFonts w:ascii="Times New Roman" w:hAnsi="Times New Roman"/>
          <w:color w:val="auto"/>
        </w:rPr>
        <w:t>O uvedenej skutočnosti</w:t>
      </w:r>
      <w:r w:rsidR="006B41EA">
        <w:rPr>
          <w:rFonts w:ascii="Times New Roman" w:hAnsi="Times New Roman"/>
          <w:color w:val="auto"/>
        </w:rPr>
        <w:t xml:space="preserve"> ako aj</w:t>
      </w:r>
      <w:r w:rsidRPr="006B41EA" w:rsidR="006B41EA">
        <w:rPr>
          <w:rFonts w:ascii="Times New Roman" w:hAnsi="Times New Roman"/>
          <w:color w:val="auto"/>
        </w:rPr>
        <w:t xml:space="preserve"> o najbližšom dátume musí byť spotrebiteľ informovaný. </w:t>
      </w:r>
    </w:p>
    <w:p w:rsidR="00687CE6" w:rsidRPr="00992309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color w:val="auto"/>
        </w:rPr>
      </w:pPr>
      <w:r w:rsidR="005153F4">
        <w:rPr>
          <w:rFonts w:ascii="Times New Roman" w:hAnsi="Times New Roman"/>
          <w:color w:val="auto"/>
        </w:rPr>
        <w:t>Spotrebiteľ môže požiadať prijímajúceho poskytovateľa platobných služieb aj o informovanie platiteľov</w:t>
      </w:r>
      <w:r w:rsidR="000920DE">
        <w:rPr>
          <w:rFonts w:ascii="Times New Roman" w:hAnsi="Times New Roman"/>
          <w:color w:val="auto"/>
        </w:rPr>
        <w:t xml:space="preserve"> o</w:t>
      </w:r>
      <w:r w:rsidR="005153F4">
        <w:rPr>
          <w:rFonts w:ascii="Times New Roman" w:hAnsi="Times New Roman"/>
          <w:color w:val="auto"/>
        </w:rPr>
        <w:t xml:space="preserve"> údajoch nového platobného účtu, za predpokladu, že identifikuje svojich platiteľov, alebo spotrebiteľ ich  informuje sám. </w:t>
      </w:r>
      <w:r w:rsidRPr="00992309" w:rsidR="00664C61">
        <w:rPr>
          <w:rFonts w:ascii="Times New Roman" w:hAnsi="Times New Roman"/>
          <w:color w:val="auto"/>
        </w:rPr>
        <w:t>V súlade s povinnosťami vyplývajúcimi zo zákona a žiadosti o presun účtu</w:t>
      </w:r>
      <w:r w:rsidR="000920DE">
        <w:rPr>
          <w:rFonts w:ascii="Times New Roman" w:hAnsi="Times New Roman"/>
          <w:color w:val="auto"/>
        </w:rPr>
        <w:t>,</w:t>
      </w:r>
      <w:r w:rsidRPr="00992309" w:rsidR="00664C61">
        <w:rPr>
          <w:rFonts w:ascii="Times New Roman" w:hAnsi="Times New Roman"/>
          <w:color w:val="auto"/>
        </w:rPr>
        <w:t xml:space="preserve"> vykonajú odovzdávajúci a prijímajúci poskytovateľ úkony smerujúce k presunu účtu.</w:t>
      </w:r>
      <w:r w:rsidRPr="00992309" w:rsidR="00167B6E">
        <w:rPr>
          <w:rFonts w:ascii="Times New Roman" w:hAnsi="Times New Roman"/>
          <w:color w:val="auto"/>
        </w:rPr>
        <w:t xml:space="preserve"> Podaním žiadosti vzniká prijímajúcemu poskytovateľovi platobných služieb povinnosť zaslania </w:t>
      </w:r>
      <w:r w:rsidRPr="00992309" w:rsidR="00A2220B">
        <w:rPr>
          <w:rFonts w:ascii="Times New Roman" w:hAnsi="Times New Roman"/>
          <w:color w:val="auto"/>
        </w:rPr>
        <w:t xml:space="preserve">jednej </w:t>
      </w:r>
      <w:r w:rsidRPr="00992309" w:rsidR="00167B6E">
        <w:rPr>
          <w:rFonts w:ascii="Times New Roman" w:hAnsi="Times New Roman"/>
          <w:color w:val="auto"/>
        </w:rPr>
        <w:t>žiadosti o presun platobného účtu</w:t>
      </w:r>
      <w:r w:rsidRPr="00992309" w:rsidR="00C225F9">
        <w:rPr>
          <w:rFonts w:ascii="Times New Roman" w:hAnsi="Times New Roman"/>
          <w:color w:val="auto"/>
        </w:rPr>
        <w:t xml:space="preserve"> do dvoch pracovných dní</w:t>
      </w:r>
      <w:r w:rsidRPr="00992309" w:rsidR="00167B6E">
        <w:rPr>
          <w:rFonts w:ascii="Times New Roman" w:hAnsi="Times New Roman"/>
          <w:color w:val="auto"/>
        </w:rPr>
        <w:t xml:space="preserve"> odovzdávajúcemu poskytovateľovi platobných služieb, ktorý je následne povinný doložiť zákon</w:t>
      </w:r>
      <w:r w:rsidRPr="00992309" w:rsidR="00A218D7">
        <w:rPr>
          <w:rFonts w:ascii="Times New Roman" w:hAnsi="Times New Roman"/>
          <w:color w:val="auto"/>
        </w:rPr>
        <w:t>om</w:t>
      </w:r>
      <w:r w:rsidRPr="00992309" w:rsidR="00167B6E">
        <w:rPr>
          <w:rFonts w:ascii="Times New Roman" w:hAnsi="Times New Roman"/>
          <w:color w:val="auto"/>
        </w:rPr>
        <w:t xml:space="preserve"> požadovanú dokumentáciu viažuc</w:t>
      </w:r>
      <w:r w:rsidRPr="00992309" w:rsidR="00C225F9">
        <w:rPr>
          <w:rFonts w:ascii="Times New Roman" w:hAnsi="Times New Roman"/>
          <w:color w:val="auto"/>
        </w:rPr>
        <w:t>u sa na presun platobného účtu a vykonať zákonom uložené úkony smerujúce k presunu platobného účtu.</w:t>
      </w:r>
    </w:p>
    <w:p w:rsidR="00C225F9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color w:val="auto"/>
        </w:rPr>
      </w:pPr>
      <w:r w:rsidRPr="00992309" w:rsidR="00664C61">
        <w:rPr>
          <w:rFonts w:ascii="Times New Roman" w:hAnsi="Times New Roman"/>
          <w:color w:val="auto"/>
        </w:rPr>
        <w:t xml:space="preserve">Ak </w:t>
      </w:r>
      <w:r w:rsidR="006B41EA">
        <w:rPr>
          <w:rFonts w:ascii="Times New Roman" w:hAnsi="Times New Roman"/>
          <w:color w:val="auto"/>
        </w:rPr>
        <w:t>ide o presun platobného účtu spojený so zrušením platobného účtu a </w:t>
      </w:r>
      <w:r w:rsidRPr="00992309" w:rsidR="00664C61">
        <w:rPr>
          <w:rFonts w:ascii="Times New Roman" w:hAnsi="Times New Roman"/>
          <w:color w:val="auto"/>
        </w:rPr>
        <w:t>spotrebiteľ</w:t>
      </w:r>
      <w:r w:rsidR="006B41EA">
        <w:rPr>
          <w:rFonts w:ascii="Times New Roman" w:hAnsi="Times New Roman"/>
          <w:color w:val="auto"/>
        </w:rPr>
        <w:t xml:space="preserve"> má</w:t>
      </w:r>
      <w:r w:rsidRPr="00992309" w:rsidR="00664C61">
        <w:rPr>
          <w:rFonts w:ascii="Times New Roman" w:hAnsi="Times New Roman"/>
          <w:color w:val="auto"/>
        </w:rPr>
        <w:t xml:space="preserve"> záväzky voči odovzdávajúcemu poskytovateľovi platobných služieb, ktoré bránia </w:t>
      </w:r>
      <w:r w:rsidR="006B41EA">
        <w:rPr>
          <w:rFonts w:ascii="Times New Roman" w:hAnsi="Times New Roman"/>
          <w:color w:val="auto"/>
        </w:rPr>
        <w:t xml:space="preserve">jeho zrušeniu </w:t>
      </w:r>
      <w:r w:rsidRPr="00992309" w:rsidR="00664C61">
        <w:rPr>
          <w:rFonts w:ascii="Times New Roman" w:hAnsi="Times New Roman"/>
          <w:color w:val="auto"/>
        </w:rPr>
        <w:t>platobného účtu</w:t>
      </w:r>
      <w:r w:rsidR="000920DE">
        <w:rPr>
          <w:rFonts w:ascii="Times New Roman" w:hAnsi="Times New Roman"/>
          <w:color w:val="auto"/>
        </w:rPr>
        <w:t>,</w:t>
      </w:r>
      <w:r w:rsidRPr="00992309" w:rsidR="00664C61">
        <w:rPr>
          <w:rFonts w:ascii="Times New Roman" w:hAnsi="Times New Roman"/>
          <w:color w:val="auto"/>
        </w:rPr>
        <w:t xml:space="preserve"> je o nich spotrebiteľ informovaný a vyzvaný na ich odstránenie.</w:t>
      </w:r>
      <w:r w:rsidR="005153F4">
        <w:rPr>
          <w:rFonts w:ascii="Times New Roman" w:hAnsi="Times New Roman"/>
          <w:color w:val="auto"/>
        </w:rPr>
        <w:t xml:space="preserve"> Analogicky sa postupuje aj v prípade prevodu finančných </w:t>
      </w:r>
      <w:r w:rsidR="000736B0">
        <w:rPr>
          <w:rFonts w:ascii="Times New Roman" w:hAnsi="Times New Roman"/>
          <w:color w:val="auto"/>
        </w:rPr>
        <w:t>prostriedkov</w:t>
      </w:r>
      <w:r w:rsidR="005153F4">
        <w:rPr>
          <w:rFonts w:ascii="Times New Roman" w:hAnsi="Times New Roman"/>
          <w:color w:val="auto"/>
        </w:rPr>
        <w:t xml:space="preserve">. </w:t>
      </w:r>
    </w:p>
    <w:p w:rsidR="0036595F" w:rsidRPr="00992309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Vzor tlačív požívaných na podávanie a vykonanie žiadosti o presun platobného účtu ustanoví všeobecne záväzný právny predpis vydaný Ministerstvom financií SR.</w:t>
      </w:r>
    </w:p>
    <w:p w:rsidR="000B08F8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color w:val="auto"/>
        </w:rPr>
      </w:pPr>
      <w:r w:rsidRPr="00992309" w:rsidR="002754F5">
        <w:rPr>
          <w:rFonts w:ascii="Times New Roman" w:hAnsi="Times New Roman"/>
          <w:color w:val="auto"/>
        </w:rPr>
        <w:t xml:space="preserve">Návrh zákona </w:t>
      </w:r>
      <w:r w:rsidRPr="00992309" w:rsidR="003834AB">
        <w:rPr>
          <w:rFonts w:ascii="Times New Roman" w:hAnsi="Times New Roman"/>
          <w:color w:val="auto"/>
        </w:rPr>
        <w:t xml:space="preserve">v § 44e </w:t>
      </w:r>
      <w:r w:rsidRPr="00992309" w:rsidR="002754F5">
        <w:rPr>
          <w:rFonts w:ascii="Times New Roman" w:hAnsi="Times New Roman"/>
          <w:color w:val="auto"/>
        </w:rPr>
        <w:t>upravuje aj postup zakladajúci spoluprácu medzi spotrebiteľom, ktorý má záujem o presun účtu do zahraničia a poskytovateľa platobných služieb, u ktorého má daný spotrebiteľ zriadený a vedený platobný účet. Spolupráca je iniciovaná zo strany spotrebiteľa podaním písomnej alebo elektronickej žiadosti o spoluprácu s uvedením konkrétneho dátumu, ktorý nes</w:t>
      </w:r>
      <w:r w:rsidRPr="00992309" w:rsidR="00317FA8">
        <w:rPr>
          <w:rFonts w:ascii="Times New Roman" w:hAnsi="Times New Roman"/>
          <w:color w:val="auto"/>
        </w:rPr>
        <w:t>m</w:t>
      </w:r>
      <w:r w:rsidRPr="00992309" w:rsidR="002754F5">
        <w:rPr>
          <w:rFonts w:ascii="Times New Roman" w:hAnsi="Times New Roman"/>
          <w:color w:val="auto"/>
        </w:rPr>
        <w:t xml:space="preserve">ie byť kratší ako 6 deň odo dňa doručenia žiadosti spotrebiteľa. Žiadosť o spoluprácu môže obsahovať zákonom dané podoby spolupráce. </w:t>
      </w:r>
      <w:r w:rsidR="008816BC">
        <w:rPr>
          <w:rFonts w:ascii="Times New Roman" w:hAnsi="Times New Roman"/>
          <w:color w:val="auto"/>
        </w:rPr>
        <w:t>Primerane sa použijú ustanovenia o presune platobného účtu.</w:t>
      </w:r>
    </w:p>
    <w:p w:rsidR="000B08F8" w:rsidRPr="00992309" w:rsidP="000B08F8">
      <w:pPr>
        <w:bidi w:val="0"/>
        <w:spacing w:before="100" w:beforeAutospacing="1" w:after="100" w:afterAutospacing="1"/>
        <w:jc w:val="both"/>
        <w:rPr>
          <w:rFonts w:ascii="Times New Roman" w:hAnsi="Times New Roman"/>
          <w:color w:val="auto"/>
        </w:rPr>
      </w:pPr>
      <w:r w:rsidRPr="00992309">
        <w:rPr>
          <w:rFonts w:ascii="Times New Roman" w:hAnsi="Times New Roman"/>
          <w:color w:val="auto"/>
        </w:rPr>
        <w:t>V súvislosti s presunom platobného účtu</w:t>
      </w:r>
      <w:r>
        <w:rPr>
          <w:rFonts w:ascii="Times New Roman" w:hAnsi="Times New Roman"/>
          <w:color w:val="auto"/>
        </w:rPr>
        <w:t xml:space="preserve"> a pri realizácií spolupráce</w:t>
      </w:r>
      <w:r w:rsidRPr="00992309">
        <w:rPr>
          <w:rFonts w:ascii="Times New Roman" w:hAnsi="Times New Roman"/>
          <w:color w:val="auto"/>
        </w:rPr>
        <w:t xml:space="preserve"> môže dôjsť k</w:t>
      </w:r>
      <w:r>
        <w:rPr>
          <w:rFonts w:ascii="Times New Roman" w:hAnsi="Times New Roman"/>
          <w:color w:val="auto"/>
        </w:rPr>
        <w:t> finančnej strate</w:t>
      </w:r>
      <w:r w:rsidRPr="00992309">
        <w:rPr>
          <w:rFonts w:ascii="Times New Roman" w:hAnsi="Times New Roman"/>
          <w:color w:val="auto"/>
        </w:rPr>
        <w:t xml:space="preserve">, za ktorú zodpovedá ten poskytovateľ platobných služieb, ktorý nedodržal povinnosti ustanovené zákonom, s výnimkou, ak preukáže vážne objektívne dôvody, ktoré nespôsobil a nemohol predvídať ani odvrátiť, príp. mu vyplývali z iných zákonných povinností. </w:t>
      </w:r>
    </w:p>
    <w:p w:rsidR="002754F5" w:rsidRPr="00992309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color w:val="auto"/>
        </w:rPr>
      </w:pPr>
      <w:r w:rsidR="008816BC">
        <w:rPr>
          <w:rFonts w:ascii="Times New Roman" w:hAnsi="Times New Roman"/>
          <w:color w:val="auto"/>
        </w:rPr>
        <w:t xml:space="preserve"> </w:t>
      </w:r>
      <w:r w:rsidRPr="00992309">
        <w:rPr>
          <w:rFonts w:ascii="Times New Roman" w:hAnsi="Times New Roman"/>
          <w:color w:val="auto"/>
        </w:rPr>
        <w:t>Spoločné ustanovenia k presunu platobného účtu a k cezhraničnému zriaďovaniu platobného účtu zakladajú, s ohľadom na podporu mobility spotrebiteľov a zvýšenie konkurenčného prostredia na trhu poskytovateľov platobných služieb,</w:t>
      </w:r>
      <w:r w:rsidRPr="00992309" w:rsidR="00F36ED1">
        <w:rPr>
          <w:rFonts w:ascii="Times New Roman" w:hAnsi="Times New Roman"/>
          <w:color w:val="auto"/>
        </w:rPr>
        <w:t xml:space="preserve"> zabezpečujú, že</w:t>
      </w:r>
      <w:r w:rsidRPr="00992309">
        <w:rPr>
          <w:rFonts w:ascii="Times New Roman" w:hAnsi="Times New Roman"/>
          <w:color w:val="auto"/>
        </w:rPr>
        <w:t xml:space="preserve"> všetky služby súvisiace s</w:t>
      </w:r>
      <w:r w:rsidR="00992309">
        <w:rPr>
          <w:rFonts w:ascii="Times New Roman" w:hAnsi="Times New Roman"/>
          <w:color w:val="auto"/>
        </w:rPr>
        <w:t>o</w:t>
      </w:r>
      <w:r w:rsidRPr="00992309">
        <w:rPr>
          <w:rFonts w:ascii="Times New Roman" w:hAnsi="Times New Roman"/>
          <w:color w:val="auto"/>
        </w:rPr>
        <w:t> </w:t>
      </w:r>
      <w:r w:rsidRPr="00992309" w:rsidR="00992309">
        <w:rPr>
          <w:rFonts w:ascii="Times New Roman" w:hAnsi="Times New Roman"/>
          <w:color w:val="auto"/>
        </w:rPr>
        <w:t xml:space="preserve">spoluprácou </w:t>
      </w:r>
      <w:r w:rsidR="00992309">
        <w:rPr>
          <w:rFonts w:ascii="Times New Roman" w:hAnsi="Times New Roman"/>
          <w:color w:val="auto"/>
        </w:rPr>
        <w:t xml:space="preserve">pri </w:t>
      </w:r>
      <w:r w:rsidRPr="00992309">
        <w:rPr>
          <w:rFonts w:ascii="Times New Roman" w:hAnsi="Times New Roman"/>
          <w:color w:val="auto"/>
        </w:rPr>
        <w:t>presun</w:t>
      </w:r>
      <w:r w:rsidR="00992309">
        <w:rPr>
          <w:rFonts w:ascii="Times New Roman" w:hAnsi="Times New Roman"/>
          <w:color w:val="auto"/>
        </w:rPr>
        <w:t>e</w:t>
      </w:r>
      <w:r w:rsidRPr="00992309">
        <w:rPr>
          <w:rFonts w:ascii="Times New Roman" w:hAnsi="Times New Roman"/>
          <w:color w:val="auto"/>
        </w:rPr>
        <w:t xml:space="preserve"> platobného účtu</w:t>
      </w:r>
      <w:r w:rsidR="00992309">
        <w:rPr>
          <w:rFonts w:ascii="Times New Roman" w:hAnsi="Times New Roman"/>
          <w:color w:val="auto"/>
        </w:rPr>
        <w:t xml:space="preserve"> boli bezplatné.</w:t>
      </w:r>
    </w:p>
    <w:p w:rsidR="00F36ED1" w:rsidRPr="00992309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color w:val="auto"/>
        </w:rPr>
      </w:pPr>
      <w:r w:rsidRPr="00992309">
        <w:rPr>
          <w:rFonts w:ascii="Times New Roman" w:hAnsi="Times New Roman"/>
          <w:color w:val="auto"/>
        </w:rPr>
        <w:t>Poskytovateľ platobných služieb zverejní informácie o postupe pri presune platobného účtu</w:t>
      </w:r>
      <w:r w:rsidR="000920DE">
        <w:rPr>
          <w:rFonts w:ascii="Times New Roman" w:hAnsi="Times New Roman"/>
          <w:color w:val="auto"/>
        </w:rPr>
        <w:t xml:space="preserve">          </w:t>
      </w:r>
      <w:r w:rsidRPr="00992309">
        <w:rPr>
          <w:rFonts w:ascii="Times New Roman" w:hAnsi="Times New Roman"/>
          <w:color w:val="auto"/>
        </w:rPr>
        <w:t xml:space="preserve"> a o cezhraničnom zriaďovaní účtu pre spotrebiteľa vo svojich priestoroch, kde vykonáva podnikateľskú činnosť a na úvodnej stránke svojho webového sídla priamo alebo prostredníctvom odkazu.</w:t>
      </w:r>
    </w:p>
    <w:p w:rsidR="002754F5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color w:val="auto"/>
        </w:rPr>
      </w:pPr>
      <w:r w:rsidRPr="00992309">
        <w:rPr>
          <w:rFonts w:ascii="Times New Roman" w:hAnsi="Times New Roman"/>
          <w:color w:val="auto"/>
        </w:rPr>
        <w:t>Zároveň je poskytovateľ platobných služieb viazaný zverejniť zákonom ustanovený zoznam informácií o presune platobného účtu a o spolupráci pri cezhraničnom zriaďovaní platobného účtu tak na svojom webovom sídle ako aj v priestoroch, v ktorých poskytuje svoje platobné služby.</w:t>
      </w:r>
    </w:p>
    <w:p w:rsidR="00065260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b/>
          <w:color w:val="auto"/>
        </w:rPr>
      </w:pPr>
      <w:r w:rsidR="00EF3A99">
        <w:rPr>
          <w:rFonts w:ascii="Times New Roman" w:hAnsi="Times New Roman"/>
          <w:b/>
          <w:color w:val="auto"/>
        </w:rPr>
        <w:t>K bodu 1</w:t>
      </w:r>
      <w:r>
        <w:rPr>
          <w:rFonts w:ascii="Times New Roman" w:hAnsi="Times New Roman"/>
          <w:b/>
          <w:color w:val="auto"/>
        </w:rPr>
        <w:t>4</w:t>
      </w:r>
    </w:p>
    <w:p w:rsidR="00065260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color w:val="auto"/>
        </w:rPr>
      </w:pPr>
      <w:r w:rsidRPr="008816BC">
        <w:rPr>
          <w:rFonts w:ascii="Times New Roman" w:hAnsi="Times New Roman"/>
          <w:color w:val="auto"/>
        </w:rPr>
        <w:t>Navrhovaným doplnením sa dosiahne vyšší stupeň súladu s článkom 10 bod 6 smernice Európskeho parlamentu a Rady 2007/64/ES o platobných službách na vnútornom trhu, ktorou sa menia a dopĺňajú smernice 97/7/ES, 2002/65/ES, 2005/60/ES a 2006/48/ES a ktorou sa zrušuje smernica 97/5/ES.</w:t>
      </w:r>
    </w:p>
    <w:p w:rsidR="00065260" w:rsidP="00065260">
      <w:pPr>
        <w:bidi w:val="0"/>
        <w:spacing w:before="100" w:beforeAutospacing="1" w:after="100" w:afterAutospacing="1"/>
        <w:jc w:val="both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K bodu 15</w:t>
      </w:r>
    </w:p>
    <w:p w:rsidR="00065260" w:rsidRPr="001E12E2" w:rsidP="00065260">
      <w:pPr>
        <w:bidi w:val="0"/>
        <w:jc w:val="both"/>
        <w:rPr>
          <w:rFonts w:ascii="Times New Roman" w:hAnsi="Times New Roman"/>
        </w:rPr>
      </w:pPr>
      <w:r w:rsidRPr="001E12E2">
        <w:rPr>
          <w:rFonts w:ascii="Times New Roman" w:hAnsi="Times New Roman"/>
        </w:rPr>
        <w:t xml:space="preserve">Navrhovaným ustanovením sa ukladá povinnosť platobnej inštitúcií v prípade zmeny obchodného mena alebo sídla tejto platobnej inštitúcie predložiť aj ďalšie doklady, slúžiace na preukázanie potrebných skutočností. </w:t>
      </w:r>
    </w:p>
    <w:p w:rsidR="00065260" w:rsidP="00065260">
      <w:pPr>
        <w:bidi w:val="0"/>
        <w:spacing w:before="100" w:beforeAutospacing="1" w:after="100" w:afterAutospacing="1"/>
        <w:jc w:val="both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K bodu 16</w:t>
      </w:r>
    </w:p>
    <w:p w:rsidR="00A960D0" w:rsidP="008C276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čiastkové legislatívne vyprecizovanie § </w:t>
      </w:r>
      <w:r w:rsidRPr="00A01C2E">
        <w:rPr>
          <w:rFonts w:ascii="Times New Roman" w:hAnsi="Times New Roman"/>
        </w:rPr>
        <w:t>68</w:t>
      </w:r>
      <w:r>
        <w:rPr>
          <w:rFonts w:ascii="Times New Roman" w:hAnsi="Times New Roman"/>
        </w:rPr>
        <w:t xml:space="preserve"> ods. 4 zákona o platobných  službách.</w:t>
      </w:r>
    </w:p>
    <w:p w:rsidR="00A960D0" w:rsidP="00A960D0">
      <w:pPr>
        <w:bidi w:val="0"/>
        <w:spacing w:before="100" w:beforeAutospacing="1" w:after="100" w:afterAutospacing="1"/>
        <w:jc w:val="both"/>
        <w:rPr>
          <w:rFonts w:ascii="Times New Roman" w:hAnsi="Times New Roman"/>
          <w:b/>
          <w:color w:val="auto"/>
        </w:rPr>
      </w:pPr>
      <w:r w:rsidRPr="008816BC">
        <w:rPr>
          <w:rFonts w:ascii="Times New Roman" w:hAnsi="Times New Roman"/>
          <w:b/>
          <w:color w:val="auto"/>
        </w:rPr>
        <w:t>K bodu 1</w:t>
      </w:r>
      <w:r>
        <w:rPr>
          <w:rFonts w:ascii="Times New Roman" w:hAnsi="Times New Roman"/>
          <w:b/>
          <w:color w:val="auto"/>
        </w:rPr>
        <w:t>7</w:t>
      </w:r>
    </w:p>
    <w:p w:rsidR="00065260" w:rsidRPr="008816BC" w:rsidP="008816BC">
      <w:pPr>
        <w:bidi w:val="0"/>
        <w:jc w:val="both"/>
        <w:rPr>
          <w:rFonts w:ascii="Times New Roman" w:hAnsi="Times New Roman"/>
        </w:rPr>
      </w:pPr>
      <w:r w:rsidRPr="008816BC">
        <w:rPr>
          <w:rFonts w:ascii="Times New Roman" w:hAnsi="Times New Roman"/>
        </w:rPr>
        <w:t>Navrhovanou zmenou sa dopĺňa nová príloha k žiadosti. Účelom doplnenia novej prílohy je získanie komplexnejších informácií o zámere žiadateľa a zároveň zabezpečenie vyššieho stupňa odborného posúdenia tohto zámeru.</w:t>
      </w:r>
    </w:p>
    <w:p w:rsidR="00A960D0" w:rsidRPr="008816BC" w:rsidP="00A960D0">
      <w:pPr>
        <w:bidi w:val="0"/>
        <w:spacing w:before="100" w:beforeAutospacing="1" w:after="100" w:afterAutospacing="1"/>
        <w:jc w:val="both"/>
        <w:rPr>
          <w:rFonts w:ascii="Times New Roman" w:hAnsi="Times New Roman"/>
          <w:b/>
          <w:color w:val="auto"/>
        </w:rPr>
      </w:pPr>
      <w:r w:rsidRPr="008816BC">
        <w:rPr>
          <w:rFonts w:ascii="Times New Roman" w:hAnsi="Times New Roman"/>
          <w:b/>
          <w:color w:val="auto"/>
        </w:rPr>
        <w:t>K bodu 18</w:t>
      </w:r>
    </w:p>
    <w:p w:rsidR="003834AB" w:rsidRPr="008816BC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color w:val="auto"/>
        </w:rPr>
      </w:pPr>
      <w:r w:rsidRPr="008816BC" w:rsidR="00065260">
        <w:rPr>
          <w:rFonts w:ascii="Times New Roman" w:hAnsi="Times New Roman"/>
          <w:color w:val="auto"/>
        </w:rPr>
        <w:t>Navrhovaným doplnením sa dosiahne vyšší stupeň súladu s článkom 3 bod 1 smernice Európskeho parlamentu a Rady 2009/110/ES o začatí a vykonávaní činností a dohľade nad obozretným podnikaním inštitúcií elektronického peňažníctva, ktorou sa menia a dopĺňajú smernice 2005/60/ES a 2006/48/ES a zrušuje smernica 2000/46/ES.</w:t>
      </w:r>
    </w:p>
    <w:p w:rsidR="00A960D0" w:rsidRPr="00992309" w:rsidP="00A960D0">
      <w:pPr>
        <w:bidi w:val="0"/>
        <w:spacing w:before="100" w:beforeAutospacing="1" w:after="100" w:afterAutospacing="1"/>
        <w:jc w:val="both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K bodu 19</w:t>
      </w:r>
    </w:p>
    <w:p w:rsidR="002D6FEB" w:rsidRPr="00992309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color w:val="auto"/>
        </w:rPr>
      </w:pPr>
      <w:r w:rsidRPr="00992309">
        <w:rPr>
          <w:rFonts w:ascii="Times New Roman" w:hAnsi="Times New Roman"/>
          <w:color w:val="auto"/>
        </w:rPr>
        <w:t xml:space="preserve">Rozširuje sa okruh ustanovení § 96 o splnomocňovacie ustanovenia, na základe ktorých je </w:t>
      </w:r>
      <w:r w:rsidRPr="00992309" w:rsidR="00715602">
        <w:rPr>
          <w:rFonts w:ascii="Times New Roman" w:hAnsi="Times New Roman"/>
          <w:color w:val="auto"/>
        </w:rPr>
        <w:t>NBS</w:t>
      </w:r>
      <w:r w:rsidRPr="00992309">
        <w:rPr>
          <w:rFonts w:ascii="Times New Roman" w:hAnsi="Times New Roman"/>
          <w:color w:val="auto"/>
        </w:rPr>
        <w:t xml:space="preserve"> oprávnená vydať, alebo má možnosť vydať  opatrenia </w:t>
      </w:r>
      <w:r w:rsidRPr="00992309" w:rsidR="00CB285E">
        <w:rPr>
          <w:rFonts w:ascii="Times New Roman" w:hAnsi="Times New Roman"/>
          <w:color w:val="auto"/>
        </w:rPr>
        <w:t>NBS</w:t>
      </w:r>
      <w:r w:rsidRPr="00992309">
        <w:rPr>
          <w:rFonts w:ascii="Times New Roman" w:hAnsi="Times New Roman"/>
          <w:color w:val="auto"/>
        </w:rPr>
        <w:t xml:space="preserve">, ako vykonávacie právne predpisy k zákonu. </w:t>
      </w:r>
    </w:p>
    <w:p w:rsidR="00A960D0" w:rsidRPr="009255E2" w:rsidP="00A960D0">
      <w:pPr>
        <w:bidi w:val="0"/>
        <w:spacing w:before="100" w:beforeAutospacing="1" w:after="100" w:afterAutospacing="1"/>
        <w:jc w:val="both"/>
        <w:rPr>
          <w:rFonts w:ascii="Times New Roman" w:hAnsi="Times New Roman"/>
          <w:b/>
          <w:color w:val="auto"/>
        </w:rPr>
      </w:pPr>
      <w:r w:rsidRPr="009255E2">
        <w:rPr>
          <w:rFonts w:ascii="Times New Roman" w:hAnsi="Times New Roman"/>
          <w:b/>
          <w:color w:val="auto"/>
        </w:rPr>
        <w:t>K bodu 20</w:t>
      </w:r>
    </w:p>
    <w:p w:rsidR="002D6FEB" w:rsidRPr="00992309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color w:val="auto"/>
        </w:rPr>
      </w:pPr>
      <w:r w:rsidRPr="00992309">
        <w:rPr>
          <w:rFonts w:ascii="Times New Roman" w:hAnsi="Times New Roman"/>
          <w:color w:val="auto"/>
        </w:rPr>
        <w:t xml:space="preserve">Upravuje sa povinnosť </w:t>
      </w:r>
      <w:r w:rsidRPr="00992309" w:rsidR="00CB285E">
        <w:rPr>
          <w:rFonts w:ascii="Times New Roman" w:hAnsi="Times New Roman"/>
          <w:color w:val="auto"/>
        </w:rPr>
        <w:t>NBS</w:t>
      </w:r>
      <w:r w:rsidRPr="00992309">
        <w:rPr>
          <w:rFonts w:ascii="Times New Roman" w:hAnsi="Times New Roman"/>
          <w:color w:val="auto"/>
        </w:rPr>
        <w:t xml:space="preserve"> informovať príslušné orgány Európskej únie o prebratí ustanovení smernice PAD.</w:t>
      </w:r>
    </w:p>
    <w:p w:rsidR="00A960D0" w:rsidRPr="00992309" w:rsidP="00A960D0">
      <w:pPr>
        <w:bidi w:val="0"/>
        <w:spacing w:before="100" w:beforeAutospacing="1" w:after="100" w:afterAutospacing="1"/>
        <w:jc w:val="both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K bodu 21</w:t>
      </w:r>
    </w:p>
    <w:p w:rsidR="00E255C4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color w:val="auto"/>
        </w:rPr>
      </w:pPr>
      <w:r w:rsidRPr="009255E2">
        <w:rPr>
          <w:rFonts w:ascii="Times New Roman" w:hAnsi="Times New Roman"/>
          <w:color w:val="auto"/>
        </w:rPr>
        <w:t xml:space="preserve">Prechodné ustanovenia reagujú na vytvorenie zoznamu podľa § 44a sa upravujú </w:t>
      </w:r>
      <w:r w:rsidRPr="009255E2" w:rsidR="009255E2">
        <w:rPr>
          <w:rFonts w:ascii="Times New Roman" w:hAnsi="Times New Roman"/>
          <w:color w:val="auto"/>
        </w:rPr>
        <w:t xml:space="preserve">na to nadväzujúce </w:t>
      </w:r>
      <w:r w:rsidRPr="009255E2">
        <w:rPr>
          <w:rFonts w:ascii="Times New Roman" w:hAnsi="Times New Roman"/>
          <w:color w:val="auto"/>
        </w:rPr>
        <w:t>prechodné ustanovenia týkajúce sa dokumentu s </w:t>
      </w:r>
      <w:r w:rsidRPr="009255E2" w:rsidR="00E75A75">
        <w:rPr>
          <w:rFonts w:ascii="Times New Roman" w:hAnsi="Times New Roman"/>
          <w:color w:val="auto"/>
        </w:rPr>
        <w:t>informáciami</w:t>
      </w:r>
      <w:r w:rsidRPr="009255E2">
        <w:rPr>
          <w:rFonts w:ascii="Times New Roman" w:hAnsi="Times New Roman"/>
          <w:color w:val="auto"/>
        </w:rPr>
        <w:t xml:space="preserve"> o</w:t>
      </w:r>
      <w:r w:rsidR="000920DE">
        <w:rPr>
          <w:rFonts w:ascii="Times New Roman" w:hAnsi="Times New Roman"/>
          <w:color w:val="auto"/>
        </w:rPr>
        <w:t> </w:t>
      </w:r>
      <w:r w:rsidRPr="009255E2">
        <w:rPr>
          <w:rFonts w:ascii="Times New Roman" w:hAnsi="Times New Roman"/>
          <w:color w:val="auto"/>
        </w:rPr>
        <w:t>poplatkoch</w:t>
      </w:r>
      <w:r w:rsidR="000920DE">
        <w:rPr>
          <w:rFonts w:ascii="Times New Roman" w:hAnsi="Times New Roman"/>
          <w:color w:val="auto"/>
        </w:rPr>
        <w:t xml:space="preserve">         </w:t>
      </w:r>
      <w:r w:rsidRPr="009255E2">
        <w:rPr>
          <w:rFonts w:ascii="Times New Roman" w:hAnsi="Times New Roman"/>
          <w:color w:val="auto"/>
        </w:rPr>
        <w:t xml:space="preserve"> a výpisu poplatkov.</w:t>
      </w:r>
      <w:r w:rsidRPr="00992309">
        <w:rPr>
          <w:rFonts w:ascii="Times New Roman" w:hAnsi="Times New Roman"/>
          <w:color w:val="auto"/>
        </w:rPr>
        <w:t xml:space="preserve"> </w:t>
      </w:r>
      <w:r w:rsidR="00405020">
        <w:rPr>
          <w:rFonts w:ascii="Times New Roman" w:hAnsi="Times New Roman"/>
          <w:color w:val="auto"/>
        </w:rPr>
        <w:t xml:space="preserve">Uvedené ustanovenia bude možné zo strany NBS aplikovať až po prijatí osobitných predpisov Komisie a zo strany poskytovateľov platobných služieb po aktualizácií zoznamu. </w:t>
      </w:r>
    </w:p>
    <w:p w:rsidR="009255E2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Presun platobných účtov</w:t>
      </w:r>
      <w:r w:rsidR="00405020">
        <w:rPr>
          <w:rFonts w:ascii="Times New Roman" w:hAnsi="Times New Roman"/>
          <w:color w:val="auto"/>
        </w:rPr>
        <w:t xml:space="preserve"> spoluprácu pri presune platobného účtu</w:t>
      </w:r>
      <w:r>
        <w:rPr>
          <w:rFonts w:ascii="Times New Roman" w:hAnsi="Times New Roman"/>
          <w:color w:val="auto"/>
        </w:rPr>
        <w:t xml:space="preserve"> sú poskytovatelia platobných služieb povinní vykonávať najneskôr od 15. marca 2016.</w:t>
      </w:r>
    </w:p>
    <w:p w:rsidR="00405020" w:rsidRPr="00992309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color w:val="auto"/>
        </w:rPr>
      </w:pPr>
      <w:r w:rsidR="000920DE">
        <w:rPr>
          <w:rFonts w:ascii="Times New Roman" w:hAnsi="Times New Roman"/>
          <w:color w:val="auto"/>
        </w:rPr>
        <w:t>Úprava</w:t>
      </w:r>
      <w:r>
        <w:rPr>
          <w:rFonts w:ascii="Times New Roman" w:hAnsi="Times New Roman"/>
          <w:color w:val="auto"/>
        </w:rPr>
        <w:t xml:space="preserve"> lehoty nadväzuje na osobitné ustanovenia v zákone o bankách týkajúce sa základného bankového produktu a platobného účtu so základnými funkciami. </w:t>
      </w:r>
    </w:p>
    <w:p w:rsidR="00A960D0" w:rsidRPr="00992309" w:rsidP="00A960D0">
      <w:pPr>
        <w:bidi w:val="0"/>
        <w:spacing w:before="100" w:beforeAutospacing="1" w:after="100" w:afterAutospacing="1"/>
        <w:jc w:val="both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K bodu 22</w:t>
      </w:r>
    </w:p>
    <w:p w:rsidR="00E255C4" w:rsidRPr="00992309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color w:val="auto"/>
        </w:rPr>
      </w:pPr>
      <w:r w:rsidRPr="00992309">
        <w:rPr>
          <w:rFonts w:ascii="Times New Roman" w:hAnsi="Times New Roman"/>
          <w:color w:val="auto"/>
        </w:rPr>
        <w:t xml:space="preserve">Dopĺňa sa príloha k zákonu, ktorá obsahuje zoznam preberaných právnych aktov.  </w:t>
      </w:r>
    </w:p>
    <w:p w:rsidR="00554D75" w:rsidRPr="00992309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b/>
          <w:bCs/>
          <w:color w:val="auto"/>
        </w:rPr>
      </w:pPr>
      <w:r w:rsidRPr="00992309">
        <w:rPr>
          <w:rFonts w:ascii="Times New Roman" w:hAnsi="Times New Roman"/>
          <w:b/>
          <w:bCs/>
          <w:color w:val="auto"/>
        </w:rPr>
        <w:t>K Čl. II</w:t>
      </w:r>
    </w:p>
    <w:p w:rsidR="00554D75" w:rsidRPr="00992309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color w:val="auto"/>
        </w:rPr>
      </w:pPr>
      <w:r w:rsidRPr="00992309">
        <w:rPr>
          <w:rFonts w:ascii="Times New Roman" w:hAnsi="Times New Roman"/>
          <w:color w:val="auto"/>
        </w:rPr>
        <w:t>Návrhom zákona sa novelizuje zákon č. 483/2001 Z. z. o bankách a o zmene a doplnení niektorých zákonov  v znení neskorších predpisov, ktorým sa mení koncept prístupu k základnému bankovému produktu v súlade</w:t>
      </w:r>
      <w:r w:rsidRPr="00992309" w:rsidR="007F5844">
        <w:rPr>
          <w:rFonts w:ascii="Times New Roman" w:hAnsi="Times New Roman"/>
          <w:color w:val="auto"/>
        </w:rPr>
        <w:t xml:space="preserve"> </w:t>
      </w:r>
      <w:r w:rsidRPr="00992309">
        <w:rPr>
          <w:rFonts w:ascii="Times New Roman" w:hAnsi="Times New Roman"/>
          <w:color w:val="auto"/>
        </w:rPr>
        <w:t>so smernicou PAD.</w:t>
      </w:r>
    </w:p>
    <w:p w:rsidR="00DC3DEA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>K bod</w:t>
      </w:r>
      <w:r w:rsidR="00A960D0">
        <w:rPr>
          <w:rFonts w:ascii="Times New Roman" w:hAnsi="Times New Roman"/>
          <w:b/>
          <w:bCs/>
          <w:color w:val="auto"/>
        </w:rPr>
        <w:t>u</w:t>
      </w:r>
      <w:r>
        <w:rPr>
          <w:rFonts w:ascii="Times New Roman" w:hAnsi="Times New Roman"/>
          <w:b/>
          <w:bCs/>
          <w:color w:val="auto"/>
        </w:rPr>
        <w:t xml:space="preserve"> 1 </w:t>
      </w:r>
    </w:p>
    <w:p w:rsidR="00DC3DEA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color w:val="auto"/>
        </w:rPr>
      </w:pPr>
      <w:r w:rsidRPr="00405020">
        <w:rPr>
          <w:rFonts w:ascii="Times New Roman" w:hAnsi="Times New Roman"/>
          <w:color w:val="auto"/>
        </w:rPr>
        <w:t xml:space="preserve">Legislatívno-technická úprava textu. </w:t>
      </w:r>
    </w:p>
    <w:p w:rsidR="00A960D0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b/>
          <w:color w:val="auto"/>
        </w:rPr>
      </w:pPr>
      <w:r w:rsidRPr="00405020">
        <w:rPr>
          <w:rFonts w:ascii="Times New Roman" w:hAnsi="Times New Roman"/>
          <w:b/>
          <w:color w:val="auto"/>
        </w:rPr>
        <w:t>K</w:t>
      </w:r>
      <w:r w:rsidRPr="000736B0">
        <w:rPr>
          <w:rFonts w:ascii="Times New Roman" w:hAnsi="Times New Roman"/>
          <w:b/>
          <w:color w:val="auto"/>
        </w:rPr>
        <w:t> </w:t>
      </w:r>
      <w:r w:rsidRPr="00405020">
        <w:rPr>
          <w:rFonts w:ascii="Times New Roman" w:hAnsi="Times New Roman"/>
          <w:b/>
          <w:color w:val="auto"/>
        </w:rPr>
        <w:t>bodu 2</w:t>
      </w:r>
    </w:p>
    <w:p w:rsidR="00A960D0" w:rsidRPr="00405020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color w:val="auto"/>
        </w:rPr>
      </w:pPr>
      <w:r w:rsidRPr="00405020">
        <w:rPr>
          <w:rFonts w:ascii="Times New Roman" w:hAnsi="Times New Roman"/>
          <w:color w:val="auto"/>
        </w:rPr>
        <w:t xml:space="preserve">Rozšírenie úpravy základného bankového produktu. </w:t>
      </w:r>
    </w:p>
    <w:p w:rsidR="00554D75" w:rsidRPr="00992309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b/>
          <w:bCs/>
          <w:color w:val="auto"/>
        </w:rPr>
      </w:pPr>
      <w:r w:rsidRPr="00992309">
        <w:rPr>
          <w:rFonts w:ascii="Times New Roman" w:hAnsi="Times New Roman"/>
          <w:b/>
          <w:bCs/>
          <w:color w:val="auto"/>
        </w:rPr>
        <w:t xml:space="preserve">K bodu </w:t>
      </w:r>
      <w:r w:rsidR="00A960D0">
        <w:rPr>
          <w:rFonts w:ascii="Times New Roman" w:hAnsi="Times New Roman"/>
          <w:b/>
          <w:bCs/>
          <w:color w:val="auto"/>
        </w:rPr>
        <w:t>3</w:t>
      </w:r>
    </w:p>
    <w:p w:rsidR="00554D75" w:rsidRPr="00992309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color w:val="auto"/>
        </w:rPr>
      </w:pPr>
      <w:r w:rsidRPr="00992309">
        <w:rPr>
          <w:rFonts w:ascii="Times New Roman" w:hAnsi="Times New Roman"/>
          <w:color w:val="auto"/>
        </w:rPr>
        <w:t>Osoba s pobytom v Európskej únií má definične obsiahnuť všetkých občanov v rámci Európskej únie, ktor</w:t>
      </w:r>
      <w:r w:rsidRPr="00992309" w:rsidR="00CB285E">
        <w:rPr>
          <w:rFonts w:ascii="Times New Roman" w:hAnsi="Times New Roman"/>
          <w:color w:val="auto"/>
        </w:rPr>
        <w:t>í</w:t>
      </w:r>
      <w:r w:rsidRPr="00992309">
        <w:rPr>
          <w:rFonts w:ascii="Times New Roman" w:hAnsi="Times New Roman"/>
          <w:color w:val="auto"/>
        </w:rPr>
        <w:t xml:space="preserve"> majú</w:t>
      </w:r>
      <w:r w:rsidRPr="00992309" w:rsidR="003E1429">
        <w:rPr>
          <w:rFonts w:ascii="Times New Roman" w:hAnsi="Times New Roman"/>
          <w:color w:val="auto"/>
        </w:rPr>
        <w:t xml:space="preserve"> pobyt a</w:t>
      </w:r>
      <w:r w:rsidRPr="00992309">
        <w:rPr>
          <w:rFonts w:ascii="Times New Roman" w:hAnsi="Times New Roman"/>
          <w:color w:val="auto"/>
        </w:rPr>
        <w:t xml:space="preserve"> právo na pobyt v jednotlivých členských štátoch a na území Slovenskej republiky. Našou legislatívou je pobyt upraven</w:t>
      </w:r>
      <w:r w:rsidRPr="00992309" w:rsidR="003E1429">
        <w:rPr>
          <w:rFonts w:ascii="Times New Roman" w:hAnsi="Times New Roman"/>
          <w:color w:val="auto"/>
        </w:rPr>
        <w:t>ý</w:t>
      </w:r>
      <w:r w:rsidRPr="00992309">
        <w:rPr>
          <w:rFonts w:ascii="Times New Roman" w:hAnsi="Times New Roman"/>
          <w:color w:val="auto"/>
        </w:rPr>
        <w:t xml:space="preserve"> v</w:t>
      </w:r>
      <w:r w:rsidRPr="00992309" w:rsidR="003E1429">
        <w:rPr>
          <w:rFonts w:ascii="Times New Roman" w:hAnsi="Times New Roman"/>
          <w:color w:val="auto"/>
        </w:rPr>
        <w:t xml:space="preserve"> zákon č. 253/1998 Z. z. </w:t>
      </w:r>
      <w:r w:rsidR="000920DE">
        <w:rPr>
          <w:rFonts w:ascii="Times New Roman" w:hAnsi="Times New Roman"/>
          <w:color w:val="auto"/>
        </w:rPr>
        <w:t xml:space="preserve">        </w:t>
      </w:r>
      <w:r w:rsidRPr="00992309" w:rsidR="003E1429">
        <w:rPr>
          <w:rFonts w:ascii="Times New Roman" w:hAnsi="Times New Roman"/>
          <w:color w:val="auto"/>
        </w:rPr>
        <w:t xml:space="preserve">o hlásení pobytu občanov Slovenskej republiky a registri obyvateľov Slovenskej republiky </w:t>
      </w:r>
      <w:r w:rsidR="000920DE">
        <w:rPr>
          <w:rFonts w:ascii="Times New Roman" w:hAnsi="Times New Roman"/>
          <w:color w:val="auto"/>
        </w:rPr>
        <w:t xml:space="preserve">          </w:t>
      </w:r>
      <w:r w:rsidRPr="00992309" w:rsidR="003E1429">
        <w:rPr>
          <w:rFonts w:ascii="Times New Roman" w:hAnsi="Times New Roman"/>
          <w:color w:val="auto"/>
        </w:rPr>
        <w:t>v znení neskorších predpisov, v</w:t>
      </w:r>
      <w:r w:rsidRPr="00992309">
        <w:rPr>
          <w:rFonts w:ascii="Times New Roman" w:hAnsi="Times New Roman"/>
          <w:color w:val="auto"/>
        </w:rPr>
        <w:t> zákone  č. 480/2002 Z. z. o azyle a o zmene a doplnení niektorých zákonov v znení neskorších predpisov</w:t>
      </w:r>
      <w:r w:rsidRPr="00992309" w:rsidR="003E1429">
        <w:rPr>
          <w:rFonts w:ascii="Times New Roman" w:hAnsi="Times New Roman"/>
          <w:color w:val="auto"/>
        </w:rPr>
        <w:t xml:space="preserve">, v zákone </w:t>
      </w:r>
      <w:r w:rsidRPr="00992309">
        <w:rPr>
          <w:rFonts w:ascii="Times New Roman" w:hAnsi="Times New Roman"/>
          <w:color w:val="auto"/>
        </w:rPr>
        <w:t xml:space="preserve"> a</w:t>
      </w:r>
      <w:r w:rsidRPr="00992309" w:rsidR="003E1429">
        <w:rPr>
          <w:rFonts w:ascii="Times New Roman" w:hAnsi="Times New Roman"/>
          <w:color w:val="auto"/>
        </w:rPr>
        <w:t xml:space="preserve"> v</w:t>
      </w:r>
      <w:r w:rsidRPr="00992309">
        <w:rPr>
          <w:rFonts w:ascii="Times New Roman" w:hAnsi="Times New Roman"/>
          <w:color w:val="auto"/>
        </w:rPr>
        <w:t> zákon</w:t>
      </w:r>
      <w:r w:rsidRPr="00992309" w:rsidR="003E1429">
        <w:rPr>
          <w:rFonts w:ascii="Times New Roman" w:hAnsi="Times New Roman"/>
          <w:color w:val="auto"/>
        </w:rPr>
        <w:t>e</w:t>
      </w:r>
      <w:r w:rsidRPr="00992309">
        <w:rPr>
          <w:rFonts w:ascii="Times New Roman" w:hAnsi="Times New Roman"/>
          <w:color w:val="auto"/>
        </w:rPr>
        <w:t xml:space="preserve"> č. 404/2011 Z. z. </w:t>
      </w:r>
      <w:r w:rsidR="000920DE">
        <w:rPr>
          <w:rFonts w:ascii="Times New Roman" w:hAnsi="Times New Roman"/>
          <w:color w:val="auto"/>
        </w:rPr>
        <w:t xml:space="preserve">      </w:t>
      </w:r>
      <w:r w:rsidRPr="00992309">
        <w:rPr>
          <w:rFonts w:ascii="Times New Roman" w:hAnsi="Times New Roman"/>
          <w:color w:val="auto"/>
        </w:rPr>
        <w:t>o pobyte cudzincov a o zmene a doplnení niektorých zákonov v znení neskorších predpisov.</w:t>
      </w:r>
    </w:p>
    <w:p w:rsidR="00554D75" w:rsidRPr="00992309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color w:val="auto"/>
        </w:rPr>
      </w:pPr>
      <w:r w:rsidRPr="00992309">
        <w:rPr>
          <w:rFonts w:ascii="Times New Roman" w:hAnsi="Times New Roman"/>
          <w:color w:val="auto"/>
        </w:rPr>
        <w:t>Vymedzuje sa pojem „</w:t>
      </w:r>
      <w:r w:rsidRPr="00992309" w:rsidR="001F2EFF">
        <w:rPr>
          <w:rFonts w:ascii="Times New Roman" w:hAnsi="Times New Roman"/>
          <w:color w:val="auto"/>
        </w:rPr>
        <w:t>platobný účet so základnými funkciami</w:t>
      </w:r>
      <w:r w:rsidRPr="00992309" w:rsidR="00405D80">
        <w:rPr>
          <w:rFonts w:ascii="Times New Roman" w:hAnsi="Times New Roman"/>
          <w:color w:val="auto"/>
        </w:rPr>
        <w:t>“</w:t>
      </w:r>
      <w:r w:rsidRPr="00992309" w:rsidR="001F2EFF">
        <w:rPr>
          <w:rFonts w:ascii="Times New Roman" w:hAnsi="Times New Roman"/>
          <w:color w:val="auto"/>
        </w:rPr>
        <w:t xml:space="preserve"> a jeho obsahové vymedzenie v súlade so znením smernice PAD.</w:t>
      </w:r>
    </w:p>
    <w:p w:rsidR="002D6FEB" w:rsidRPr="00992309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b/>
          <w:bCs/>
          <w:color w:val="auto"/>
        </w:rPr>
      </w:pPr>
      <w:r w:rsidRPr="00992309">
        <w:rPr>
          <w:rFonts w:ascii="Times New Roman" w:hAnsi="Times New Roman"/>
          <w:b/>
          <w:bCs/>
          <w:color w:val="auto"/>
        </w:rPr>
        <w:t>K bod</w:t>
      </w:r>
      <w:r w:rsidR="00DC3DEA">
        <w:rPr>
          <w:rFonts w:ascii="Times New Roman" w:hAnsi="Times New Roman"/>
          <w:b/>
          <w:bCs/>
          <w:color w:val="auto"/>
        </w:rPr>
        <w:t>om</w:t>
      </w:r>
      <w:r w:rsidRPr="00992309">
        <w:rPr>
          <w:rFonts w:ascii="Times New Roman" w:hAnsi="Times New Roman"/>
          <w:b/>
          <w:bCs/>
          <w:color w:val="auto"/>
        </w:rPr>
        <w:t xml:space="preserve"> </w:t>
      </w:r>
      <w:r w:rsidR="00A960D0">
        <w:rPr>
          <w:rFonts w:ascii="Times New Roman" w:hAnsi="Times New Roman"/>
          <w:b/>
          <w:bCs/>
          <w:color w:val="auto"/>
        </w:rPr>
        <w:t>4 a</w:t>
      </w:r>
      <w:r w:rsidRPr="00992309" w:rsidR="00992309">
        <w:rPr>
          <w:rFonts w:ascii="Times New Roman" w:hAnsi="Times New Roman"/>
          <w:b/>
          <w:bCs/>
          <w:color w:val="auto"/>
        </w:rPr>
        <w:t xml:space="preserve"> </w:t>
      </w:r>
      <w:r w:rsidR="00A960D0">
        <w:rPr>
          <w:rFonts w:ascii="Times New Roman" w:hAnsi="Times New Roman"/>
          <w:b/>
          <w:bCs/>
          <w:color w:val="auto"/>
        </w:rPr>
        <w:t>5</w:t>
      </w:r>
    </w:p>
    <w:p w:rsidR="00AE6AEA" w:rsidRPr="00992309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bCs/>
          <w:color w:val="auto"/>
        </w:rPr>
      </w:pPr>
      <w:r w:rsidRPr="00992309" w:rsidR="00460DC8">
        <w:rPr>
          <w:rFonts w:ascii="Times New Roman" w:hAnsi="Times New Roman"/>
          <w:bCs/>
          <w:color w:val="auto"/>
        </w:rPr>
        <w:t>Novelizáciou</w:t>
      </w:r>
      <w:r w:rsidRPr="00992309">
        <w:rPr>
          <w:rFonts w:ascii="Times New Roman" w:hAnsi="Times New Roman"/>
          <w:bCs/>
          <w:color w:val="auto"/>
        </w:rPr>
        <w:t xml:space="preserve"> podmienok pre poskytnutie základného bankového produktu upravuje možnosť </w:t>
      </w:r>
      <w:r w:rsidRPr="00992309" w:rsidR="00460DC8">
        <w:rPr>
          <w:rFonts w:ascii="Times New Roman" w:hAnsi="Times New Roman"/>
          <w:bCs/>
          <w:color w:val="auto"/>
        </w:rPr>
        <w:t>pre spotrebiteľa mať súčasne vkladový účet a peňažný vklad potvrdený vkladnou knižkou</w:t>
      </w:r>
      <w:r w:rsidR="009255E2">
        <w:rPr>
          <w:rFonts w:ascii="Times New Roman" w:hAnsi="Times New Roman"/>
          <w:bCs/>
          <w:color w:val="auto"/>
        </w:rPr>
        <w:t xml:space="preserve"> a prijímať vklady formou sporiaceho programu</w:t>
      </w:r>
      <w:r w:rsidRPr="00992309" w:rsidR="00460DC8">
        <w:rPr>
          <w:rFonts w:ascii="Times New Roman" w:hAnsi="Times New Roman"/>
          <w:bCs/>
          <w:color w:val="auto"/>
        </w:rPr>
        <w:t>.</w:t>
      </w:r>
    </w:p>
    <w:p w:rsidR="00A960D0" w:rsidRPr="00405020" w:rsidP="00390473">
      <w:pPr>
        <w:bidi w:val="0"/>
        <w:spacing w:before="100" w:beforeAutospacing="1" w:after="100" w:afterAutospacing="1"/>
        <w:jc w:val="both"/>
        <w:rPr>
          <w:rFonts w:ascii="Times New Roman" w:hAnsi="Times New Roman"/>
          <w:b/>
          <w:bCs/>
          <w:color w:val="auto"/>
        </w:rPr>
      </w:pPr>
      <w:r w:rsidRPr="00405020">
        <w:rPr>
          <w:rFonts w:ascii="Times New Roman" w:hAnsi="Times New Roman"/>
          <w:b/>
          <w:bCs/>
          <w:color w:val="auto"/>
        </w:rPr>
        <w:t>K</w:t>
      </w:r>
      <w:r w:rsidRPr="000736B0">
        <w:rPr>
          <w:rFonts w:ascii="Times New Roman" w:hAnsi="Times New Roman"/>
          <w:b/>
          <w:bCs/>
          <w:color w:val="auto"/>
        </w:rPr>
        <w:t> </w:t>
      </w:r>
      <w:r w:rsidRPr="00405020">
        <w:rPr>
          <w:rFonts w:ascii="Times New Roman" w:hAnsi="Times New Roman"/>
          <w:b/>
          <w:bCs/>
          <w:color w:val="auto"/>
        </w:rPr>
        <w:t>bodu 6</w:t>
      </w:r>
    </w:p>
    <w:p w:rsidR="00390473" w:rsidRPr="00992309" w:rsidP="00390473">
      <w:pPr>
        <w:bidi w:val="0"/>
        <w:spacing w:before="100" w:beforeAutospacing="1" w:after="100" w:afterAutospacing="1"/>
        <w:jc w:val="both"/>
        <w:rPr>
          <w:rFonts w:ascii="Times New Roman" w:hAnsi="Times New Roman"/>
          <w:bCs/>
          <w:color w:val="auto"/>
        </w:rPr>
      </w:pPr>
      <w:r w:rsidRPr="00992309">
        <w:rPr>
          <w:rFonts w:ascii="Times New Roman" w:hAnsi="Times New Roman"/>
          <w:bCs/>
          <w:color w:val="auto"/>
        </w:rPr>
        <w:t xml:space="preserve">Podmienka pre poskytnutie základného bankového produktu sa upravuje z mesačného príjmu, ktorý nie je vyšší ako minimálna mzda na hornú hranicu </w:t>
      </w:r>
      <w:r w:rsidR="009255E2">
        <w:rPr>
          <w:rFonts w:ascii="Times New Roman" w:hAnsi="Times New Roman"/>
          <w:bCs/>
          <w:color w:val="auto"/>
        </w:rPr>
        <w:t xml:space="preserve">čistého mesačného </w:t>
      </w:r>
      <w:r w:rsidRPr="00363612" w:rsidR="009255E2">
        <w:rPr>
          <w:rFonts w:ascii="Times New Roman" w:hAnsi="Times New Roman"/>
          <w:bCs/>
          <w:color w:val="auto"/>
        </w:rPr>
        <w:t xml:space="preserve">príjmu </w:t>
      </w:r>
      <w:r w:rsidRPr="00363612">
        <w:rPr>
          <w:rFonts w:ascii="Times New Roman" w:hAnsi="Times New Roman"/>
          <w:bCs/>
          <w:color w:val="auto"/>
        </w:rPr>
        <w:t>400 eur</w:t>
      </w:r>
      <w:r w:rsidRPr="00992309">
        <w:rPr>
          <w:rFonts w:ascii="Times New Roman" w:hAnsi="Times New Roman"/>
          <w:bCs/>
          <w:color w:val="auto"/>
        </w:rPr>
        <w:t>.</w:t>
      </w:r>
      <w:r w:rsidR="000C5726">
        <w:rPr>
          <w:rFonts w:ascii="Times New Roman" w:hAnsi="Times New Roman"/>
          <w:bCs/>
          <w:color w:val="auto"/>
        </w:rPr>
        <w:t xml:space="preserve"> Zákon</w:t>
      </w:r>
      <w:r w:rsidR="00090699">
        <w:rPr>
          <w:rFonts w:ascii="Times New Roman" w:hAnsi="Times New Roman"/>
          <w:bCs/>
          <w:color w:val="auto"/>
        </w:rPr>
        <w:t>né</w:t>
      </w:r>
      <w:r w:rsidR="000C5726">
        <w:rPr>
          <w:rFonts w:ascii="Times New Roman" w:hAnsi="Times New Roman"/>
          <w:bCs/>
          <w:color w:val="auto"/>
        </w:rPr>
        <w:t xml:space="preserve"> podmienky pre poskytnutie základného bankového produktu nie sú viazané na zamestnancov, ale </w:t>
      </w:r>
      <w:r w:rsidR="00363612">
        <w:rPr>
          <w:rFonts w:ascii="Times New Roman" w:hAnsi="Times New Roman"/>
          <w:bCs/>
          <w:color w:val="auto"/>
        </w:rPr>
        <w:t>sa uplatnia na</w:t>
      </w:r>
      <w:r w:rsidR="000C5726">
        <w:rPr>
          <w:rFonts w:ascii="Times New Roman" w:hAnsi="Times New Roman"/>
          <w:bCs/>
          <w:color w:val="auto"/>
        </w:rPr>
        <w:t xml:space="preserve"> všetkých, ktorých čistý príjem nepresahuje 400 eur. </w:t>
      </w:r>
    </w:p>
    <w:p w:rsidR="00460DC8" w:rsidRPr="00992309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b/>
          <w:bCs/>
          <w:color w:val="auto"/>
        </w:rPr>
      </w:pPr>
      <w:r w:rsidRPr="00992309">
        <w:rPr>
          <w:rFonts w:ascii="Times New Roman" w:hAnsi="Times New Roman"/>
          <w:b/>
          <w:bCs/>
          <w:color w:val="auto"/>
        </w:rPr>
        <w:t xml:space="preserve">K bodu </w:t>
      </w:r>
      <w:r w:rsidR="00A960D0">
        <w:rPr>
          <w:rFonts w:ascii="Times New Roman" w:hAnsi="Times New Roman"/>
          <w:b/>
          <w:bCs/>
          <w:color w:val="auto"/>
        </w:rPr>
        <w:t>7</w:t>
      </w:r>
    </w:p>
    <w:p w:rsidR="00AE6AEA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bCs/>
          <w:color w:val="auto"/>
        </w:rPr>
      </w:pPr>
      <w:r w:rsidRPr="00992309" w:rsidR="00460DC8">
        <w:rPr>
          <w:rFonts w:ascii="Times New Roman" w:hAnsi="Times New Roman"/>
          <w:bCs/>
          <w:color w:val="auto"/>
        </w:rPr>
        <w:t>Gramaticko-legislatívny úprava.</w:t>
      </w:r>
    </w:p>
    <w:p w:rsidR="0080423A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b/>
          <w:bCs/>
          <w:color w:val="auto"/>
        </w:rPr>
      </w:pPr>
      <w:r w:rsidRPr="0080423A">
        <w:rPr>
          <w:rFonts w:ascii="Times New Roman" w:hAnsi="Times New Roman"/>
          <w:b/>
          <w:bCs/>
          <w:color w:val="auto"/>
        </w:rPr>
        <w:t xml:space="preserve">K bodu </w:t>
      </w:r>
      <w:r w:rsidR="00A960D0">
        <w:rPr>
          <w:rFonts w:ascii="Times New Roman" w:hAnsi="Times New Roman"/>
          <w:b/>
          <w:bCs/>
          <w:color w:val="auto"/>
        </w:rPr>
        <w:t>8</w:t>
      </w:r>
    </w:p>
    <w:p w:rsidR="0080423A" w:rsidRPr="0080423A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bCs/>
          <w:color w:val="auto"/>
        </w:rPr>
      </w:pPr>
      <w:r w:rsidRPr="0080423A">
        <w:rPr>
          <w:rFonts w:ascii="Times New Roman" w:hAnsi="Times New Roman"/>
          <w:bCs/>
          <w:color w:val="auto"/>
        </w:rPr>
        <w:t xml:space="preserve">Rozšírenie technických možností základného bankového produktu. </w:t>
      </w:r>
    </w:p>
    <w:p w:rsidR="006D7558" w:rsidRPr="00992309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b/>
          <w:bCs/>
          <w:color w:val="auto"/>
        </w:rPr>
      </w:pPr>
      <w:r w:rsidRPr="00992309">
        <w:rPr>
          <w:rFonts w:ascii="Times New Roman" w:hAnsi="Times New Roman"/>
          <w:b/>
          <w:bCs/>
          <w:color w:val="auto"/>
        </w:rPr>
        <w:t xml:space="preserve">K bodu </w:t>
      </w:r>
      <w:r w:rsidR="00A960D0">
        <w:rPr>
          <w:rFonts w:ascii="Times New Roman" w:hAnsi="Times New Roman"/>
          <w:b/>
          <w:bCs/>
          <w:color w:val="auto"/>
        </w:rPr>
        <w:t>9</w:t>
      </w:r>
    </w:p>
    <w:p w:rsidR="006D7558" w:rsidRPr="00992309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bCs/>
          <w:color w:val="auto"/>
        </w:rPr>
      </w:pPr>
      <w:r w:rsidRPr="00992309">
        <w:rPr>
          <w:rFonts w:ascii="Times New Roman" w:hAnsi="Times New Roman"/>
          <w:bCs/>
          <w:color w:val="auto"/>
        </w:rPr>
        <w:t>Základný bankový produkt sa do</w:t>
      </w:r>
      <w:r w:rsidRPr="00992309" w:rsidR="00590F7C">
        <w:rPr>
          <w:rFonts w:ascii="Times New Roman" w:hAnsi="Times New Roman"/>
          <w:bCs/>
          <w:color w:val="auto"/>
        </w:rPr>
        <w:t>p</w:t>
      </w:r>
      <w:r w:rsidRPr="00992309">
        <w:rPr>
          <w:rFonts w:ascii="Times New Roman" w:hAnsi="Times New Roman"/>
          <w:bCs/>
          <w:color w:val="auto"/>
        </w:rPr>
        <w:t xml:space="preserve">ĺňa o informačné povinnosti bánk a pobočiek zahraničných bánk. </w:t>
      </w:r>
    </w:p>
    <w:p w:rsidR="006D7558" w:rsidRPr="00992309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b/>
          <w:bCs/>
          <w:color w:val="auto"/>
        </w:rPr>
      </w:pPr>
      <w:r w:rsidRPr="00992309">
        <w:rPr>
          <w:rFonts w:ascii="Times New Roman" w:hAnsi="Times New Roman"/>
          <w:b/>
          <w:bCs/>
          <w:color w:val="auto"/>
        </w:rPr>
        <w:t xml:space="preserve">K bodu </w:t>
      </w:r>
      <w:r w:rsidR="00A960D0">
        <w:rPr>
          <w:rFonts w:ascii="Times New Roman" w:hAnsi="Times New Roman"/>
          <w:b/>
          <w:bCs/>
          <w:color w:val="auto"/>
        </w:rPr>
        <w:t>10</w:t>
      </w:r>
    </w:p>
    <w:p w:rsidR="001F7641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color w:val="auto"/>
        </w:rPr>
      </w:pPr>
      <w:r w:rsidRPr="00992309">
        <w:rPr>
          <w:rFonts w:ascii="Times New Roman" w:hAnsi="Times New Roman"/>
          <w:color w:val="auto"/>
        </w:rPr>
        <w:t xml:space="preserve">Návrhom zákona sa upravujú pravidlá pre poskytovanie </w:t>
      </w:r>
      <w:r w:rsidRPr="00992309" w:rsidR="001F2EFF">
        <w:rPr>
          <w:rFonts w:ascii="Times New Roman" w:hAnsi="Times New Roman"/>
          <w:color w:val="auto"/>
        </w:rPr>
        <w:t>platobného účtu so základnými funkciami</w:t>
      </w:r>
      <w:r w:rsidRPr="00992309">
        <w:rPr>
          <w:rFonts w:ascii="Times New Roman" w:hAnsi="Times New Roman"/>
          <w:color w:val="auto"/>
        </w:rPr>
        <w:t xml:space="preserve"> s cieľom zabezpečiť spotrebiteľom prístup k</w:t>
      </w:r>
      <w:r w:rsidR="0080423A">
        <w:rPr>
          <w:rFonts w:ascii="Times New Roman" w:hAnsi="Times New Roman"/>
          <w:color w:val="auto"/>
        </w:rPr>
        <w:t> platobnému účtu so</w:t>
      </w:r>
      <w:r w:rsidRPr="00992309">
        <w:rPr>
          <w:rFonts w:ascii="Times New Roman" w:hAnsi="Times New Roman"/>
          <w:color w:val="auto"/>
        </w:rPr>
        <w:t xml:space="preserve"> základným</w:t>
      </w:r>
      <w:r w:rsidR="0080423A">
        <w:rPr>
          <w:rFonts w:ascii="Times New Roman" w:hAnsi="Times New Roman"/>
          <w:color w:val="auto"/>
        </w:rPr>
        <w:t>i</w:t>
      </w:r>
      <w:r w:rsidRPr="00992309">
        <w:rPr>
          <w:rFonts w:ascii="Times New Roman" w:hAnsi="Times New Roman"/>
          <w:color w:val="auto"/>
        </w:rPr>
        <w:t xml:space="preserve"> bankovým služb</w:t>
      </w:r>
      <w:r w:rsidR="0080423A">
        <w:rPr>
          <w:rFonts w:ascii="Times New Roman" w:hAnsi="Times New Roman"/>
          <w:color w:val="auto"/>
        </w:rPr>
        <w:t>a</w:t>
      </w:r>
      <w:r w:rsidRPr="00992309">
        <w:rPr>
          <w:rFonts w:ascii="Times New Roman" w:hAnsi="Times New Roman"/>
          <w:color w:val="auto"/>
        </w:rPr>
        <w:t>m</w:t>
      </w:r>
      <w:r w:rsidR="0080423A">
        <w:rPr>
          <w:rFonts w:ascii="Times New Roman" w:hAnsi="Times New Roman"/>
          <w:color w:val="auto"/>
        </w:rPr>
        <w:t>i</w:t>
      </w:r>
      <w:r w:rsidRPr="00992309">
        <w:rPr>
          <w:rFonts w:ascii="Times New Roman" w:hAnsi="Times New Roman"/>
          <w:color w:val="auto"/>
        </w:rPr>
        <w:t xml:space="preserve">.  Rozsah poskytovania bankových služieb </w:t>
      </w:r>
      <w:r w:rsidRPr="00992309" w:rsidR="001F2EFF">
        <w:rPr>
          <w:rFonts w:ascii="Times New Roman" w:hAnsi="Times New Roman"/>
          <w:color w:val="auto"/>
        </w:rPr>
        <w:t xml:space="preserve">platobného účtu so základnými funkciami ako aj výšku poplatku zaň </w:t>
      </w:r>
      <w:r w:rsidRPr="00992309">
        <w:rPr>
          <w:rFonts w:ascii="Times New Roman" w:hAnsi="Times New Roman"/>
          <w:color w:val="auto"/>
        </w:rPr>
        <w:t>určí všeobecne záväzný právny predpis</w:t>
      </w:r>
      <w:r w:rsidRPr="00992309" w:rsidR="004E2B61">
        <w:rPr>
          <w:rFonts w:ascii="Times New Roman" w:hAnsi="Times New Roman"/>
          <w:color w:val="auto"/>
        </w:rPr>
        <w:t xml:space="preserve"> vydaný Ministerstvom financií SR</w:t>
      </w:r>
      <w:r w:rsidRPr="00992309">
        <w:rPr>
          <w:rFonts w:ascii="Times New Roman" w:hAnsi="Times New Roman"/>
          <w:color w:val="auto"/>
        </w:rPr>
        <w:t xml:space="preserve">. </w:t>
      </w:r>
    </w:p>
    <w:p w:rsidR="00251D80" w:rsidRPr="00992309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Platobný účet so základnými funkciami poskytujú iba tie bank</w:t>
      </w:r>
      <w:r w:rsidR="000C5726">
        <w:rPr>
          <w:rFonts w:ascii="Times New Roman" w:hAnsi="Times New Roman"/>
          <w:color w:val="auto"/>
        </w:rPr>
        <w:t>y a</w:t>
      </w:r>
      <w:r>
        <w:rPr>
          <w:rFonts w:ascii="Times New Roman" w:hAnsi="Times New Roman"/>
          <w:color w:val="auto"/>
        </w:rPr>
        <w:t xml:space="preserve"> pobočky </w:t>
      </w:r>
      <w:r w:rsidR="0058180F">
        <w:rPr>
          <w:rFonts w:ascii="Times New Roman" w:hAnsi="Times New Roman"/>
          <w:color w:val="auto"/>
        </w:rPr>
        <w:t>zahraničných</w:t>
      </w:r>
      <w:r>
        <w:rPr>
          <w:rFonts w:ascii="Times New Roman" w:hAnsi="Times New Roman"/>
          <w:color w:val="auto"/>
        </w:rPr>
        <w:t xml:space="preserve"> bánk, ktoré pos</w:t>
      </w:r>
      <w:r w:rsidR="000C5726">
        <w:rPr>
          <w:rFonts w:ascii="Times New Roman" w:hAnsi="Times New Roman"/>
          <w:color w:val="auto"/>
        </w:rPr>
        <w:t>kyt</w:t>
      </w:r>
      <w:r>
        <w:rPr>
          <w:rFonts w:ascii="Times New Roman" w:hAnsi="Times New Roman"/>
          <w:color w:val="auto"/>
        </w:rPr>
        <w:t xml:space="preserve">ujú bankové služby platobného účtu so základnými funkciami v rámci svojho podnikania. Nie je zámerom zákonodarcu </w:t>
      </w:r>
      <w:r w:rsidR="0058180F">
        <w:rPr>
          <w:rFonts w:ascii="Times New Roman" w:hAnsi="Times New Roman"/>
          <w:color w:val="auto"/>
        </w:rPr>
        <w:t>nútiť banky a pobočky zahraničných bánk poskytovať nové služby.</w:t>
      </w:r>
    </w:p>
    <w:p w:rsidR="0080423A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color w:val="auto"/>
        </w:rPr>
      </w:pPr>
      <w:r w:rsidRPr="00992309" w:rsidR="001F7641">
        <w:rPr>
          <w:rFonts w:ascii="Times New Roman" w:hAnsi="Times New Roman"/>
          <w:color w:val="auto"/>
        </w:rPr>
        <w:t>Banka</w:t>
      </w:r>
      <w:r w:rsidRPr="00992309" w:rsidR="001F2EFF">
        <w:rPr>
          <w:rFonts w:ascii="Times New Roman" w:hAnsi="Times New Roman"/>
          <w:color w:val="auto"/>
        </w:rPr>
        <w:t xml:space="preserve"> a pobočka zahraničnej banky</w:t>
      </w:r>
      <w:r w:rsidRPr="00992309" w:rsidR="001F7641">
        <w:rPr>
          <w:rFonts w:ascii="Times New Roman" w:hAnsi="Times New Roman"/>
          <w:color w:val="auto"/>
        </w:rPr>
        <w:t xml:space="preserve"> poskytne</w:t>
      </w:r>
      <w:r w:rsidR="000C5726">
        <w:rPr>
          <w:rFonts w:ascii="Times New Roman" w:hAnsi="Times New Roman"/>
          <w:color w:val="auto"/>
        </w:rPr>
        <w:t xml:space="preserve"> účet so základnými funkciami</w:t>
      </w:r>
      <w:r w:rsidRPr="00992309" w:rsidR="001F2EFF">
        <w:rPr>
          <w:rFonts w:ascii="Times New Roman" w:hAnsi="Times New Roman"/>
          <w:color w:val="auto"/>
        </w:rPr>
        <w:t xml:space="preserve"> na základe žiadosti</w:t>
      </w:r>
      <w:r w:rsidR="000C5726">
        <w:rPr>
          <w:rFonts w:ascii="Times New Roman" w:hAnsi="Times New Roman"/>
          <w:color w:val="auto"/>
        </w:rPr>
        <w:t xml:space="preserve"> spotrebiteľa</w:t>
      </w:r>
      <w:r w:rsidRPr="00992309" w:rsidR="001F2EFF">
        <w:rPr>
          <w:rFonts w:ascii="Times New Roman" w:hAnsi="Times New Roman"/>
          <w:color w:val="auto"/>
        </w:rPr>
        <w:t>, ktorý spĺňa zákonné požiadavky</w:t>
      </w:r>
      <w:r>
        <w:rPr>
          <w:rFonts w:ascii="Times New Roman" w:hAnsi="Times New Roman"/>
          <w:color w:val="auto"/>
        </w:rPr>
        <w:t>,</w:t>
      </w:r>
      <w:r w:rsidRPr="00992309" w:rsidR="001F2EFF">
        <w:rPr>
          <w:rFonts w:ascii="Times New Roman" w:hAnsi="Times New Roman"/>
          <w:color w:val="auto"/>
        </w:rPr>
        <w:t xml:space="preserve"> v zmysle legálnej definície osobou s riadnym pobytom v Európskej úni</w:t>
      </w:r>
      <w:r w:rsidRPr="00992309" w:rsidR="00CB285E">
        <w:rPr>
          <w:rFonts w:ascii="Times New Roman" w:hAnsi="Times New Roman"/>
          <w:color w:val="auto"/>
        </w:rPr>
        <w:t>i</w:t>
      </w:r>
      <w:r w:rsidR="000C5726">
        <w:rPr>
          <w:rFonts w:ascii="Times New Roman" w:hAnsi="Times New Roman"/>
          <w:color w:val="auto"/>
        </w:rPr>
        <w:t xml:space="preserve"> a</w:t>
      </w:r>
      <w:r w:rsidRPr="00992309" w:rsidR="001F7641">
        <w:rPr>
          <w:rFonts w:ascii="Times New Roman" w:hAnsi="Times New Roman"/>
          <w:color w:val="auto"/>
        </w:rPr>
        <w:t xml:space="preserve"> spotrebiteľ nemá ku dňu podania žiadosti zriadený</w:t>
      </w:r>
      <w:r>
        <w:rPr>
          <w:rFonts w:ascii="Times New Roman" w:hAnsi="Times New Roman"/>
          <w:color w:val="auto"/>
        </w:rPr>
        <w:t xml:space="preserve"> žiaden ďalší</w:t>
      </w:r>
      <w:r w:rsidRPr="00992309" w:rsidR="001F7641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 xml:space="preserve">platobný účet, </w:t>
      </w:r>
      <w:r w:rsidRPr="00992309" w:rsidR="001F7641">
        <w:rPr>
          <w:rFonts w:ascii="Times New Roman" w:hAnsi="Times New Roman"/>
          <w:color w:val="auto"/>
        </w:rPr>
        <w:t xml:space="preserve">pričom </w:t>
      </w:r>
      <w:r w:rsidRPr="00992309" w:rsidR="00762A59">
        <w:rPr>
          <w:rFonts w:ascii="Times New Roman" w:hAnsi="Times New Roman"/>
          <w:color w:val="auto"/>
        </w:rPr>
        <w:t>túto skutočnosť</w:t>
      </w:r>
      <w:r w:rsidRPr="00992309" w:rsidR="001F7641">
        <w:rPr>
          <w:rFonts w:ascii="Times New Roman" w:hAnsi="Times New Roman"/>
          <w:color w:val="auto"/>
        </w:rPr>
        <w:t xml:space="preserve"> potvrdzuje</w:t>
      </w:r>
      <w:r w:rsidRPr="00992309" w:rsidR="00762A59">
        <w:rPr>
          <w:rFonts w:ascii="Times New Roman" w:hAnsi="Times New Roman"/>
          <w:color w:val="auto"/>
        </w:rPr>
        <w:t xml:space="preserve"> spotrebiteľ čestným vyhlásením, ktoré tvorí prílohu žiadosti o poskytnutie </w:t>
      </w:r>
      <w:r>
        <w:rPr>
          <w:rFonts w:ascii="Times New Roman" w:hAnsi="Times New Roman"/>
          <w:color w:val="auto"/>
        </w:rPr>
        <w:t>platobného účtu so základnými funkciami</w:t>
      </w:r>
      <w:r w:rsidRPr="00992309" w:rsidR="00762A59">
        <w:rPr>
          <w:rFonts w:ascii="Times New Roman" w:hAnsi="Times New Roman"/>
          <w:color w:val="auto"/>
        </w:rPr>
        <w:t xml:space="preserve">. </w:t>
      </w:r>
    </w:p>
    <w:p w:rsidR="00762A59" w:rsidRPr="00992309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color w:val="auto"/>
        </w:rPr>
      </w:pPr>
      <w:r w:rsidRPr="00992309">
        <w:rPr>
          <w:rFonts w:ascii="Times New Roman" w:hAnsi="Times New Roman"/>
          <w:color w:val="auto"/>
        </w:rPr>
        <w:t xml:space="preserve">V prípade, ak žiadosť neobsahuje náležitosti v zmysle zákona, je </w:t>
      </w:r>
      <w:r w:rsidRPr="00992309" w:rsidR="00CB285E">
        <w:rPr>
          <w:rFonts w:ascii="Times New Roman" w:hAnsi="Times New Roman"/>
          <w:color w:val="auto"/>
        </w:rPr>
        <w:t xml:space="preserve">spotrebiteľ </w:t>
      </w:r>
      <w:r w:rsidRPr="00992309" w:rsidR="00405D80">
        <w:rPr>
          <w:rFonts w:ascii="Times New Roman" w:hAnsi="Times New Roman"/>
          <w:color w:val="auto"/>
        </w:rPr>
        <w:t>vyzvaný</w:t>
      </w:r>
      <w:r w:rsidRPr="00992309">
        <w:rPr>
          <w:rFonts w:ascii="Times New Roman" w:hAnsi="Times New Roman"/>
          <w:color w:val="auto"/>
        </w:rPr>
        <w:t xml:space="preserve"> na ich doplnenie do 30 dní od doručenia výzvy. Nedoručením doplnenia, alebo nedoručením včas je žiadosť zamietnutá. Banka a pobočka zahraničnej banky majú povinnosť vybaviť žiadosť spotrebiteľa o poskytnutie základného bankového produktu do 10</w:t>
      </w:r>
      <w:r w:rsidRPr="00992309" w:rsidR="00405D80">
        <w:rPr>
          <w:rFonts w:ascii="Times New Roman" w:hAnsi="Times New Roman"/>
          <w:color w:val="auto"/>
        </w:rPr>
        <w:t xml:space="preserve"> </w:t>
      </w:r>
      <w:r w:rsidRPr="00992309">
        <w:rPr>
          <w:rFonts w:ascii="Times New Roman" w:hAnsi="Times New Roman"/>
          <w:color w:val="auto"/>
        </w:rPr>
        <w:t>dní od podania žiadosti, alebo doručenia úplnej žiadosti.</w:t>
      </w:r>
    </w:p>
    <w:p w:rsidR="001F2EFF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color w:val="auto"/>
        </w:rPr>
      </w:pPr>
      <w:r w:rsidRPr="00992309" w:rsidR="001F7641">
        <w:rPr>
          <w:rFonts w:ascii="Times New Roman" w:hAnsi="Times New Roman"/>
          <w:color w:val="auto"/>
        </w:rPr>
        <w:t xml:space="preserve">Ak banka </w:t>
      </w:r>
      <w:r w:rsidRPr="00992309">
        <w:rPr>
          <w:rFonts w:ascii="Times New Roman" w:hAnsi="Times New Roman"/>
          <w:color w:val="auto"/>
        </w:rPr>
        <w:t xml:space="preserve">a pobočka zahraničnej banky </w:t>
      </w:r>
      <w:r w:rsidRPr="00992309" w:rsidR="001F7641">
        <w:rPr>
          <w:rFonts w:ascii="Times New Roman" w:hAnsi="Times New Roman"/>
          <w:color w:val="auto"/>
        </w:rPr>
        <w:t xml:space="preserve">zistí nepravdivosť čestného vyhlásenia alebo </w:t>
      </w:r>
      <w:r w:rsidRPr="00992309" w:rsidR="00762A59">
        <w:rPr>
          <w:rFonts w:ascii="Times New Roman" w:hAnsi="Times New Roman"/>
          <w:color w:val="auto"/>
        </w:rPr>
        <w:t>ak zistí</w:t>
      </w:r>
      <w:r w:rsidRPr="00992309" w:rsidR="00405D80">
        <w:rPr>
          <w:rFonts w:ascii="Times New Roman" w:hAnsi="Times New Roman"/>
          <w:color w:val="auto"/>
        </w:rPr>
        <w:t>,</w:t>
      </w:r>
      <w:r w:rsidRPr="00992309" w:rsidR="00762A59">
        <w:rPr>
          <w:rFonts w:ascii="Times New Roman" w:hAnsi="Times New Roman"/>
          <w:color w:val="auto"/>
        </w:rPr>
        <w:t xml:space="preserve"> že konanie spotrebiteľa porušuje ustanovenia alebo smeruje k porušeniu ustanovení zákona </w:t>
      </w:r>
      <w:r w:rsidR="000C5726">
        <w:rPr>
          <w:rFonts w:ascii="Times New Roman" w:hAnsi="Times New Roman"/>
          <w:color w:val="auto"/>
        </w:rPr>
        <w:t xml:space="preserve">      </w:t>
      </w:r>
      <w:r w:rsidRPr="00992309" w:rsidR="00762A59">
        <w:rPr>
          <w:rFonts w:ascii="Times New Roman" w:hAnsi="Times New Roman"/>
          <w:color w:val="auto"/>
        </w:rPr>
        <w:t>č. 297/2008 Z. z. o ochrane pred legalizáciou príjmov z trestnej činnosti a o ochrane pred financovaním terorizmu a o zmen</w:t>
      </w:r>
      <w:r w:rsidRPr="00992309" w:rsidR="00405D80">
        <w:rPr>
          <w:rFonts w:ascii="Times New Roman" w:hAnsi="Times New Roman"/>
          <w:color w:val="auto"/>
        </w:rPr>
        <w:t>e a doplnení niektorých zákonov</w:t>
      </w:r>
      <w:r w:rsidRPr="00992309" w:rsidR="00A707E4">
        <w:rPr>
          <w:rFonts w:ascii="Times New Roman" w:hAnsi="Times New Roman"/>
          <w:color w:val="auto"/>
        </w:rPr>
        <w:t xml:space="preserve"> a ak zistí, </w:t>
      </w:r>
      <w:r w:rsidRPr="00992309" w:rsidR="001F7641">
        <w:rPr>
          <w:rFonts w:ascii="Times New Roman" w:hAnsi="Times New Roman"/>
          <w:color w:val="auto"/>
        </w:rPr>
        <w:t xml:space="preserve"> že spotrebiteľ </w:t>
      </w:r>
      <w:r w:rsidRPr="00992309" w:rsidR="00856BB2">
        <w:rPr>
          <w:rFonts w:ascii="Times New Roman" w:hAnsi="Times New Roman"/>
          <w:color w:val="auto"/>
        </w:rPr>
        <w:t xml:space="preserve">má platobný </w:t>
      </w:r>
      <w:r w:rsidRPr="00992309" w:rsidR="00405D80">
        <w:rPr>
          <w:rFonts w:ascii="Times New Roman" w:hAnsi="Times New Roman"/>
          <w:color w:val="auto"/>
        </w:rPr>
        <w:t>účet</w:t>
      </w:r>
      <w:r w:rsidRPr="00992309" w:rsidR="00856BB2">
        <w:rPr>
          <w:rFonts w:ascii="Times New Roman" w:hAnsi="Times New Roman"/>
          <w:color w:val="auto"/>
        </w:rPr>
        <w:t>, ktorý obsahuje služby platobného účtu so základnými funkciami, zamietne žiadosť o zriadenie platobného účtu so základnými funkciami. O zamietnutí musí spotrebiteľa bezodkladne informovať ako aj o možnostiach podania sťažnosti</w:t>
      </w:r>
      <w:r w:rsidR="00E8093A">
        <w:rPr>
          <w:rFonts w:ascii="Times New Roman" w:hAnsi="Times New Roman"/>
          <w:color w:val="auto"/>
        </w:rPr>
        <w:t xml:space="preserve"> na Národnej banke Slovenska</w:t>
      </w:r>
      <w:r w:rsidRPr="00992309" w:rsidR="00856BB2">
        <w:rPr>
          <w:rFonts w:ascii="Times New Roman" w:hAnsi="Times New Roman"/>
          <w:color w:val="auto"/>
        </w:rPr>
        <w:t>, či o riešení prostredníctvom mimosúdneho riešenia sporov.</w:t>
      </w:r>
    </w:p>
    <w:p w:rsidR="00E8093A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color w:val="auto"/>
        </w:rPr>
      </w:pPr>
      <w:r w:rsidR="00251D80">
        <w:rPr>
          <w:rFonts w:ascii="Times New Roman" w:hAnsi="Times New Roman"/>
          <w:color w:val="auto"/>
        </w:rPr>
        <w:t xml:space="preserve">Vo vzťahu k preukázaniu existencie jedného platobného účtu môže spotrebiteľ </w:t>
      </w:r>
      <w:r w:rsidR="000C5726">
        <w:rPr>
          <w:rFonts w:ascii="Times New Roman" w:hAnsi="Times New Roman"/>
          <w:color w:val="auto"/>
        </w:rPr>
        <w:t>p</w:t>
      </w:r>
      <w:r w:rsidR="00251D80">
        <w:rPr>
          <w:rFonts w:ascii="Times New Roman" w:hAnsi="Times New Roman"/>
          <w:color w:val="auto"/>
        </w:rPr>
        <w:t xml:space="preserve">redložiť aj potvrdenie o zrušení platobného účtu, pričom v danom prípade banka alebo pobočka zahraničnej banky môžu </w:t>
      </w:r>
      <w:r w:rsidR="000C5726">
        <w:rPr>
          <w:rFonts w:ascii="Times New Roman" w:hAnsi="Times New Roman"/>
          <w:color w:val="auto"/>
        </w:rPr>
        <w:t>otvoriť</w:t>
      </w:r>
      <w:r w:rsidR="00251D80">
        <w:rPr>
          <w:rFonts w:ascii="Times New Roman" w:hAnsi="Times New Roman"/>
          <w:color w:val="auto"/>
        </w:rPr>
        <w:t xml:space="preserve"> platobný účet so základnými funkciami. </w:t>
      </w:r>
    </w:p>
    <w:p w:rsidR="001F7641" w:rsidRPr="00992309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color w:val="auto"/>
        </w:rPr>
      </w:pPr>
      <w:r w:rsidRPr="00992309" w:rsidR="0055310E">
        <w:rPr>
          <w:rFonts w:ascii="Times New Roman" w:hAnsi="Times New Roman"/>
          <w:color w:val="auto"/>
        </w:rPr>
        <w:t xml:space="preserve">Banka a pobočka zahraničnej banky majú </w:t>
      </w:r>
      <w:r w:rsidR="000C5726">
        <w:rPr>
          <w:rFonts w:ascii="Times New Roman" w:hAnsi="Times New Roman"/>
          <w:color w:val="auto"/>
        </w:rPr>
        <w:t>povinnosť informovať spotrebiteľa o existencií</w:t>
      </w:r>
      <w:r w:rsidRPr="00992309" w:rsidR="00856BB2">
        <w:rPr>
          <w:rFonts w:ascii="Times New Roman" w:hAnsi="Times New Roman"/>
          <w:color w:val="auto"/>
        </w:rPr>
        <w:t xml:space="preserve"> platobn</w:t>
      </w:r>
      <w:r w:rsidR="000C5726">
        <w:rPr>
          <w:rFonts w:ascii="Times New Roman" w:hAnsi="Times New Roman"/>
          <w:color w:val="auto"/>
        </w:rPr>
        <w:t>ého úč</w:t>
      </w:r>
      <w:r w:rsidRPr="00992309" w:rsidR="00856BB2">
        <w:rPr>
          <w:rFonts w:ascii="Times New Roman" w:hAnsi="Times New Roman"/>
          <w:color w:val="auto"/>
        </w:rPr>
        <w:t>t</w:t>
      </w:r>
      <w:r w:rsidR="000C5726">
        <w:rPr>
          <w:rFonts w:ascii="Times New Roman" w:hAnsi="Times New Roman"/>
          <w:color w:val="auto"/>
        </w:rPr>
        <w:t>u</w:t>
      </w:r>
      <w:r w:rsidRPr="00992309" w:rsidR="00856BB2">
        <w:rPr>
          <w:rFonts w:ascii="Times New Roman" w:hAnsi="Times New Roman"/>
          <w:color w:val="auto"/>
        </w:rPr>
        <w:t xml:space="preserve"> so základnými funkciami spotrebiteľovi</w:t>
      </w:r>
      <w:r w:rsidRPr="00992309" w:rsidR="0055310E">
        <w:rPr>
          <w:rFonts w:ascii="Times New Roman" w:hAnsi="Times New Roman"/>
          <w:color w:val="auto"/>
        </w:rPr>
        <w:t xml:space="preserve">, ktorý </w:t>
      </w:r>
      <w:r w:rsidRPr="00992309" w:rsidR="00856BB2">
        <w:rPr>
          <w:rFonts w:ascii="Times New Roman" w:hAnsi="Times New Roman"/>
          <w:color w:val="auto"/>
        </w:rPr>
        <w:t>má</w:t>
      </w:r>
      <w:r w:rsidRPr="00992309" w:rsidR="0055310E">
        <w:rPr>
          <w:rFonts w:ascii="Times New Roman" w:hAnsi="Times New Roman"/>
          <w:color w:val="auto"/>
        </w:rPr>
        <w:t xml:space="preserve"> </w:t>
      </w:r>
      <w:r w:rsidRPr="00992309" w:rsidR="00317FA8">
        <w:rPr>
          <w:rFonts w:ascii="Times New Roman" w:hAnsi="Times New Roman"/>
          <w:color w:val="auto"/>
        </w:rPr>
        <w:t>platobný účet</w:t>
      </w:r>
      <w:r w:rsidRPr="00992309" w:rsidR="0055310E">
        <w:rPr>
          <w:rFonts w:ascii="Times New Roman" w:hAnsi="Times New Roman"/>
          <w:color w:val="auto"/>
        </w:rPr>
        <w:t>, ktorý zahŕňa služby platobnéh</w:t>
      </w:r>
      <w:r w:rsidRPr="00992309" w:rsidR="00856BB2">
        <w:rPr>
          <w:rFonts w:ascii="Times New Roman" w:hAnsi="Times New Roman"/>
          <w:color w:val="auto"/>
        </w:rPr>
        <w:t>o účtu so základnými funkciami.</w:t>
      </w:r>
    </w:p>
    <w:p w:rsidR="00856BB2" w:rsidRPr="00992309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color w:val="auto"/>
        </w:rPr>
      </w:pPr>
      <w:r w:rsidRPr="00992309">
        <w:rPr>
          <w:rFonts w:ascii="Times New Roman" w:hAnsi="Times New Roman"/>
          <w:color w:val="auto"/>
        </w:rPr>
        <w:t xml:space="preserve">K platobnému účtu so základnými funkciami je možné poskytnúť </w:t>
      </w:r>
      <w:r w:rsidRPr="00992309" w:rsidR="009E0303">
        <w:rPr>
          <w:rFonts w:ascii="Times New Roman" w:hAnsi="Times New Roman"/>
          <w:color w:val="auto"/>
        </w:rPr>
        <w:t>aj ďalšie služby</w:t>
      </w:r>
      <w:r w:rsidRPr="00992309">
        <w:rPr>
          <w:rFonts w:ascii="Times New Roman" w:hAnsi="Times New Roman"/>
          <w:color w:val="auto"/>
        </w:rPr>
        <w:t xml:space="preserve"> nad </w:t>
      </w:r>
      <w:r w:rsidRPr="00992309" w:rsidR="00317FA8">
        <w:rPr>
          <w:rFonts w:ascii="Times New Roman" w:hAnsi="Times New Roman"/>
          <w:color w:val="auto"/>
        </w:rPr>
        <w:t xml:space="preserve">rámec </w:t>
      </w:r>
      <w:r w:rsidRPr="00992309">
        <w:rPr>
          <w:rFonts w:ascii="Times New Roman" w:hAnsi="Times New Roman"/>
          <w:color w:val="auto"/>
        </w:rPr>
        <w:t>účtu</w:t>
      </w:r>
      <w:r w:rsidR="000C5726">
        <w:rPr>
          <w:rFonts w:ascii="Times New Roman" w:hAnsi="Times New Roman"/>
          <w:color w:val="auto"/>
        </w:rPr>
        <w:t>, a to aj</w:t>
      </w:r>
      <w:r w:rsidRPr="00992309">
        <w:rPr>
          <w:rFonts w:ascii="Times New Roman" w:hAnsi="Times New Roman"/>
          <w:color w:val="auto"/>
        </w:rPr>
        <w:t xml:space="preserve"> </w:t>
      </w:r>
      <w:r w:rsidR="0058180F">
        <w:rPr>
          <w:rFonts w:ascii="Times New Roman" w:hAnsi="Times New Roman"/>
          <w:color w:val="auto"/>
        </w:rPr>
        <w:t>za</w:t>
      </w:r>
      <w:r w:rsidRPr="00992309">
        <w:rPr>
          <w:rFonts w:ascii="Times New Roman" w:hAnsi="Times New Roman"/>
          <w:color w:val="auto"/>
        </w:rPr>
        <w:t xml:space="preserve"> poplat</w:t>
      </w:r>
      <w:r w:rsidR="0058180F">
        <w:rPr>
          <w:rFonts w:ascii="Times New Roman" w:hAnsi="Times New Roman"/>
          <w:color w:val="auto"/>
        </w:rPr>
        <w:t>o</w:t>
      </w:r>
      <w:r w:rsidRPr="00992309">
        <w:rPr>
          <w:rFonts w:ascii="Times New Roman" w:hAnsi="Times New Roman"/>
          <w:color w:val="auto"/>
        </w:rPr>
        <w:t>k.</w:t>
      </w:r>
    </w:p>
    <w:p w:rsidR="00856BB2" w:rsidRPr="00992309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color w:val="auto"/>
        </w:rPr>
      </w:pPr>
      <w:r w:rsidRPr="00992309">
        <w:rPr>
          <w:rFonts w:ascii="Times New Roman" w:hAnsi="Times New Roman"/>
          <w:color w:val="auto"/>
        </w:rPr>
        <w:t xml:space="preserve">Poskytovanie uvedeného platobného účtu nesmie byť zo strany poskytovateľa platobných služieb podmienené poskytnutím ďalších služieb, s výnimkou situácie, ak je zriadenie podmienené kúpou akcií banky </w:t>
      </w:r>
      <w:r w:rsidR="000C5726">
        <w:rPr>
          <w:rFonts w:ascii="Times New Roman" w:hAnsi="Times New Roman"/>
          <w:color w:val="auto"/>
        </w:rPr>
        <w:t xml:space="preserve">(majetkové práva) </w:t>
      </w:r>
      <w:r w:rsidRPr="00992309">
        <w:rPr>
          <w:rFonts w:ascii="Times New Roman" w:hAnsi="Times New Roman"/>
          <w:color w:val="auto"/>
        </w:rPr>
        <w:t xml:space="preserve">a uvedená podmienka sa aplikuje na všetkých klientov banky. </w:t>
      </w:r>
    </w:p>
    <w:p w:rsidR="00856BB2" w:rsidRPr="00992309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color w:val="auto"/>
        </w:rPr>
      </w:pPr>
      <w:r w:rsidRPr="00992309" w:rsidR="00530ED9">
        <w:rPr>
          <w:rFonts w:ascii="Times New Roman" w:hAnsi="Times New Roman"/>
          <w:color w:val="auto"/>
        </w:rPr>
        <w:t>Ministerstvo financií</w:t>
      </w:r>
      <w:r w:rsidRPr="00992309" w:rsidR="00352185">
        <w:rPr>
          <w:rFonts w:ascii="Times New Roman" w:hAnsi="Times New Roman"/>
          <w:color w:val="auto"/>
        </w:rPr>
        <w:t xml:space="preserve"> SR</w:t>
      </w:r>
      <w:r w:rsidRPr="00992309" w:rsidR="00530ED9">
        <w:rPr>
          <w:rFonts w:ascii="Times New Roman" w:hAnsi="Times New Roman"/>
          <w:color w:val="auto"/>
        </w:rPr>
        <w:t xml:space="preserve"> všeobecne záväzným právnym predpisov ustanoví podrobnosti žiadosti o poskytnutie platobného účtu so základnými funkciami, ako aj podrobnosti o obsahových náležitostiach daného účtu. </w:t>
      </w:r>
    </w:p>
    <w:p w:rsidR="00530ED9" w:rsidRPr="00992309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color w:val="auto"/>
        </w:rPr>
      </w:pPr>
      <w:r w:rsidRPr="00992309">
        <w:rPr>
          <w:rFonts w:ascii="Times New Roman" w:hAnsi="Times New Roman"/>
          <w:color w:val="auto"/>
        </w:rPr>
        <w:t>V odsekoch 1</w:t>
      </w:r>
      <w:r w:rsidR="0058180F">
        <w:rPr>
          <w:rFonts w:ascii="Times New Roman" w:hAnsi="Times New Roman"/>
          <w:color w:val="auto"/>
        </w:rPr>
        <w:t>5</w:t>
      </w:r>
      <w:r w:rsidRPr="00992309">
        <w:rPr>
          <w:rFonts w:ascii="Times New Roman" w:hAnsi="Times New Roman"/>
          <w:color w:val="auto"/>
        </w:rPr>
        <w:t xml:space="preserve"> až 1</w:t>
      </w:r>
      <w:r w:rsidR="0058180F">
        <w:rPr>
          <w:rFonts w:ascii="Times New Roman" w:hAnsi="Times New Roman"/>
          <w:color w:val="auto"/>
        </w:rPr>
        <w:t>6</w:t>
      </w:r>
      <w:r w:rsidRPr="00992309">
        <w:rPr>
          <w:rFonts w:ascii="Times New Roman" w:hAnsi="Times New Roman"/>
          <w:color w:val="auto"/>
        </w:rPr>
        <w:t xml:space="preserve"> sú upravené dôvody zrušenia platobného účtu so základnými funkciami, postup pre podanie výpovede. </w:t>
      </w:r>
    </w:p>
    <w:p w:rsidR="00530ED9" w:rsidRPr="00992309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color w:val="auto"/>
        </w:rPr>
      </w:pPr>
      <w:r w:rsidRPr="00992309">
        <w:rPr>
          <w:rFonts w:ascii="Times New Roman" w:hAnsi="Times New Roman"/>
          <w:color w:val="auto"/>
        </w:rPr>
        <w:t xml:space="preserve">V odseku </w:t>
      </w:r>
      <w:r w:rsidR="00405020">
        <w:rPr>
          <w:rFonts w:ascii="Times New Roman" w:hAnsi="Times New Roman"/>
          <w:color w:val="auto"/>
        </w:rPr>
        <w:t>20</w:t>
      </w:r>
      <w:r w:rsidRPr="00992309">
        <w:rPr>
          <w:rFonts w:ascii="Times New Roman" w:hAnsi="Times New Roman"/>
          <w:color w:val="auto"/>
        </w:rPr>
        <w:t xml:space="preserve"> sa bankám a pobočkám zahraničných bánk ukladá povinnosť informovania o poskytovaní platobného účtu so základnými funkciami vo vzťahu k</w:t>
      </w:r>
      <w:r w:rsidRPr="00992309" w:rsidR="00352185">
        <w:rPr>
          <w:rFonts w:ascii="Times New Roman" w:hAnsi="Times New Roman"/>
          <w:color w:val="auto"/>
        </w:rPr>
        <w:t> M</w:t>
      </w:r>
      <w:r w:rsidRPr="00992309">
        <w:rPr>
          <w:rFonts w:ascii="Times New Roman" w:hAnsi="Times New Roman"/>
          <w:color w:val="auto"/>
        </w:rPr>
        <w:t>inisterstvu</w:t>
      </w:r>
      <w:r w:rsidRPr="00992309" w:rsidR="00352185">
        <w:rPr>
          <w:rFonts w:ascii="Times New Roman" w:hAnsi="Times New Roman"/>
          <w:color w:val="auto"/>
        </w:rPr>
        <w:t xml:space="preserve"> financií SR</w:t>
      </w:r>
      <w:r w:rsidRPr="00992309">
        <w:rPr>
          <w:rFonts w:ascii="Times New Roman" w:hAnsi="Times New Roman"/>
          <w:color w:val="auto"/>
        </w:rPr>
        <w:t>, ktor</w:t>
      </w:r>
      <w:r w:rsidR="0058180F">
        <w:rPr>
          <w:rFonts w:ascii="Times New Roman" w:hAnsi="Times New Roman"/>
          <w:color w:val="auto"/>
        </w:rPr>
        <w:t>é</w:t>
      </w:r>
      <w:r w:rsidRPr="00992309">
        <w:rPr>
          <w:rFonts w:ascii="Times New Roman" w:hAnsi="Times New Roman"/>
          <w:color w:val="auto"/>
        </w:rPr>
        <w:t xml:space="preserve"> následne informuje príslušné orgány Európskej únie o prebratí ustanovení smernice PAD.</w:t>
      </w:r>
      <w:r w:rsidR="0058180F">
        <w:rPr>
          <w:rFonts w:ascii="Times New Roman" w:hAnsi="Times New Roman"/>
          <w:color w:val="auto"/>
        </w:rPr>
        <w:t xml:space="preserve"> V odseku 2</w:t>
      </w:r>
      <w:r w:rsidR="00405020">
        <w:rPr>
          <w:rFonts w:ascii="Times New Roman" w:hAnsi="Times New Roman"/>
          <w:color w:val="auto"/>
        </w:rPr>
        <w:t>1</w:t>
      </w:r>
      <w:r w:rsidR="0058180F">
        <w:rPr>
          <w:rFonts w:ascii="Times New Roman" w:hAnsi="Times New Roman"/>
          <w:color w:val="auto"/>
        </w:rPr>
        <w:t xml:space="preserve"> je vymedzená informačná povinnosť pre NBS. </w:t>
      </w:r>
    </w:p>
    <w:p w:rsidR="00530ED9" w:rsidRPr="00992309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color w:val="auto"/>
        </w:rPr>
      </w:pPr>
      <w:r w:rsidRPr="00992309">
        <w:rPr>
          <w:rFonts w:ascii="Times New Roman" w:hAnsi="Times New Roman"/>
          <w:color w:val="auto"/>
        </w:rPr>
        <w:t xml:space="preserve">Taktiež sa zavádzajú informačné povinnosti bánk zverejniť informácie o platobnom účte so základnými funkciami na webovom sídle a v podnikateľských priestoroch bánk. </w:t>
      </w:r>
    </w:p>
    <w:p w:rsidR="00530ED9" w:rsidRPr="00992309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color w:val="auto"/>
        </w:rPr>
      </w:pPr>
      <w:r w:rsidRPr="00992309" w:rsidR="00F836F3">
        <w:rPr>
          <w:rFonts w:ascii="Times New Roman" w:hAnsi="Times New Roman"/>
          <w:color w:val="auto"/>
        </w:rPr>
        <w:t>V </w:t>
      </w:r>
      <w:r w:rsidRPr="00992309" w:rsidR="00405D80">
        <w:rPr>
          <w:rFonts w:ascii="Times New Roman" w:hAnsi="Times New Roman"/>
          <w:color w:val="auto"/>
        </w:rPr>
        <w:t>§</w:t>
      </w:r>
      <w:r w:rsidRPr="00992309" w:rsidR="000C487F">
        <w:rPr>
          <w:rFonts w:ascii="Times New Roman" w:hAnsi="Times New Roman"/>
          <w:color w:val="auto"/>
        </w:rPr>
        <w:t xml:space="preserve"> </w:t>
      </w:r>
      <w:r w:rsidRPr="00992309" w:rsidR="00F836F3">
        <w:rPr>
          <w:rFonts w:ascii="Times New Roman" w:hAnsi="Times New Roman"/>
          <w:color w:val="auto"/>
        </w:rPr>
        <w:t xml:space="preserve">27e je vyjadrený zákaz diskriminácie pri prístupe k platobným účtom. </w:t>
      </w:r>
    </w:p>
    <w:p w:rsidR="0058180F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b/>
          <w:bCs/>
          <w:color w:val="auto"/>
        </w:rPr>
      </w:pPr>
      <w:r w:rsidRPr="00992309" w:rsidR="006D7558">
        <w:rPr>
          <w:rFonts w:ascii="Times New Roman" w:hAnsi="Times New Roman"/>
          <w:b/>
          <w:bCs/>
          <w:color w:val="auto"/>
        </w:rPr>
        <w:t>K bodu</w:t>
      </w:r>
      <w:r w:rsidR="005A0E9F">
        <w:rPr>
          <w:rFonts w:ascii="Times New Roman" w:hAnsi="Times New Roman"/>
          <w:b/>
          <w:bCs/>
          <w:color w:val="auto"/>
        </w:rPr>
        <w:t xml:space="preserve"> </w:t>
      </w:r>
      <w:r w:rsidR="00A960D0">
        <w:rPr>
          <w:rFonts w:ascii="Times New Roman" w:hAnsi="Times New Roman"/>
          <w:b/>
          <w:bCs/>
          <w:color w:val="auto"/>
        </w:rPr>
        <w:t>11</w:t>
      </w:r>
    </w:p>
    <w:p w:rsidR="00AF631C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color w:val="auto"/>
        </w:rPr>
      </w:pPr>
      <w:r w:rsidRPr="00AF631C">
        <w:rPr>
          <w:rFonts w:ascii="Times New Roman" w:hAnsi="Times New Roman"/>
          <w:bCs/>
          <w:color w:val="auto"/>
        </w:rPr>
        <w:t>Doplnenie informačných povinnosti banky a pobočky zahraničnej banky voči klientovi, Ministerstvu financií SR a NBS.</w:t>
      </w:r>
    </w:p>
    <w:p w:rsidR="00AF631C" w:rsidP="00AF631C">
      <w:pPr>
        <w:bidi w:val="0"/>
        <w:spacing w:before="100" w:beforeAutospacing="1" w:after="100" w:afterAutospacing="1"/>
        <w:jc w:val="both"/>
        <w:rPr>
          <w:rFonts w:ascii="Times New Roman" w:hAnsi="Times New Roman"/>
          <w:b/>
          <w:bCs/>
          <w:color w:val="auto"/>
        </w:rPr>
      </w:pPr>
      <w:r w:rsidRPr="00992309">
        <w:rPr>
          <w:rFonts w:ascii="Times New Roman" w:hAnsi="Times New Roman"/>
          <w:b/>
          <w:bCs/>
          <w:color w:val="auto"/>
        </w:rPr>
        <w:t>K bodu</w:t>
      </w:r>
      <w:r>
        <w:rPr>
          <w:rFonts w:ascii="Times New Roman" w:hAnsi="Times New Roman"/>
          <w:b/>
          <w:bCs/>
          <w:color w:val="auto"/>
        </w:rPr>
        <w:t xml:space="preserve"> </w:t>
      </w:r>
      <w:r w:rsidR="00DC3DEA">
        <w:rPr>
          <w:rFonts w:ascii="Times New Roman" w:hAnsi="Times New Roman"/>
          <w:b/>
          <w:bCs/>
          <w:color w:val="auto"/>
        </w:rPr>
        <w:t>1</w:t>
      </w:r>
      <w:r w:rsidR="00A960D0">
        <w:rPr>
          <w:rFonts w:ascii="Times New Roman" w:hAnsi="Times New Roman"/>
          <w:b/>
          <w:bCs/>
          <w:color w:val="auto"/>
        </w:rPr>
        <w:t>2</w:t>
      </w:r>
    </w:p>
    <w:p w:rsidR="00EF3A99" w:rsidRPr="00A42FB1" w:rsidP="00EF3A99">
      <w:pPr>
        <w:bidi w:val="0"/>
        <w:spacing w:before="100" w:beforeAutospacing="1" w:after="100" w:afterAutospacing="1"/>
        <w:jc w:val="both"/>
        <w:rPr>
          <w:rFonts w:ascii="Times New Roman" w:hAnsi="Times New Roman"/>
          <w:color w:val="auto"/>
        </w:rPr>
      </w:pPr>
      <w:r w:rsidRPr="00A42FB1">
        <w:rPr>
          <w:rFonts w:ascii="Times New Roman" w:hAnsi="Times New Roman"/>
          <w:color w:val="auto"/>
        </w:rPr>
        <w:t xml:space="preserve">Zavádza sa možnosť preverenia informácií predložených spotrebiteľom a oprávnenou osobou </w:t>
      </w:r>
      <w:r>
        <w:rPr>
          <w:rFonts w:ascii="Times New Roman" w:hAnsi="Times New Roman"/>
          <w:color w:val="auto"/>
        </w:rPr>
        <w:t>v čestnom vyhlásení.</w:t>
      </w:r>
      <w:r w:rsidRPr="00A42FB1">
        <w:rPr>
          <w:rFonts w:ascii="Times New Roman" w:hAnsi="Times New Roman"/>
          <w:color w:val="auto"/>
        </w:rPr>
        <w:t xml:space="preserve"> </w:t>
      </w:r>
    </w:p>
    <w:p w:rsidR="00EF3A99" w:rsidRPr="00992309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>K bodu 1</w:t>
      </w:r>
      <w:r w:rsidR="00A960D0">
        <w:rPr>
          <w:rFonts w:ascii="Times New Roman" w:hAnsi="Times New Roman"/>
          <w:b/>
          <w:bCs/>
          <w:color w:val="auto"/>
        </w:rPr>
        <w:t>3</w:t>
      </w:r>
    </w:p>
    <w:p w:rsidR="00AF631C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color w:val="auto"/>
        </w:rPr>
      </w:pPr>
      <w:r w:rsidRPr="00992309" w:rsidR="00B21501">
        <w:rPr>
          <w:rFonts w:ascii="Times New Roman" w:hAnsi="Times New Roman"/>
          <w:color w:val="auto"/>
        </w:rPr>
        <w:t xml:space="preserve">Prechodné ustanovenia </w:t>
      </w:r>
      <w:r>
        <w:rPr>
          <w:rFonts w:ascii="Times New Roman" w:hAnsi="Times New Roman"/>
          <w:color w:val="auto"/>
        </w:rPr>
        <w:t xml:space="preserve">upravujú povinnosť informovania Komisie prvý krát Ministerstvom financií SR a NBS. </w:t>
      </w:r>
    </w:p>
    <w:p w:rsidR="00393D21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Základný bankový produkt </w:t>
      </w:r>
      <w:r w:rsidR="00EF6A85">
        <w:rPr>
          <w:rFonts w:ascii="Times New Roman" w:hAnsi="Times New Roman"/>
          <w:color w:val="auto"/>
        </w:rPr>
        <w:t>poskytnutý</w:t>
      </w:r>
      <w:r>
        <w:rPr>
          <w:rFonts w:ascii="Times New Roman" w:hAnsi="Times New Roman"/>
          <w:color w:val="auto"/>
        </w:rPr>
        <w:t xml:space="preserve"> do 31. </w:t>
      </w:r>
      <w:r w:rsidR="00EF6A85">
        <w:rPr>
          <w:rFonts w:ascii="Times New Roman" w:hAnsi="Times New Roman"/>
          <w:color w:val="auto"/>
        </w:rPr>
        <w:t>d</w:t>
      </w:r>
      <w:r>
        <w:rPr>
          <w:rFonts w:ascii="Times New Roman" w:hAnsi="Times New Roman"/>
          <w:color w:val="auto"/>
        </w:rPr>
        <w:t xml:space="preserve">ecembra 2015 </w:t>
      </w:r>
      <w:r w:rsidR="00EF6A85">
        <w:rPr>
          <w:rFonts w:ascii="Times New Roman" w:hAnsi="Times New Roman"/>
          <w:color w:val="auto"/>
        </w:rPr>
        <w:t>sa zo zákona mení</w:t>
      </w:r>
      <w:r>
        <w:rPr>
          <w:rFonts w:ascii="Times New Roman" w:hAnsi="Times New Roman"/>
          <w:color w:val="auto"/>
        </w:rPr>
        <w:t xml:space="preserve"> na základný bankový produkt v znení účinnom od 1. </w:t>
      </w:r>
      <w:r w:rsidR="00EF6A85">
        <w:rPr>
          <w:rFonts w:ascii="Times New Roman" w:hAnsi="Times New Roman"/>
          <w:color w:val="auto"/>
        </w:rPr>
        <w:t>j</w:t>
      </w:r>
      <w:r>
        <w:rPr>
          <w:rFonts w:ascii="Times New Roman" w:hAnsi="Times New Roman"/>
          <w:color w:val="auto"/>
        </w:rPr>
        <w:t>anuára</w:t>
      </w:r>
      <w:r w:rsidR="00D6368C">
        <w:rPr>
          <w:rFonts w:ascii="Times New Roman" w:hAnsi="Times New Roman"/>
          <w:color w:val="auto"/>
        </w:rPr>
        <w:t xml:space="preserve"> 2016</w:t>
      </w:r>
      <w:r w:rsidR="00363612">
        <w:rPr>
          <w:rFonts w:ascii="Times New Roman" w:hAnsi="Times New Roman"/>
          <w:color w:val="auto"/>
        </w:rPr>
        <w:t>,</w:t>
      </w:r>
      <w:r w:rsidR="00D6368C">
        <w:rPr>
          <w:rFonts w:ascii="Times New Roman" w:hAnsi="Times New Roman"/>
          <w:color w:val="auto"/>
        </w:rPr>
        <w:t xml:space="preserve"> k</w:t>
      </w:r>
      <w:r w:rsidR="000470B0">
        <w:rPr>
          <w:rFonts w:ascii="Times New Roman" w:hAnsi="Times New Roman"/>
          <w:color w:val="auto"/>
        </w:rPr>
        <w:t> 1. januáru 2016.</w:t>
      </w:r>
    </w:p>
    <w:p w:rsidR="00EF6A85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color w:val="auto"/>
        </w:rPr>
      </w:pPr>
      <w:r w:rsidR="00B27554">
        <w:rPr>
          <w:rFonts w:ascii="Times New Roman" w:hAnsi="Times New Roman"/>
          <w:color w:val="auto"/>
        </w:rPr>
        <w:t xml:space="preserve">V prípade základného bankového produktu v znení účinnom od 1. </w:t>
      </w:r>
      <w:r w:rsidR="00393D21">
        <w:rPr>
          <w:rFonts w:ascii="Times New Roman" w:hAnsi="Times New Roman"/>
          <w:color w:val="auto"/>
        </w:rPr>
        <w:t>j</w:t>
      </w:r>
      <w:r w:rsidR="00B27554">
        <w:rPr>
          <w:rFonts w:ascii="Times New Roman" w:hAnsi="Times New Roman"/>
          <w:color w:val="auto"/>
        </w:rPr>
        <w:t>anuára 2016 a platobného účtu so základnými funkciami sa neuplatní lehota na informovanie spotrebiteľa o zmene rámcovej zmluvy a</w:t>
      </w:r>
      <w:r w:rsidR="00393D21">
        <w:rPr>
          <w:rFonts w:ascii="Times New Roman" w:hAnsi="Times New Roman"/>
          <w:color w:val="auto"/>
        </w:rPr>
        <w:t> tiež sa neaplikuje lehota na informovanie podľa § 37 ods. 1 zákona o bankách z dôvodu potreby čo najskoršej aplikácie uvedených platobných účtov</w:t>
      </w:r>
      <w:r>
        <w:rPr>
          <w:rFonts w:ascii="Times New Roman" w:hAnsi="Times New Roman"/>
          <w:color w:val="auto"/>
        </w:rPr>
        <w:t>, a to od 1.</w:t>
      </w:r>
      <w:r w:rsidR="000C5726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februára 2016.</w:t>
      </w:r>
    </w:p>
    <w:p w:rsidR="00FC3577" w:rsidRPr="00992309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b/>
          <w:color w:val="auto"/>
        </w:rPr>
      </w:pPr>
      <w:r w:rsidRPr="00992309">
        <w:rPr>
          <w:rFonts w:ascii="Times New Roman" w:hAnsi="Times New Roman"/>
          <w:b/>
          <w:color w:val="auto"/>
        </w:rPr>
        <w:t xml:space="preserve">K bodu </w:t>
      </w:r>
      <w:r w:rsidRPr="00992309" w:rsidR="006D7558">
        <w:rPr>
          <w:rFonts w:ascii="Times New Roman" w:hAnsi="Times New Roman"/>
          <w:b/>
          <w:color w:val="auto"/>
        </w:rPr>
        <w:t>1</w:t>
      </w:r>
      <w:r w:rsidR="00A960D0">
        <w:rPr>
          <w:rFonts w:ascii="Times New Roman" w:hAnsi="Times New Roman"/>
          <w:b/>
          <w:color w:val="auto"/>
        </w:rPr>
        <w:t>4</w:t>
      </w:r>
    </w:p>
    <w:p w:rsidR="00FC3577" w:rsidRPr="00992309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color w:val="auto"/>
        </w:rPr>
      </w:pPr>
      <w:r w:rsidRPr="00992309">
        <w:rPr>
          <w:rFonts w:ascii="Times New Roman" w:hAnsi="Times New Roman"/>
          <w:color w:val="auto"/>
        </w:rPr>
        <w:t xml:space="preserve">Dopĺňa sa príloha k zákonu, ktorá obsahuje zoznam preberaných právnych aktov.  </w:t>
      </w:r>
    </w:p>
    <w:p w:rsidR="001F7641" w:rsidRPr="00992309" w:rsidP="00992309">
      <w:pPr>
        <w:bidi w:val="0"/>
        <w:spacing w:before="100" w:beforeAutospacing="1" w:after="100" w:afterAutospacing="1"/>
        <w:jc w:val="both"/>
        <w:rPr>
          <w:rFonts w:ascii="Times New Roman" w:hAnsi="Times New Roman"/>
          <w:b/>
          <w:bCs/>
          <w:color w:val="auto"/>
        </w:rPr>
      </w:pPr>
      <w:r w:rsidRPr="00992309" w:rsidR="00437A40">
        <w:rPr>
          <w:rFonts w:ascii="Times New Roman" w:hAnsi="Times New Roman"/>
          <w:b/>
          <w:bCs/>
          <w:color w:val="auto"/>
        </w:rPr>
        <w:t>K Čl. III</w:t>
      </w:r>
    </w:p>
    <w:p w:rsidR="004C385C" w:rsidP="00992309">
      <w:pPr>
        <w:bidi w:val="0"/>
        <w:jc w:val="both"/>
        <w:rPr>
          <w:rFonts w:ascii="Times New Roman" w:hAnsi="Times New Roman"/>
          <w:color w:val="auto"/>
        </w:rPr>
      </w:pPr>
      <w:r w:rsidRPr="00992309" w:rsidR="00295C43">
        <w:rPr>
          <w:rFonts w:ascii="Times New Roman" w:hAnsi="Times New Roman"/>
          <w:color w:val="auto"/>
        </w:rPr>
        <w:t xml:space="preserve">Navrhuje sa, aby zákon nadobudol účinnosť 1. </w:t>
      </w:r>
      <w:r w:rsidRPr="00992309" w:rsidR="00397957">
        <w:rPr>
          <w:rFonts w:ascii="Times New Roman" w:hAnsi="Times New Roman"/>
          <w:color w:val="auto"/>
        </w:rPr>
        <w:t>januára</w:t>
      </w:r>
      <w:r w:rsidRPr="00992309" w:rsidR="00BA0C9F">
        <w:rPr>
          <w:rFonts w:ascii="Times New Roman" w:hAnsi="Times New Roman"/>
          <w:color w:val="auto"/>
        </w:rPr>
        <w:t xml:space="preserve"> </w:t>
      </w:r>
      <w:r w:rsidRPr="00992309" w:rsidR="00397957">
        <w:rPr>
          <w:rFonts w:ascii="Times New Roman" w:hAnsi="Times New Roman"/>
          <w:color w:val="auto"/>
        </w:rPr>
        <w:t>2016</w:t>
      </w:r>
      <w:r w:rsidRPr="00992309" w:rsidR="006D7558">
        <w:rPr>
          <w:rFonts w:ascii="Times New Roman" w:hAnsi="Times New Roman"/>
          <w:color w:val="auto"/>
        </w:rPr>
        <w:t>.</w:t>
      </w:r>
      <w:r w:rsidRPr="00992309" w:rsidR="00397957">
        <w:rPr>
          <w:rFonts w:ascii="Times New Roman" w:hAnsi="Times New Roman"/>
          <w:color w:val="auto"/>
        </w:rPr>
        <w:t xml:space="preserve"> </w:t>
      </w:r>
    </w:p>
    <w:p w:rsidR="003F63DB" w:rsidP="00992309">
      <w:pPr>
        <w:bidi w:val="0"/>
        <w:jc w:val="both"/>
        <w:rPr>
          <w:rFonts w:ascii="Times New Roman" w:hAnsi="Times New Roman"/>
          <w:color w:val="auto"/>
        </w:rPr>
      </w:pPr>
    </w:p>
    <w:p w:rsidR="003F63DB" w:rsidRPr="003F63DB" w:rsidP="003F63DB">
      <w:pPr>
        <w:bidi w:val="0"/>
        <w:jc w:val="center"/>
        <w:rPr>
          <w:rFonts w:ascii="Times New Roman" w:hAnsi="Times New Roman"/>
          <w:color w:val="auto"/>
        </w:rPr>
      </w:pPr>
      <w:r w:rsidRPr="003F63DB">
        <w:rPr>
          <w:rFonts w:ascii="Times New Roman" w:hAnsi="Times New Roman"/>
          <w:color w:val="auto"/>
        </w:rPr>
        <w:t>Schválené v</w:t>
      </w:r>
      <w:r>
        <w:rPr>
          <w:rFonts w:ascii="Times New Roman" w:hAnsi="Times New Roman"/>
          <w:color w:val="auto"/>
        </w:rPr>
        <w:t>ládou Slovenskej republiky dňa 26. augusta 2015</w:t>
      </w:r>
      <w:r w:rsidRPr="003F63DB">
        <w:rPr>
          <w:rFonts w:ascii="Times New Roman" w:hAnsi="Times New Roman"/>
          <w:color w:val="auto"/>
        </w:rPr>
        <w:t>.</w:t>
      </w:r>
    </w:p>
    <w:p w:rsidR="003F63DB" w:rsidRPr="003F63DB" w:rsidP="003F63DB">
      <w:pPr>
        <w:bidi w:val="0"/>
        <w:jc w:val="center"/>
        <w:rPr>
          <w:rFonts w:ascii="Times New Roman" w:hAnsi="Times New Roman"/>
          <w:color w:val="auto"/>
        </w:rPr>
      </w:pPr>
    </w:p>
    <w:p w:rsidR="003F63DB" w:rsidRPr="003F63DB" w:rsidP="003F63DB">
      <w:pPr>
        <w:bidi w:val="0"/>
        <w:jc w:val="center"/>
        <w:rPr>
          <w:rFonts w:ascii="Times New Roman" w:hAnsi="Times New Roman"/>
          <w:color w:val="auto"/>
        </w:rPr>
      </w:pPr>
    </w:p>
    <w:p w:rsidR="003F63DB" w:rsidRPr="003F63DB" w:rsidP="003F63DB">
      <w:pPr>
        <w:bidi w:val="0"/>
        <w:jc w:val="center"/>
        <w:rPr>
          <w:rFonts w:ascii="Times New Roman" w:hAnsi="Times New Roman"/>
          <w:color w:val="auto"/>
        </w:rPr>
      </w:pPr>
    </w:p>
    <w:p w:rsidR="003F63DB" w:rsidRPr="003F63DB" w:rsidP="003F63DB">
      <w:pPr>
        <w:bidi w:val="0"/>
        <w:jc w:val="center"/>
        <w:rPr>
          <w:rFonts w:ascii="Times New Roman" w:hAnsi="Times New Roman"/>
          <w:color w:val="auto"/>
        </w:rPr>
      </w:pPr>
    </w:p>
    <w:p w:rsidR="007212E5" w:rsidP="003F63DB">
      <w:pPr>
        <w:bidi w:val="0"/>
        <w:jc w:val="center"/>
        <w:rPr>
          <w:rFonts w:ascii="Times New Roman" w:hAnsi="Times New Roman"/>
          <w:color w:val="auto"/>
        </w:rPr>
      </w:pPr>
      <w:r w:rsidRPr="003F63DB" w:rsidR="003F63DB">
        <w:rPr>
          <w:rFonts w:ascii="Times New Roman" w:hAnsi="Times New Roman"/>
          <w:color w:val="auto"/>
        </w:rPr>
        <w:t>Robert  F i c o</w:t>
      </w:r>
    </w:p>
    <w:p w:rsidR="003F63DB" w:rsidRPr="003F63DB" w:rsidP="003F63DB">
      <w:pPr>
        <w:bidi w:val="0"/>
        <w:jc w:val="center"/>
        <w:rPr>
          <w:rFonts w:ascii="Times New Roman" w:hAnsi="Times New Roman"/>
          <w:color w:val="auto"/>
        </w:rPr>
      </w:pPr>
      <w:r w:rsidRPr="003F63DB">
        <w:rPr>
          <w:rFonts w:ascii="Times New Roman" w:hAnsi="Times New Roman"/>
          <w:color w:val="auto"/>
        </w:rPr>
        <w:t>predseda vlády</w:t>
      </w:r>
    </w:p>
    <w:p w:rsidR="003F63DB" w:rsidRPr="003F63DB" w:rsidP="003F63DB">
      <w:pPr>
        <w:bidi w:val="0"/>
        <w:jc w:val="center"/>
        <w:rPr>
          <w:rFonts w:ascii="Times New Roman" w:hAnsi="Times New Roman"/>
          <w:color w:val="auto"/>
        </w:rPr>
      </w:pPr>
      <w:r w:rsidRPr="003F63DB">
        <w:rPr>
          <w:rFonts w:ascii="Times New Roman" w:hAnsi="Times New Roman"/>
          <w:color w:val="auto"/>
        </w:rPr>
        <w:t>Slovenskej republiky</w:t>
      </w:r>
    </w:p>
    <w:p w:rsidR="003F63DB" w:rsidRPr="003F63DB" w:rsidP="003F63DB">
      <w:pPr>
        <w:bidi w:val="0"/>
        <w:jc w:val="center"/>
        <w:rPr>
          <w:rFonts w:ascii="Times New Roman" w:hAnsi="Times New Roman"/>
          <w:color w:val="auto"/>
        </w:rPr>
      </w:pPr>
    </w:p>
    <w:p w:rsidR="003F63DB" w:rsidRPr="003F63DB" w:rsidP="003F63DB">
      <w:pPr>
        <w:bidi w:val="0"/>
        <w:jc w:val="center"/>
        <w:rPr>
          <w:rFonts w:ascii="Times New Roman" w:hAnsi="Times New Roman"/>
          <w:color w:val="auto"/>
        </w:rPr>
      </w:pPr>
    </w:p>
    <w:p w:rsidR="003F63DB" w:rsidRPr="003F63DB" w:rsidP="003F63DB">
      <w:pPr>
        <w:bidi w:val="0"/>
        <w:jc w:val="center"/>
        <w:rPr>
          <w:rFonts w:ascii="Times New Roman" w:hAnsi="Times New Roman"/>
          <w:color w:val="auto"/>
        </w:rPr>
      </w:pPr>
    </w:p>
    <w:p w:rsidR="003F63DB" w:rsidRPr="003F63DB" w:rsidP="003F63DB">
      <w:pPr>
        <w:bidi w:val="0"/>
        <w:jc w:val="center"/>
        <w:rPr>
          <w:rFonts w:ascii="Times New Roman" w:hAnsi="Times New Roman"/>
          <w:color w:val="auto"/>
        </w:rPr>
      </w:pPr>
    </w:p>
    <w:p w:rsidR="003F63DB" w:rsidRPr="003F63DB" w:rsidP="003F63DB">
      <w:pPr>
        <w:bidi w:val="0"/>
        <w:jc w:val="center"/>
        <w:rPr>
          <w:rFonts w:ascii="Times New Roman" w:hAnsi="Times New Roman"/>
          <w:color w:val="auto"/>
        </w:rPr>
      </w:pPr>
    </w:p>
    <w:p w:rsidR="003F63DB" w:rsidRPr="003F63DB" w:rsidP="003F63DB">
      <w:pPr>
        <w:bidi w:val="0"/>
        <w:jc w:val="center"/>
        <w:rPr>
          <w:rFonts w:ascii="Times New Roman" w:hAnsi="Times New Roman"/>
          <w:color w:val="auto"/>
        </w:rPr>
      </w:pPr>
    </w:p>
    <w:p w:rsidR="007212E5" w:rsidP="003F63DB">
      <w:pPr>
        <w:bidi w:val="0"/>
        <w:jc w:val="center"/>
        <w:rPr>
          <w:rFonts w:ascii="Times New Roman" w:hAnsi="Times New Roman"/>
          <w:color w:val="auto"/>
        </w:rPr>
      </w:pPr>
      <w:r w:rsidRPr="003F63DB" w:rsidR="003F63DB">
        <w:rPr>
          <w:rFonts w:ascii="Times New Roman" w:hAnsi="Times New Roman"/>
          <w:color w:val="auto"/>
        </w:rPr>
        <w:t>Peter K a ž i m í r</w:t>
      </w:r>
    </w:p>
    <w:p w:rsidR="003F63DB" w:rsidRPr="003F63DB" w:rsidP="003F63DB">
      <w:pPr>
        <w:bidi w:val="0"/>
        <w:jc w:val="center"/>
        <w:rPr>
          <w:rFonts w:ascii="Times New Roman" w:hAnsi="Times New Roman"/>
          <w:color w:val="auto"/>
        </w:rPr>
      </w:pPr>
      <w:r w:rsidRPr="003F63DB">
        <w:rPr>
          <w:rFonts w:ascii="Times New Roman" w:hAnsi="Times New Roman"/>
          <w:color w:val="auto"/>
        </w:rPr>
        <w:t>podpredseda vlády a minister financií</w:t>
      </w:r>
    </w:p>
    <w:p w:rsidR="003F63DB" w:rsidP="003F63DB">
      <w:pPr>
        <w:bidi w:val="0"/>
        <w:jc w:val="center"/>
        <w:rPr>
          <w:rFonts w:ascii="Times New Roman" w:hAnsi="Times New Roman"/>
          <w:color w:val="auto"/>
        </w:rPr>
      </w:pPr>
      <w:r w:rsidRPr="003F63DB">
        <w:rPr>
          <w:rFonts w:ascii="Times New Roman" w:hAnsi="Times New Roman"/>
          <w:color w:val="auto"/>
        </w:rPr>
        <w:t>Slovenskej republiky</w:t>
      </w:r>
    </w:p>
    <w:p w:rsidR="00B03F1A" w:rsidP="003F63DB">
      <w:pPr>
        <w:bidi w:val="0"/>
        <w:jc w:val="center"/>
        <w:rPr>
          <w:rFonts w:ascii="Times New Roman" w:hAnsi="Times New Roman"/>
          <w:color w:val="auto"/>
        </w:rPr>
      </w:pPr>
    </w:p>
    <w:p w:rsidR="00B03F1A" w:rsidP="003F63DB">
      <w:pPr>
        <w:bidi w:val="0"/>
        <w:jc w:val="center"/>
        <w:rPr>
          <w:rFonts w:ascii="Times New Roman" w:hAnsi="Times New Roman"/>
          <w:color w:val="auto"/>
        </w:rPr>
      </w:pPr>
    </w:p>
    <w:p w:rsidR="00440407" w:rsidP="003F63DB">
      <w:pPr>
        <w:bidi w:val="0"/>
        <w:jc w:val="center"/>
        <w:rPr>
          <w:rFonts w:ascii="Times New Roman" w:hAnsi="Times New Roman"/>
          <w:color w:val="auto"/>
        </w:rPr>
      </w:pPr>
    </w:p>
    <w:p w:rsidR="00440407" w:rsidP="003F63DB">
      <w:pPr>
        <w:bidi w:val="0"/>
        <w:jc w:val="center"/>
        <w:rPr>
          <w:rFonts w:ascii="Times New Roman" w:hAnsi="Times New Roman"/>
          <w:color w:val="auto"/>
        </w:rPr>
      </w:pPr>
    </w:p>
    <w:p w:rsidR="00440407" w:rsidP="003F63DB">
      <w:pPr>
        <w:bidi w:val="0"/>
        <w:jc w:val="center"/>
        <w:rPr>
          <w:rFonts w:ascii="Times New Roman" w:hAnsi="Times New Roman"/>
          <w:color w:val="auto"/>
        </w:rPr>
      </w:pPr>
    </w:p>
    <w:p w:rsidR="00440407" w:rsidP="003F63DB">
      <w:pPr>
        <w:bidi w:val="0"/>
        <w:jc w:val="center"/>
        <w:rPr>
          <w:rFonts w:ascii="Times New Roman" w:hAnsi="Times New Roman"/>
          <w:color w:val="auto"/>
        </w:rPr>
      </w:pPr>
    </w:p>
    <w:p w:rsidR="007212E5" w:rsidP="003F63DB">
      <w:pPr>
        <w:bidi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Jozef M a k</w:t>
      </w:r>
      <w:r w:rsidR="00B03F1A">
        <w:rPr>
          <w:rFonts w:ascii="Times New Roman" w:hAnsi="Times New Roman"/>
          <w:color w:val="auto"/>
        </w:rPr>
        <w:t xml:space="preserve"> ú ch</w:t>
      </w:r>
    </w:p>
    <w:p w:rsidR="00B03F1A" w:rsidP="003F63DB">
      <w:pPr>
        <w:bidi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g</w:t>
      </w:r>
      <w:r w:rsidRPr="00B03F1A">
        <w:rPr>
          <w:rFonts w:ascii="Times New Roman" w:hAnsi="Times New Roman"/>
          <w:color w:val="auto"/>
        </w:rPr>
        <w:t xml:space="preserve">uvernér </w:t>
      </w:r>
    </w:p>
    <w:p w:rsidR="00B03F1A" w:rsidRPr="003F63DB" w:rsidP="003F63DB">
      <w:pPr>
        <w:bidi w:val="0"/>
        <w:jc w:val="center"/>
        <w:rPr>
          <w:rFonts w:ascii="Times New Roman" w:hAnsi="Times New Roman"/>
          <w:color w:val="auto"/>
        </w:rPr>
      </w:pPr>
      <w:r w:rsidRPr="00B03F1A">
        <w:rPr>
          <w:rFonts w:ascii="Times New Roman" w:hAnsi="Times New Roman"/>
          <w:color w:val="auto"/>
        </w:rPr>
        <w:t>Národnej banky Slovenska</w:t>
      </w:r>
    </w:p>
    <w:p w:rsidR="003F63DB" w:rsidRPr="00992309" w:rsidP="00992309">
      <w:pPr>
        <w:bidi w:val="0"/>
        <w:jc w:val="both"/>
        <w:rPr>
          <w:rFonts w:ascii="Times New Roman" w:hAnsi="Times New Roman"/>
          <w:color w:val="auto"/>
        </w:rPr>
      </w:pPr>
    </w:p>
    <w:sectPr w:rsidSect="008C4625">
      <w:footerReference w:type="default" r:id="rId5"/>
      <w:pgSz w:w="11906" w:h="16838"/>
      <w:pgMar w:top="1134" w:right="1417" w:bottom="1276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E64" w:rsidRPr="005970D1">
    <w:pPr>
      <w:pStyle w:val="Footer"/>
      <w:bidi w:val="0"/>
      <w:jc w:val="center"/>
      <w:rPr>
        <w:rFonts w:ascii="Times New Roman" w:hAnsi="Times New Roman"/>
      </w:rPr>
    </w:pPr>
    <w:r w:rsidRPr="005970D1">
      <w:rPr>
        <w:rFonts w:ascii="Times New Roman" w:hAnsi="Times New Roman"/>
      </w:rPr>
      <w:fldChar w:fldCharType="begin"/>
    </w:r>
    <w:r w:rsidRPr="005970D1">
      <w:rPr>
        <w:rFonts w:ascii="Times New Roman" w:hAnsi="Times New Roman"/>
      </w:rPr>
      <w:instrText>PAGE   \* MERGEFORMAT</w:instrText>
    </w:r>
    <w:r w:rsidRPr="005970D1">
      <w:rPr>
        <w:rFonts w:ascii="Times New Roman" w:hAnsi="Times New Roman"/>
      </w:rPr>
      <w:fldChar w:fldCharType="separate"/>
    </w:r>
    <w:r w:rsidR="007212E5">
      <w:rPr>
        <w:rFonts w:ascii="Times New Roman" w:hAnsi="Times New Roman"/>
        <w:noProof/>
      </w:rPr>
      <w:t>21</w:t>
    </w:r>
    <w:r w:rsidRPr="005970D1">
      <w:rPr>
        <w:rFonts w:ascii="Times New Roman" w:hAnsi="Times New Roman"/>
      </w:rPr>
      <w:fldChar w:fldCharType="end"/>
    </w:r>
  </w:p>
  <w:p w:rsidR="00D765FB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69E3"/>
    <w:multiLevelType w:val="hybridMultilevel"/>
    <w:tmpl w:val="CAFE18D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27D1C72"/>
    <w:multiLevelType w:val="hybridMultilevel"/>
    <w:tmpl w:val="90685EC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8A851A4"/>
    <w:multiLevelType w:val="hybridMultilevel"/>
    <w:tmpl w:val="CB0897A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B82321F"/>
    <w:multiLevelType w:val="hybridMultilevel"/>
    <w:tmpl w:val="1DD85E1C"/>
    <w:lvl w:ilvl="0">
      <w:start w:val="1"/>
      <w:numFmt w:val="decimal"/>
      <w:lvlText w:val="(%1)"/>
      <w:lvlJc w:val="left"/>
      <w:pPr>
        <w:ind w:left="1669" w:hanging="9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4">
    <w:nsid w:val="0CD61067"/>
    <w:multiLevelType w:val="hybridMultilevel"/>
    <w:tmpl w:val="24DC8F90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5">
    <w:nsid w:val="12F43B8F"/>
    <w:multiLevelType w:val="multilevel"/>
    <w:tmpl w:val="2FFAD176"/>
    <w:lvl w:ilvl="0">
      <w:start w:val="6"/>
      <w:numFmt w:val="bullet"/>
      <w:lvlText w:val="-"/>
      <w:lvlJc w:val="left"/>
      <w:pPr>
        <w:ind w:left="425" w:hanging="425"/>
      </w:pPr>
      <w:rPr>
        <w:rFonts w:ascii="Times New Roman" w:eastAsia="Times New Roman" w:hAnsi="Times New Roman" w:hint="default"/>
        <w:b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6">
    <w:nsid w:val="14C5729D"/>
    <w:multiLevelType w:val="hybridMultilevel"/>
    <w:tmpl w:val="BD0047A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B9131DF"/>
    <w:multiLevelType w:val="hybridMultilevel"/>
    <w:tmpl w:val="4C90BF98"/>
    <w:lvl w:ilvl="0">
      <w:start w:val="1"/>
      <w:numFmt w:val="lowerLetter"/>
      <w:lvlText w:val="%1)"/>
      <w:lvlJc w:val="left"/>
      <w:pPr>
        <w:ind w:left="160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32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4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6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48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20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92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4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65" w:hanging="180"/>
      </w:pPr>
      <w:rPr>
        <w:rFonts w:cs="Times New Roman"/>
        <w:rtl w:val="0"/>
        <w:cs w:val="0"/>
      </w:rPr>
    </w:lvl>
  </w:abstractNum>
  <w:abstractNum w:abstractNumId="8">
    <w:nsid w:val="1C8B4659"/>
    <w:multiLevelType w:val="hybridMultilevel"/>
    <w:tmpl w:val="F568421A"/>
    <w:lvl w:ilvl="0">
      <w:start w:val="1"/>
      <w:numFmt w:val="upperLetter"/>
      <w:lvlText w:val="%1."/>
      <w:lvlJc w:val="left"/>
      <w:pPr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9">
    <w:nsid w:val="1E9B643F"/>
    <w:multiLevelType w:val="hybridMultilevel"/>
    <w:tmpl w:val="06CAB4F6"/>
    <w:lvl w:ilvl="0">
      <w:start w:val="1"/>
      <w:numFmt w:val="decimal"/>
      <w:lvlText w:val="(%1)"/>
      <w:lvlJc w:val="left"/>
      <w:pPr>
        <w:ind w:left="1429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10">
    <w:nsid w:val="21FE3915"/>
    <w:multiLevelType w:val="hybridMultilevel"/>
    <w:tmpl w:val="90685EC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0CB1C2B"/>
    <w:multiLevelType w:val="hybridMultilevel"/>
    <w:tmpl w:val="8A52E708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2">
    <w:nsid w:val="323C613F"/>
    <w:multiLevelType w:val="hybridMultilevel"/>
    <w:tmpl w:val="85E2C9A0"/>
    <w:lvl w:ilvl="0">
      <w:start w:val="1"/>
      <w:numFmt w:val="decimal"/>
      <w:lvlText w:val="(%1)"/>
      <w:lvlJc w:val="left"/>
      <w:pPr>
        <w:ind w:left="1669" w:hanging="9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3">
    <w:nsid w:val="329C364F"/>
    <w:multiLevelType w:val="hybridMultilevel"/>
    <w:tmpl w:val="544C7260"/>
    <w:lvl w:ilvl="0">
      <w:start w:val="1"/>
      <w:numFmt w:val="lowerLetter"/>
      <w:lvlText w:val="%1)"/>
      <w:lvlJc w:val="left"/>
      <w:pPr>
        <w:ind w:left="1778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14">
    <w:nsid w:val="34BC5BDA"/>
    <w:multiLevelType w:val="hybridMultilevel"/>
    <w:tmpl w:val="E342E972"/>
    <w:lvl w:ilvl="0">
      <w:start w:val="1"/>
      <w:numFmt w:val="decimal"/>
      <w:lvlText w:val="(%1)"/>
      <w:lvlJc w:val="left"/>
      <w:pPr>
        <w:ind w:left="171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43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15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87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59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1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3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75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470" w:hanging="180"/>
      </w:pPr>
      <w:rPr>
        <w:rFonts w:cs="Times New Roman"/>
        <w:rtl w:val="0"/>
        <w:cs w:val="0"/>
      </w:rPr>
    </w:lvl>
  </w:abstractNum>
  <w:abstractNum w:abstractNumId="15">
    <w:nsid w:val="383C20DC"/>
    <w:multiLevelType w:val="hybridMultilevel"/>
    <w:tmpl w:val="539889FE"/>
    <w:lvl w:ilvl="0">
      <w:start w:val="1"/>
      <w:numFmt w:val="decimal"/>
      <w:lvlText w:val="(%1)"/>
      <w:lvlJc w:val="left"/>
      <w:pPr>
        <w:ind w:left="1350" w:hanging="360"/>
      </w:pPr>
      <w:rPr>
        <w:rFonts w:cs="Times New Roman" w:hint="default"/>
        <w:b w:val="0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20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10" w:hanging="180"/>
      </w:pPr>
      <w:rPr>
        <w:rFonts w:cs="Times New Roman"/>
        <w:rtl w:val="0"/>
        <w:cs w:val="0"/>
      </w:rPr>
    </w:lvl>
  </w:abstractNum>
  <w:abstractNum w:abstractNumId="16">
    <w:nsid w:val="3D535B0B"/>
    <w:multiLevelType w:val="hybridMultilevel"/>
    <w:tmpl w:val="0EBE02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41CC7766"/>
    <w:multiLevelType w:val="hybridMultilevel"/>
    <w:tmpl w:val="991095F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2B4404E"/>
    <w:multiLevelType w:val="hybridMultilevel"/>
    <w:tmpl w:val="18D4043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9">
    <w:nsid w:val="4452308D"/>
    <w:multiLevelType w:val="hybridMultilevel"/>
    <w:tmpl w:val="697C24D0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20">
    <w:nsid w:val="44F5204E"/>
    <w:multiLevelType w:val="hybridMultilevel"/>
    <w:tmpl w:val="730891EE"/>
    <w:lvl w:ilvl="0">
      <w:start w:val="1"/>
      <w:numFmt w:val="lowerLetter"/>
      <w:lvlText w:val="%1)"/>
      <w:lvlJc w:val="left"/>
      <w:pPr>
        <w:ind w:left="142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21">
    <w:nsid w:val="452D0B45"/>
    <w:multiLevelType w:val="hybridMultilevel"/>
    <w:tmpl w:val="3D626BD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5E773B9"/>
    <w:multiLevelType w:val="hybridMultilevel"/>
    <w:tmpl w:val="B2B2F42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796141"/>
    <w:multiLevelType w:val="hybridMultilevel"/>
    <w:tmpl w:val="84E25CE6"/>
    <w:lvl w:ilvl="0">
      <w:start w:val="1"/>
      <w:numFmt w:val="lowerLetter"/>
      <w:lvlText w:val="%1)"/>
      <w:lvlJc w:val="left"/>
      <w:pPr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24">
    <w:nsid w:val="553A478C"/>
    <w:multiLevelType w:val="hybridMultilevel"/>
    <w:tmpl w:val="1D3AC358"/>
    <w:lvl w:ilvl="0">
      <w:start w:val="1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5151E4"/>
    <w:multiLevelType w:val="hybridMultilevel"/>
    <w:tmpl w:val="2B303160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6">
    <w:nsid w:val="598F1C4D"/>
    <w:multiLevelType w:val="hybridMultilevel"/>
    <w:tmpl w:val="A70ADB26"/>
    <w:lvl w:ilvl="0">
      <w:start w:val="1"/>
      <w:numFmt w:val="decimal"/>
      <w:lvlText w:val="(%1)"/>
      <w:lvlJc w:val="left"/>
      <w:pPr>
        <w:ind w:left="3341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)"/>
      <w:lvlJc w:val="left"/>
      <w:pPr>
        <w:ind w:left="3712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443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515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87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659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731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803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8752" w:hanging="180"/>
      </w:pPr>
      <w:rPr>
        <w:rFonts w:cs="Times New Roman"/>
        <w:rtl w:val="0"/>
        <w:cs w:val="0"/>
      </w:rPr>
    </w:lvl>
  </w:abstractNum>
  <w:abstractNum w:abstractNumId="27">
    <w:nsid w:val="5B37083E"/>
    <w:multiLevelType w:val="hybridMultilevel"/>
    <w:tmpl w:val="D930C574"/>
    <w:lvl w:ilvl="0">
      <w:start w:val="1"/>
      <w:numFmt w:val="lowerLetter"/>
      <w:lvlText w:val="%1)"/>
      <w:lvlJc w:val="left"/>
      <w:pPr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28">
    <w:nsid w:val="615829D4"/>
    <w:multiLevelType w:val="hybridMultilevel"/>
    <w:tmpl w:val="CC6E38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65397B37"/>
    <w:multiLevelType w:val="hybridMultilevel"/>
    <w:tmpl w:val="1784A1F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6ABC6C26"/>
    <w:multiLevelType w:val="hybridMultilevel"/>
    <w:tmpl w:val="5F7A4256"/>
    <w:lvl w:ilvl="0">
      <w:start w:val="1"/>
      <w:numFmt w:val="decimal"/>
      <w:lvlText w:val="(%1)"/>
      <w:lvlJc w:val="left"/>
      <w:pPr>
        <w:ind w:left="1440" w:hanging="360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1">
    <w:nsid w:val="6BF03261"/>
    <w:multiLevelType w:val="hybridMultilevel"/>
    <w:tmpl w:val="69926042"/>
    <w:lvl w:ilvl="0">
      <w:start w:val="1"/>
      <w:numFmt w:val="decimal"/>
      <w:lvlText w:val="%1."/>
      <w:lvlJc w:val="left"/>
      <w:pPr>
        <w:ind w:left="720" w:hanging="360"/>
      </w:pPr>
      <w:rPr>
        <w:rFonts w:cs="Arial Narrow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6BF7228D"/>
    <w:multiLevelType w:val="hybridMultilevel"/>
    <w:tmpl w:val="5814510E"/>
    <w:lvl w:ilvl="0">
      <w:start w:val="1"/>
      <w:numFmt w:val="lowerLetter"/>
      <w:lvlText w:val="%1)"/>
      <w:lvlJc w:val="left"/>
      <w:pPr>
        <w:ind w:left="249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50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2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4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6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8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0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2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49" w:hanging="180"/>
      </w:pPr>
      <w:rPr>
        <w:rFonts w:cs="Times New Roman"/>
        <w:rtl w:val="0"/>
        <w:cs w:val="0"/>
      </w:rPr>
    </w:lvl>
  </w:abstractNum>
  <w:abstractNum w:abstractNumId="33">
    <w:nsid w:val="6C0F51FD"/>
    <w:multiLevelType w:val="hybridMultilevel"/>
    <w:tmpl w:val="2A1E2C02"/>
    <w:lvl w:ilvl="0">
      <w:start w:val="1"/>
      <w:numFmt w:val="decimal"/>
      <w:lvlText w:val="(%1)"/>
      <w:lvlJc w:val="left"/>
      <w:pPr>
        <w:ind w:left="177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34">
    <w:nsid w:val="6C5B33F0"/>
    <w:multiLevelType w:val="hybridMultilevel"/>
    <w:tmpl w:val="0E38ECB4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35">
    <w:nsid w:val="6CE0115A"/>
    <w:multiLevelType w:val="hybridMultilevel"/>
    <w:tmpl w:val="80D00934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36">
    <w:nsid w:val="6FC63DAD"/>
    <w:multiLevelType w:val="hybridMultilevel"/>
    <w:tmpl w:val="D5D6EEAE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37">
    <w:nsid w:val="72A90043"/>
    <w:multiLevelType w:val="hybridMultilevel"/>
    <w:tmpl w:val="85E2C9A0"/>
    <w:lvl w:ilvl="0">
      <w:start w:val="1"/>
      <w:numFmt w:val="decimal"/>
      <w:lvlText w:val="(%1)"/>
      <w:lvlJc w:val="left"/>
      <w:pPr>
        <w:ind w:left="1669" w:hanging="9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38">
    <w:nsid w:val="786B7565"/>
    <w:multiLevelType w:val="hybridMultilevel"/>
    <w:tmpl w:val="0896A654"/>
    <w:lvl w:ilvl="0">
      <w:start w:val="1"/>
      <w:numFmt w:val="decimal"/>
      <w:lvlText w:val="%1."/>
      <w:lvlJc w:val="left"/>
      <w:pPr>
        <w:ind w:left="1459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39">
    <w:nsid w:val="7B304005"/>
    <w:multiLevelType w:val="hybridMultilevel"/>
    <w:tmpl w:val="BBBA502A"/>
    <w:lvl w:ilvl="0">
      <w:start w:val="1"/>
      <w:numFmt w:val="decimal"/>
      <w:lvlText w:val="(%1)"/>
      <w:lvlJc w:val="left"/>
      <w:pPr>
        <w:ind w:left="765" w:hanging="4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>
    <w:nsid w:val="7D7B23B3"/>
    <w:multiLevelType w:val="hybridMultilevel"/>
    <w:tmpl w:val="7DBE4642"/>
    <w:lvl w:ilvl="0">
      <w:start w:val="1"/>
      <w:numFmt w:val="lowerLetter"/>
      <w:lvlText w:val="%1)"/>
      <w:lvlJc w:val="left"/>
      <w:pPr>
        <w:ind w:left="142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19"/>
  </w:num>
  <w:num w:numId="3">
    <w:abstractNumId w:val="36"/>
  </w:num>
  <w:num w:numId="4">
    <w:abstractNumId w:val="34"/>
  </w:num>
  <w:num w:numId="5">
    <w:abstractNumId w:val="12"/>
  </w:num>
  <w:num w:numId="6">
    <w:abstractNumId w:val="7"/>
  </w:num>
  <w:num w:numId="7">
    <w:abstractNumId w:val="37"/>
  </w:num>
  <w:num w:numId="8">
    <w:abstractNumId w:val="28"/>
  </w:num>
  <w:num w:numId="9">
    <w:abstractNumId w:val="0"/>
  </w:num>
  <w:num w:numId="10">
    <w:abstractNumId w:val="3"/>
  </w:num>
  <w:num w:numId="11">
    <w:abstractNumId w:val="29"/>
  </w:num>
  <w:num w:numId="12">
    <w:abstractNumId w:val="14"/>
  </w:num>
  <w:num w:numId="13">
    <w:abstractNumId w:val="15"/>
  </w:num>
  <w:num w:numId="14">
    <w:abstractNumId w:val="6"/>
  </w:num>
  <w:num w:numId="15">
    <w:abstractNumId w:val="9"/>
  </w:num>
  <w:num w:numId="16">
    <w:abstractNumId w:val="25"/>
  </w:num>
  <w:num w:numId="17">
    <w:abstractNumId w:val="18"/>
  </w:num>
  <w:num w:numId="18">
    <w:abstractNumId w:val="33"/>
  </w:num>
  <w:num w:numId="19">
    <w:abstractNumId w:val="11"/>
  </w:num>
  <w:num w:numId="20">
    <w:abstractNumId w:val="35"/>
  </w:num>
  <w:num w:numId="21">
    <w:abstractNumId w:val="26"/>
  </w:num>
  <w:num w:numId="22">
    <w:abstractNumId w:val="23"/>
  </w:num>
  <w:num w:numId="23">
    <w:abstractNumId w:val="27"/>
  </w:num>
  <w:num w:numId="24">
    <w:abstractNumId w:val="16"/>
  </w:num>
  <w:num w:numId="25">
    <w:abstractNumId w:val="39"/>
  </w:num>
  <w:num w:numId="26">
    <w:abstractNumId w:val="39"/>
  </w:num>
  <w:num w:numId="27">
    <w:abstractNumId w:val="10"/>
  </w:num>
  <w:num w:numId="28">
    <w:abstractNumId w:val="2"/>
  </w:num>
  <w:num w:numId="29">
    <w:abstractNumId w:val="30"/>
  </w:num>
  <w:num w:numId="30">
    <w:abstractNumId w:val="17"/>
  </w:num>
  <w:num w:numId="31">
    <w:abstractNumId w:val="1"/>
  </w:num>
  <w:num w:numId="32">
    <w:abstractNumId w:val="38"/>
  </w:num>
  <w:num w:numId="33">
    <w:abstractNumId w:val="20"/>
  </w:num>
  <w:num w:numId="34">
    <w:abstractNumId w:val="40"/>
  </w:num>
  <w:num w:numId="35">
    <w:abstractNumId w:val="32"/>
  </w:num>
  <w:num w:numId="36">
    <w:abstractNumId w:val="22"/>
  </w:num>
  <w:num w:numId="37">
    <w:abstractNumId w:val="13"/>
  </w:num>
  <w:num w:numId="38">
    <w:abstractNumId w:val="21"/>
  </w:num>
  <w:num w:numId="39">
    <w:abstractNumId w:val="8"/>
  </w:num>
  <w:num w:numId="40">
    <w:abstractNumId w:val="31"/>
  </w:num>
  <w:num w:numId="41">
    <w:abstractNumId w:val="5"/>
  </w:num>
  <w:num w:numId="4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A1674"/>
    <w:rsid w:val="00000B78"/>
    <w:rsid w:val="00002183"/>
    <w:rsid w:val="00002D7A"/>
    <w:rsid w:val="0000590C"/>
    <w:rsid w:val="000118D3"/>
    <w:rsid w:val="000143ED"/>
    <w:rsid w:val="0001685A"/>
    <w:rsid w:val="000176AD"/>
    <w:rsid w:val="00020276"/>
    <w:rsid w:val="00033700"/>
    <w:rsid w:val="00034A2D"/>
    <w:rsid w:val="0003517D"/>
    <w:rsid w:val="0003629B"/>
    <w:rsid w:val="00042E28"/>
    <w:rsid w:val="00045DD1"/>
    <w:rsid w:val="000470B0"/>
    <w:rsid w:val="00047A5D"/>
    <w:rsid w:val="000513CE"/>
    <w:rsid w:val="000533C6"/>
    <w:rsid w:val="00064CEC"/>
    <w:rsid w:val="00065260"/>
    <w:rsid w:val="000727C1"/>
    <w:rsid w:val="000736B0"/>
    <w:rsid w:val="0007453A"/>
    <w:rsid w:val="00077A13"/>
    <w:rsid w:val="00081467"/>
    <w:rsid w:val="00084E77"/>
    <w:rsid w:val="00090699"/>
    <w:rsid w:val="000912A2"/>
    <w:rsid w:val="000920DE"/>
    <w:rsid w:val="00092580"/>
    <w:rsid w:val="00094763"/>
    <w:rsid w:val="0009637E"/>
    <w:rsid w:val="000B08F8"/>
    <w:rsid w:val="000B449F"/>
    <w:rsid w:val="000B5A2A"/>
    <w:rsid w:val="000C487F"/>
    <w:rsid w:val="000C5726"/>
    <w:rsid w:val="000C6776"/>
    <w:rsid w:val="000D1A28"/>
    <w:rsid w:val="000D4659"/>
    <w:rsid w:val="000D7BE9"/>
    <w:rsid w:val="000E2C0B"/>
    <w:rsid w:val="000E5637"/>
    <w:rsid w:val="000F1653"/>
    <w:rsid w:val="0010182D"/>
    <w:rsid w:val="001073E8"/>
    <w:rsid w:val="0011673F"/>
    <w:rsid w:val="00122B40"/>
    <w:rsid w:val="00125C3A"/>
    <w:rsid w:val="00125CEF"/>
    <w:rsid w:val="00130B4D"/>
    <w:rsid w:val="00141461"/>
    <w:rsid w:val="00145B2E"/>
    <w:rsid w:val="0015268C"/>
    <w:rsid w:val="00152F34"/>
    <w:rsid w:val="00155C36"/>
    <w:rsid w:val="001618D4"/>
    <w:rsid w:val="0016367D"/>
    <w:rsid w:val="00164E02"/>
    <w:rsid w:val="00167B6E"/>
    <w:rsid w:val="00170733"/>
    <w:rsid w:val="00170CCD"/>
    <w:rsid w:val="00171FE8"/>
    <w:rsid w:val="00172934"/>
    <w:rsid w:val="001746CC"/>
    <w:rsid w:val="00180CDE"/>
    <w:rsid w:val="00186C6D"/>
    <w:rsid w:val="001908F6"/>
    <w:rsid w:val="00193CBC"/>
    <w:rsid w:val="001A5F00"/>
    <w:rsid w:val="001A6068"/>
    <w:rsid w:val="001B106F"/>
    <w:rsid w:val="001B5EC6"/>
    <w:rsid w:val="001C1788"/>
    <w:rsid w:val="001C26BB"/>
    <w:rsid w:val="001C576C"/>
    <w:rsid w:val="001C6CBC"/>
    <w:rsid w:val="001D4967"/>
    <w:rsid w:val="001D600D"/>
    <w:rsid w:val="001D6BF1"/>
    <w:rsid w:val="001D77E9"/>
    <w:rsid w:val="001E12E2"/>
    <w:rsid w:val="001E142C"/>
    <w:rsid w:val="001E37CE"/>
    <w:rsid w:val="001E4D3F"/>
    <w:rsid w:val="001E64A7"/>
    <w:rsid w:val="001F2EFF"/>
    <w:rsid w:val="001F3A9D"/>
    <w:rsid w:val="001F59C7"/>
    <w:rsid w:val="001F7641"/>
    <w:rsid w:val="00200255"/>
    <w:rsid w:val="002053A3"/>
    <w:rsid w:val="00207FCD"/>
    <w:rsid w:val="0021088F"/>
    <w:rsid w:val="00210891"/>
    <w:rsid w:val="00216F7E"/>
    <w:rsid w:val="00221575"/>
    <w:rsid w:val="002234B9"/>
    <w:rsid w:val="00225FB0"/>
    <w:rsid w:val="00226FF9"/>
    <w:rsid w:val="00231D7B"/>
    <w:rsid w:val="00232D09"/>
    <w:rsid w:val="00237394"/>
    <w:rsid w:val="00240AAA"/>
    <w:rsid w:val="00243E27"/>
    <w:rsid w:val="00245B29"/>
    <w:rsid w:val="00246C68"/>
    <w:rsid w:val="00247B96"/>
    <w:rsid w:val="00251C09"/>
    <w:rsid w:val="00251D80"/>
    <w:rsid w:val="00261128"/>
    <w:rsid w:val="00261209"/>
    <w:rsid w:val="0026175D"/>
    <w:rsid w:val="00265F6B"/>
    <w:rsid w:val="002754F5"/>
    <w:rsid w:val="00281C90"/>
    <w:rsid w:val="00282BC6"/>
    <w:rsid w:val="00285DFA"/>
    <w:rsid w:val="00293799"/>
    <w:rsid w:val="002938D3"/>
    <w:rsid w:val="00295C43"/>
    <w:rsid w:val="00296C37"/>
    <w:rsid w:val="002A1A64"/>
    <w:rsid w:val="002A3B13"/>
    <w:rsid w:val="002A3DF6"/>
    <w:rsid w:val="002B0BE9"/>
    <w:rsid w:val="002B187F"/>
    <w:rsid w:val="002B5689"/>
    <w:rsid w:val="002D1525"/>
    <w:rsid w:val="002D27F3"/>
    <w:rsid w:val="002D3814"/>
    <w:rsid w:val="002D6FEB"/>
    <w:rsid w:val="002D725F"/>
    <w:rsid w:val="002E3773"/>
    <w:rsid w:val="002E379E"/>
    <w:rsid w:val="002E4642"/>
    <w:rsid w:val="002F75D9"/>
    <w:rsid w:val="003065B8"/>
    <w:rsid w:val="003137CC"/>
    <w:rsid w:val="003149CE"/>
    <w:rsid w:val="00317FA8"/>
    <w:rsid w:val="00322E2A"/>
    <w:rsid w:val="0032319B"/>
    <w:rsid w:val="003327C7"/>
    <w:rsid w:val="0033517E"/>
    <w:rsid w:val="00352185"/>
    <w:rsid w:val="00352B94"/>
    <w:rsid w:val="00360AFE"/>
    <w:rsid w:val="00363612"/>
    <w:rsid w:val="003637F7"/>
    <w:rsid w:val="0036595F"/>
    <w:rsid w:val="00366103"/>
    <w:rsid w:val="00366BB3"/>
    <w:rsid w:val="003678C1"/>
    <w:rsid w:val="003728AA"/>
    <w:rsid w:val="00381311"/>
    <w:rsid w:val="00381942"/>
    <w:rsid w:val="003834AB"/>
    <w:rsid w:val="00383D6D"/>
    <w:rsid w:val="00386D46"/>
    <w:rsid w:val="00390473"/>
    <w:rsid w:val="00391502"/>
    <w:rsid w:val="00393D21"/>
    <w:rsid w:val="00395FB6"/>
    <w:rsid w:val="00396DB3"/>
    <w:rsid w:val="00397957"/>
    <w:rsid w:val="003A024D"/>
    <w:rsid w:val="003A216B"/>
    <w:rsid w:val="003A4FDF"/>
    <w:rsid w:val="003B52E6"/>
    <w:rsid w:val="003C0E35"/>
    <w:rsid w:val="003C1113"/>
    <w:rsid w:val="003D15F5"/>
    <w:rsid w:val="003D2156"/>
    <w:rsid w:val="003D3390"/>
    <w:rsid w:val="003D466B"/>
    <w:rsid w:val="003E1429"/>
    <w:rsid w:val="003E42C1"/>
    <w:rsid w:val="003E5170"/>
    <w:rsid w:val="003E66E3"/>
    <w:rsid w:val="003E6842"/>
    <w:rsid w:val="003E7389"/>
    <w:rsid w:val="003E7F71"/>
    <w:rsid w:val="003F1EB4"/>
    <w:rsid w:val="003F63DB"/>
    <w:rsid w:val="003F6D1D"/>
    <w:rsid w:val="0040211C"/>
    <w:rsid w:val="00404367"/>
    <w:rsid w:val="00405020"/>
    <w:rsid w:val="0040509E"/>
    <w:rsid w:val="00405AB0"/>
    <w:rsid w:val="00405D80"/>
    <w:rsid w:val="00406385"/>
    <w:rsid w:val="00410A73"/>
    <w:rsid w:val="00414862"/>
    <w:rsid w:val="00432CEA"/>
    <w:rsid w:val="00434937"/>
    <w:rsid w:val="00434A63"/>
    <w:rsid w:val="004355F6"/>
    <w:rsid w:val="00437A40"/>
    <w:rsid w:val="00440407"/>
    <w:rsid w:val="00441A2C"/>
    <w:rsid w:val="0045026F"/>
    <w:rsid w:val="0045639B"/>
    <w:rsid w:val="00460B00"/>
    <w:rsid w:val="00460CFD"/>
    <w:rsid w:val="00460DC8"/>
    <w:rsid w:val="00463E88"/>
    <w:rsid w:val="00466476"/>
    <w:rsid w:val="004712C6"/>
    <w:rsid w:val="00476845"/>
    <w:rsid w:val="00481A53"/>
    <w:rsid w:val="00483255"/>
    <w:rsid w:val="00486859"/>
    <w:rsid w:val="00490E64"/>
    <w:rsid w:val="00492653"/>
    <w:rsid w:val="00492B61"/>
    <w:rsid w:val="004A54EA"/>
    <w:rsid w:val="004A55B1"/>
    <w:rsid w:val="004A562C"/>
    <w:rsid w:val="004A5B27"/>
    <w:rsid w:val="004B10A6"/>
    <w:rsid w:val="004B214A"/>
    <w:rsid w:val="004B3759"/>
    <w:rsid w:val="004B3C75"/>
    <w:rsid w:val="004B5AFB"/>
    <w:rsid w:val="004B5B26"/>
    <w:rsid w:val="004C385C"/>
    <w:rsid w:val="004C3E3A"/>
    <w:rsid w:val="004C4588"/>
    <w:rsid w:val="004C5930"/>
    <w:rsid w:val="004D1932"/>
    <w:rsid w:val="004D49C4"/>
    <w:rsid w:val="004D5138"/>
    <w:rsid w:val="004E113D"/>
    <w:rsid w:val="004E2B61"/>
    <w:rsid w:val="004E2D83"/>
    <w:rsid w:val="004E431A"/>
    <w:rsid w:val="004E6DA6"/>
    <w:rsid w:val="004F14C9"/>
    <w:rsid w:val="004F4157"/>
    <w:rsid w:val="0050074C"/>
    <w:rsid w:val="005123DA"/>
    <w:rsid w:val="00513C30"/>
    <w:rsid w:val="005153F4"/>
    <w:rsid w:val="0052450A"/>
    <w:rsid w:val="00524976"/>
    <w:rsid w:val="005265E0"/>
    <w:rsid w:val="00530CB0"/>
    <w:rsid w:val="00530ED9"/>
    <w:rsid w:val="0053106D"/>
    <w:rsid w:val="00534E47"/>
    <w:rsid w:val="005376D1"/>
    <w:rsid w:val="00540039"/>
    <w:rsid w:val="00547A13"/>
    <w:rsid w:val="0055235E"/>
    <w:rsid w:val="005526E9"/>
    <w:rsid w:val="0055310E"/>
    <w:rsid w:val="00554D75"/>
    <w:rsid w:val="00556DEF"/>
    <w:rsid w:val="005608DB"/>
    <w:rsid w:val="005679D7"/>
    <w:rsid w:val="00575707"/>
    <w:rsid w:val="00577FD7"/>
    <w:rsid w:val="00580965"/>
    <w:rsid w:val="0058180F"/>
    <w:rsid w:val="00584FDA"/>
    <w:rsid w:val="00586036"/>
    <w:rsid w:val="00587ABA"/>
    <w:rsid w:val="00587AD0"/>
    <w:rsid w:val="005900EC"/>
    <w:rsid w:val="00590F7C"/>
    <w:rsid w:val="00592CB5"/>
    <w:rsid w:val="005970D1"/>
    <w:rsid w:val="005A0E9F"/>
    <w:rsid w:val="005A1674"/>
    <w:rsid w:val="005B1843"/>
    <w:rsid w:val="005B28BC"/>
    <w:rsid w:val="005B4F6D"/>
    <w:rsid w:val="005B5891"/>
    <w:rsid w:val="005C0936"/>
    <w:rsid w:val="005C75C4"/>
    <w:rsid w:val="005D21F8"/>
    <w:rsid w:val="005D399C"/>
    <w:rsid w:val="005D4B75"/>
    <w:rsid w:val="005E0674"/>
    <w:rsid w:val="005E77CF"/>
    <w:rsid w:val="00601249"/>
    <w:rsid w:val="006109E2"/>
    <w:rsid w:val="00614276"/>
    <w:rsid w:val="00616016"/>
    <w:rsid w:val="00616049"/>
    <w:rsid w:val="00616F00"/>
    <w:rsid w:val="006250B2"/>
    <w:rsid w:val="006268F9"/>
    <w:rsid w:val="0063060E"/>
    <w:rsid w:val="00636633"/>
    <w:rsid w:val="00640246"/>
    <w:rsid w:val="00641EB1"/>
    <w:rsid w:val="00645F32"/>
    <w:rsid w:val="00651B39"/>
    <w:rsid w:val="00664C61"/>
    <w:rsid w:val="0067026F"/>
    <w:rsid w:val="00675E46"/>
    <w:rsid w:val="006763E8"/>
    <w:rsid w:val="00677879"/>
    <w:rsid w:val="00680372"/>
    <w:rsid w:val="00684640"/>
    <w:rsid w:val="00687CE6"/>
    <w:rsid w:val="00694F2B"/>
    <w:rsid w:val="006951C5"/>
    <w:rsid w:val="006A04F6"/>
    <w:rsid w:val="006A0AAC"/>
    <w:rsid w:val="006A7F06"/>
    <w:rsid w:val="006B0DD6"/>
    <w:rsid w:val="006B41EA"/>
    <w:rsid w:val="006C2C5C"/>
    <w:rsid w:val="006C31FF"/>
    <w:rsid w:val="006C69D9"/>
    <w:rsid w:val="006D0697"/>
    <w:rsid w:val="006D1655"/>
    <w:rsid w:val="006D3B5D"/>
    <w:rsid w:val="006D6339"/>
    <w:rsid w:val="006D6DFF"/>
    <w:rsid w:val="006D7558"/>
    <w:rsid w:val="006E1940"/>
    <w:rsid w:val="006E2875"/>
    <w:rsid w:val="006E35D8"/>
    <w:rsid w:val="006F2C3C"/>
    <w:rsid w:val="00701D85"/>
    <w:rsid w:val="007039A6"/>
    <w:rsid w:val="00703A64"/>
    <w:rsid w:val="007075D9"/>
    <w:rsid w:val="00707BF3"/>
    <w:rsid w:val="007126D0"/>
    <w:rsid w:val="00714550"/>
    <w:rsid w:val="00714CF9"/>
    <w:rsid w:val="00715602"/>
    <w:rsid w:val="00716374"/>
    <w:rsid w:val="00716C30"/>
    <w:rsid w:val="00717554"/>
    <w:rsid w:val="007212E5"/>
    <w:rsid w:val="007228E5"/>
    <w:rsid w:val="00723D64"/>
    <w:rsid w:val="00725810"/>
    <w:rsid w:val="00726B7A"/>
    <w:rsid w:val="00732100"/>
    <w:rsid w:val="00737283"/>
    <w:rsid w:val="00740ED9"/>
    <w:rsid w:val="0074190A"/>
    <w:rsid w:val="00742AB5"/>
    <w:rsid w:val="00742CEF"/>
    <w:rsid w:val="0074393F"/>
    <w:rsid w:val="00743C92"/>
    <w:rsid w:val="00747E19"/>
    <w:rsid w:val="00747E43"/>
    <w:rsid w:val="0075255E"/>
    <w:rsid w:val="007619FF"/>
    <w:rsid w:val="00762766"/>
    <w:rsid w:val="00762A59"/>
    <w:rsid w:val="00762BA7"/>
    <w:rsid w:val="007732C6"/>
    <w:rsid w:val="0078018D"/>
    <w:rsid w:val="0078393E"/>
    <w:rsid w:val="007847C0"/>
    <w:rsid w:val="00790895"/>
    <w:rsid w:val="0079650C"/>
    <w:rsid w:val="007A236B"/>
    <w:rsid w:val="007A78A1"/>
    <w:rsid w:val="007B04C7"/>
    <w:rsid w:val="007B3ED2"/>
    <w:rsid w:val="007B635B"/>
    <w:rsid w:val="007B73BA"/>
    <w:rsid w:val="007C072B"/>
    <w:rsid w:val="007C7806"/>
    <w:rsid w:val="007D0214"/>
    <w:rsid w:val="007D4FE6"/>
    <w:rsid w:val="007D57F1"/>
    <w:rsid w:val="007E04FE"/>
    <w:rsid w:val="007E467F"/>
    <w:rsid w:val="007F0B86"/>
    <w:rsid w:val="007F27E3"/>
    <w:rsid w:val="007F51BD"/>
    <w:rsid w:val="007F5844"/>
    <w:rsid w:val="0080423A"/>
    <w:rsid w:val="008074D3"/>
    <w:rsid w:val="008106A9"/>
    <w:rsid w:val="00812608"/>
    <w:rsid w:val="00813D28"/>
    <w:rsid w:val="00816688"/>
    <w:rsid w:val="0082116E"/>
    <w:rsid w:val="0082598B"/>
    <w:rsid w:val="00825ADB"/>
    <w:rsid w:val="00825E56"/>
    <w:rsid w:val="00830BAC"/>
    <w:rsid w:val="00830F01"/>
    <w:rsid w:val="00840469"/>
    <w:rsid w:val="008410EC"/>
    <w:rsid w:val="0084182F"/>
    <w:rsid w:val="00843725"/>
    <w:rsid w:val="00844544"/>
    <w:rsid w:val="00847ADB"/>
    <w:rsid w:val="008539D9"/>
    <w:rsid w:val="008542FF"/>
    <w:rsid w:val="008564F3"/>
    <w:rsid w:val="008566B7"/>
    <w:rsid w:val="00856BB2"/>
    <w:rsid w:val="00857B12"/>
    <w:rsid w:val="008602EB"/>
    <w:rsid w:val="0086377D"/>
    <w:rsid w:val="00864314"/>
    <w:rsid w:val="00873414"/>
    <w:rsid w:val="00877D71"/>
    <w:rsid w:val="008816BC"/>
    <w:rsid w:val="00883696"/>
    <w:rsid w:val="00883CC4"/>
    <w:rsid w:val="0088468D"/>
    <w:rsid w:val="0089279A"/>
    <w:rsid w:val="0089416C"/>
    <w:rsid w:val="0089498A"/>
    <w:rsid w:val="008952CD"/>
    <w:rsid w:val="00895F52"/>
    <w:rsid w:val="00897D77"/>
    <w:rsid w:val="008A3223"/>
    <w:rsid w:val="008A3298"/>
    <w:rsid w:val="008B312F"/>
    <w:rsid w:val="008C276D"/>
    <w:rsid w:val="008C4625"/>
    <w:rsid w:val="008C671E"/>
    <w:rsid w:val="008D0927"/>
    <w:rsid w:val="008D3EC0"/>
    <w:rsid w:val="008D4EC7"/>
    <w:rsid w:val="008D665D"/>
    <w:rsid w:val="008D72CA"/>
    <w:rsid w:val="008F5B0F"/>
    <w:rsid w:val="008F609F"/>
    <w:rsid w:val="00905814"/>
    <w:rsid w:val="00911332"/>
    <w:rsid w:val="00911606"/>
    <w:rsid w:val="00911FD7"/>
    <w:rsid w:val="00916BB8"/>
    <w:rsid w:val="0092123F"/>
    <w:rsid w:val="00922D78"/>
    <w:rsid w:val="009255E2"/>
    <w:rsid w:val="009350C0"/>
    <w:rsid w:val="009401A8"/>
    <w:rsid w:val="00942D4E"/>
    <w:rsid w:val="009467B6"/>
    <w:rsid w:val="00947ABB"/>
    <w:rsid w:val="009512F1"/>
    <w:rsid w:val="00953644"/>
    <w:rsid w:val="00957185"/>
    <w:rsid w:val="00957756"/>
    <w:rsid w:val="00962AF8"/>
    <w:rsid w:val="0096372D"/>
    <w:rsid w:val="00964BA0"/>
    <w:rsid w:val="00964ECF"/>
    <w:rsid w:val="00967875"/>
    <w:rsid w:val="009679CE"/>
    <w:rsid w:val="00972667"/>
    <w:rsid w:val="00974A77"/>
    <w:rsid w:val="0098384F"/>
    <w:rsid w:val="00984BE4"/>
    <w:rsid w:val="00990877"/>
    <w:rsid w:val="00991CA7"/>
    <w:rsid w:val="00992309"/>
    <w:rsid w:val="009A0B96"/>
    <w:rsid w:val="009A2F6B"/>
    <w:rsid w:val="009A4D77"/>
    <w:rsid w:val="009A72CC"/>
    <w:rsid w:val="009B10C3"/>
    <w:rsid w:val="009B228C"/>
    <w:rsid w:val="009B31EF"/>
    <w:rsid w:val="009B3FDF"/>
    <w:rsid w:val="009B4BCF"/>
    <w:rsid w:val="009B66F6"/>
    <w:rsid w:val="009D762B"/>
    <w:rsid w:val="009D7FA0"/>
    <w:rsid w:val="009E0303"/>
    <w:rsid w:val="009E08C1"/>
    <w:rsid w:val="009E1B01"/>
    <w:rsid w:val="009E307F"/>
    <w:rsid w:val="009F62FB"/>
    <w:rsid w:val="009F6FB0"/>
    <w:rsid w:val="009F7B57"/>
    <w:rsid w:val="00A01152"/>
    <w:rsid w:val="00A01C2E"/>
    <w:rsid w:val="00A02676"/>
    <w:rsid w:val="00A03325"/>
    <w:rsid w:val="00A109A0"/>
    <w:rsid w:val="00A10A08"/>
    <w:rsid w:val="00A20449"/>
    <w:rsid w:val="00A218D7"/>
    <w:rsid w:val="00A2220B"/>
    <w:rsid w:val="00A266F4"/>
    <w:rsid w:val="00A36F68"/>
    <w:rsid w:val="00A41E67"/>
    <w:rsid w:val="00A42FB1"/>
    <w:rsid w:val="00A44DEF"/>
    <w:rsid w:val="00A46CDA"/>
    <w:rsid w:val="00A470DA"/>
    <w:rsid w:val="00A47C26"/>
    <w:rsid w:val="00A51656"/>
    <w:rsid w:val="00A549F8"/>
    <w:rsid w:val="00A6050E"/>
    <w:rsid w:val="00A651CE"/>
    <w:rsid w:val="00A707E4"/>
    <w:rsid w:val="00A77416"/>
    <w:rsid w:val="00A77C5C"/>
    <w:rsid w:val="00A80F48"/>
    <w:rsid w:val="00A81540"/>
    <w:rsid w:val="00A8188C"/>
    <w:rsid w:val="00A9041E"/>
    <w:rsid w:val="00A960D0"/>
    <w:rsid w:val="00AA3074"/>
    <w:rsid w:val="00AA4E94"/>
    <w:rsid w:val="00AA6D32"/>
    <w:rsid w:val="00AB506A"/>
    <w:rsid w:val="00AB50C8"/>
    <w:rsid w:val="00AB5178"/>
    <w:rsid w:val="00AB5677"/>
    <w:rsid w:val="00AB6614"/>
    <w:rsid w:val="00AC1D9B"/>
    <w:rsid w:val="00AC2751"/>
    <w:rsid w:val="00AC4386"/>
    <w:rsid w:val="00AD13CF"/>
    <w:rsid w:val="00AD7F6A"/>
    <w:rsid w:val="00AE2949"/>
    <w:rsid w:val="00AE3D4D"/>
    <w:rsid w:val="00AE474A"/>
    <w:rsid w:val="00AE6AEA"/>
    <w:rsid w:val="00AF591F"/>
    <w:rsid w:val="00AF631C"/>
    <w:rsid w:val="00B02860"/>
    <w:rsid w:val="00B03F1A"/>
    <w:rsid w:val="00B0566B"/>
    <w:rsid w:val="00B10993"/>
    <w:rsid w:val="00B11FFF"/>
    <w:rsid w:val="00B12FCD"/>
    <w:rsid w:val="00B14751"/>
    <w:rsid w:val="00B21501"/>
    <w:rsid w:val="00B24DD2"/>
    <w:rsid w:val="00B27554"/>
    <w:rsid w:val="00B3056C"/>
    <w:rsid w:val="00B35AB5"/>
    <w:rsid w:val="00B37175"/>
    <w:rsid w:val="00B37D9C"/>
    <w:rsid w:val="00B418E2"/>
    <w:rsid w:val="00B41E1D"/>
    <w:rsid w:val="00B41E51"/>
    <w:rsid w:val="00B42DE5"/>
    <w:rsid w:val="00B43395"/>
    <w:rsid w:val="00B44C12"/>
    <w:rsid w:val="00B50C17"/>
    <w:rsid w:val="00B52F95"/>
    <w:rsid w:val="00B53B61"/>
    <w:rsid w:val="00B54FFE"/>
    <w:rsid w:val="00B561A0"/>
    <w:rsid w:val="00B56843"/>
    <w:rsid w:val="00B56CF9"/>
    <w:rsid w:val="00B60D4F"/>
    <w:rsid w:val="00B60F20"/>
    <w:rsid w:val="00B63A9D"/>
    <w:rsid w:val="00B67C82"/>
    <w:rsid w:val="00B70059"/>
    <w:rsid w:val="00B714C5"/>
    <w:rsid w:val="00B7398F"/>
    <w:rsid w:val="00B75858"/>
    <w:rsid w:val="00B936E7"/>
    <w:rsid w:val="00B955E1"/>
    <w:rsid w:val="00B95CA2"/>
    <w:rsid w:val="00BA0C9F"/>
    <w:rsid w:val="00BA1B16"/>
    <w:rsid w:val="00BA2F10"/>
    <w:rsid w:val="00BA4668"/>
    <w:rsid w:val="00BA4DB1"/>
    <w:rsid w:val="00BA62A7"/>
    <w:rsid w:val="00BB6C5F"/>
    <w:rsid w:val="00BB7B09"/>
    <w:rsid w:val="00BC011A"/>
    <w:rsid w:val="00BC04CF"/>
    <w:rsid w:val="00BC6128"/>
    <w:rsid w:val="00BC65A6"/>
    <w:rsid w:val="00BD0AC8"/>
    <w:rsid w:val="00BD0FC6"/>
    <w:rsid w:val="00BD1D25"/>
    <w:rsid w:val="00BD52A1"/>
    <w:rsid w:val="00BE77DB"/>
    <w:rsid w:val="00BF094C"/>
    <w:rsid w:val="00C00A9C"/>
    <w:rsid w:val="00C00B79"/>
    <w:rsid w:val="00C029F9"/>
    <w:rsid w:val="00C0710C"/>
    <w:rsid w:val="00C12BAC"/>
    <w:rsid w:val="00C13310"/>
    <w:rsid w:val="00C170DC"/>
    <w:rsid w:val="00C225F9"/>
    <w:rsid w:val="00C32291"/>
    <w:rsid w:val="00C325DC"/>
    <w:rsid w:val="00C35497"/>
    <w:rsid w:val="00C437E2"/>
    <w:rsid w:val="00C441B8"/>
    <w:rsid w:val="00C46451"/>
    <w:rsid w:val="00C50E44"/>
    <w:rsid w:val="00C518C3"/>
    <w:rsid w:val="00C518D4"/>
    <w:rsid w:val="00C573F4"/>
    <w:rsid w:val="00C6207C"/>
    <w:rsid w:val="00C62E62"/>
    <w:rsid w:val="00C63986"/>
    <w:rsid w:val="00C6532C"/>
    <w:rsid w:val="00C7252F"/>
    <w:rsid w:val="00C7429C"/>
    <w:rsid w:val="00C8445B"/>
    <w:rsid w:val="00C9144A"/>
    <w:rsid w:val="00C92224"/>
    <w:rsid w:val="00CA160F"/>
    <w:rsid w:val="00CA2E09"/>
    <w:rsid w:val="00CA4EB2"/>
    <w:rsid w:val="00CA55A1"/>
    <w:rsid w:val="00CA639B"/>
    <w:rsid w:val="00CA672F"/>
    <w:rsid w:val="00CB285E"/>
    <w:rsid w:val="00CC1442"/>
    <w:rsid w:val="00CC6364"/>
    <w:rsid w:val="00CD20D2"/>
    <w:rsid w:val="00CD6D37"/>
    <w:rsid w:val="00CE0FF2"/>
    <w:rsid w:val="00CE11C1"/>
    <w:rsid w:val="00CE1640"/>
    <w:rsid w:val="00CF22F5"/>
    <w:rsid w:val="00CF2F9E"/>
    <w:rsid w:val="00CF31FD"/>
    <w:rsid w:val="00CF3981"/>
    <w:rsid w:val="00CF64E8"/>
    <w:rsid w:val="00D00088"/>
    <w:rsid w:val="00D12B92"/>
    <w:rsid w:val="00D205B8"/>
    <w:rsid w:val="00D26C9E"/>
    <w:rsid w:val="00D30A9F"/>
    <w:rsid w:val="00D33DAF"/>
    <w:rsid w:val="00D4123A"/>
    <w:rsid w:val="00D43869"/>
    <w:rsid w:val="00D47C77"/>
    <w:rsid w:val="00D608D4"/>
    <w:rsid w:val="00D6250C"/>
    <w:rsid w:val="00D62F2B"/>
    <w:rsid w:val="00D6368C"/>
    <w:rsid w:val="00D65E18"/>
    <w:rsid w:val="00D765FB"/>
    <w:rsid w:val="00D855D2"/>
    <w:rsid w:val="00D85842"/>
    <w:rsid w:val="00D925C4"/>
    <w:rsid w:val="00D928D4"/>
    <w:rsid w:val="00DA1096"/>
    <w:rsid w:val="00DA1222"/>
    <w:rsid w:val="00DA7817"/>
    <w:rsid w:val="00DA7BC0"/>
    <w:rsid w:val="00DB579F"/>
    <w:rsid w:val="00DB5B5E"/>
    <w:rsid w:val="00DB7CBD"/>
    <w:rsid w:val="00DC3578"/>
    <w:rsid w:val="00DC3DEA"/>
    <w:rsid w:val="00DD060C"/>
    <w:rsid w:val="00DD2C6F"/>
    <w:rsid w:val="00DE17D1"/>
    <w:rsid w:val="00DE7E99"/>
    <w:rsid w:val="00DF70E6"/>
    <w:rsid w:val="00DF7C56"/>
    <w:rsid w:val="00E01F4F"/>
    <w:rsid w:val="00E07A41"/>
    <w:rsid w:val="00E11C54"/>
    <w:rsid w:val="00E153C8"/>
    <w:rsid w:val="00E255C4"/>
    <w:rsid w:val="00E27215"/>
    <w:rsid w:val="00E27938"/>
    <w:rsid w:val="00E30668"/>
    <w:rsid w:val="00E32A5A"/>
    <w:rsid w:val="00E3725F"/>
    <w:rsid w:val="00E46E74"/>
    <w:rsid w:val="00E533D5"/>
    <w:rsid w:val="00E61B0A"/>
    <w:rsid w:val="00E632C4"/>
    <w:rsid w:val="00E719F3"/>
    <w:rsid w:val="00E72277"/>
    <w:rsid w:val="00E726F5"/>
    <w:rsid w:val="00E73542"/>
    <w:rsid w:val="00E75137"/>
    <w:rsid w:val="00E75A75"/>
    <w:rsid w:val="00E8093A"/>
    <w:rsid w:val="00E81A09"/>
    <w:rsid w:val="00E84F7C"/>
    <w:rsid w:val="00E86358"/>
    <w:rsid w:val="00E92E2E"/>
    <w:rsid w:val="00E940EE"/>
    <w:rsid w:val="00E94BBA"/>
    <w:rsid w:val="00E95C8D"/>
    <w:rsid w:val="00EA1CA4"/>
    <w:rsid w:val="00EA527C"/>
    <w:rsid w:val="00EB06BD"/>
    <w:rsid w:val="00EB1C94"/>
    <w:rsid w:val="00EB4613"/>
    <w:rsid w:val="00EC04AD"/>
    <w:rsid w:val="00EC0908"/>
    <w:rsid w:val="00EC1415"/>
    <w:rsid w:val="00EE3806"/>
    <w:rsid w:val="00EE46EF"/>
    <w:rsid w:val="00EF17B5"/>
    <w:rsid w:val="00EF25A5"/>
    <w:rsid w:val="00EF3A99"/>
    <w:rsid w:val="00EF51AB"/>
    <w:rsid w:val="00EF6A85"/>
    <w:rsid w:val="00F05873"/>
    <w:rsid w:val="00F066D9"/>
    <w:rsid w:val="00F12037"/>
    <w:rsid w:val="00F150AF"/>
    <w:rsid w:val="00F17A5E"/>
    <w:rsid w:val="00F2368C"/>
    <w:rsid w:val="00F27BCF"/>
    <w:rsid w:val="00F3048C"/>
    <w:rsid w:val="00F31A20"/>
    <w:rsid w:val="00F33396"/>
    <w:rsid w:val="00F33646"/>
    <w:rsid w:val="00F36ED1"/>
    <w:rsid w:val="00F46515"/>
    <w:rsid w:val="00F518F1"/>
    <w:rsid w:val="00F52897"/>
    <w:rsid w:val="00F542DB"/>
    <w:rsid w:val="00F55597"/>
    <w:rsid w:val="00F56281"/>
    <w:rsid w:val="00F56BB4"/>
    <w:rsid w:val="00F56BFC"/>
    <w:rsid w:val="00F57C4E"/>
    <w:rsid w:val="00F61006"/>
    <w:rsid w:val="00F63AC3"/>
    <w:rsid w:val="00F6450B"/>
    <w:rsid w:val="00F67F30"/>
    <w:rsid w:val="00F71EB8"/>
    <w:rsid w:val="00F7480F"/>
    <w:rsid w:val="00F765A3"/>
    <w:rsid w:val="00F77C29"/>
    <w:rsid w:val="00F80A64"/>
    <w:rsid w:val="00F82E9E"/>
    <w:rsid w:val="00F836F3"/>
    <w:rsid w:val="00F87980"/>
    <w:rsid w:val="00F87FD3"/>
    <w:rsid w:val="00F90542"/>
    <w:rsid w:val="00F914B6"/>
    <w:rsid w:val="00FA0A39"/>
    <w:rsid w:val="00FA20DD"/>
    <w:rsid w:val="00FA3263"/>
    <w:rsid w:val="00FA5071"/>
    <w:rsid w:val="00FA5073"/>
    <w:rsid w:val="00FA78C7"/>
    <w:rsid w:val="00FB0B3D"/>
    <w:rsid w:val="00FB3DF9"/>
    <w:rsid w:val="00FC3577"/>
    <w:rsid w:val="00FC5778"/>
    <w:rsid w:val="00FC6378"/>
    <w:rsid w:val="00FD5860"/>
    <w:rsid w:val="00FE1592"/>
    <w:rsid w:val="00FE24D5"/>
    <w:rsid w:val="00FE35EA"/>
    <w:rsid w:val="00FE52EF"/>
    <w:rsid w:val="00FE5F14"/>
    <w:rsid w:val="00FF0F58"/>
    <w:rsid w:val="00FF3860"/>
    <w:rsid w:val="00FF7E3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94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ZarkazkladnhotextuChar"/>
    <w:uiPriority w:val="99"/>
    <w:rsid w:val="005A1674"/>
    <w:pPr>
      <w:spacing w:after="120" w:line="480" w:lineRule="auto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5A1674"/>
    <w:rPr>
      <w:rFonts w:ascii="Times New Roman" w:hAnsi="Times New Roman" w:cs="Times New Roman"/>
      <w:color w:val="000000"/>
      <w:sz w:val="24"/>
      <w:szCs w:val="24"/>
      <w:rtl w:val="0"/>
      <w:cs w:val="0"/>
      <w:lang w:val="x-none" w:eastAsia="sk-SK"/>
    </w:rPr>
  </w:style>
  <w:style w:type="paragraph" w:styleId="FootnoteText">
    <w:name w:val="footnote text"/>
    <w:aliases w:val="Char,Char1"/>
    <w:basedOn w:val="Normal"/>
    <w:link w:val="TextpoznmkypodiarouChar"/>
    <w:uiPriority w:val="99"/>
    <w:rsid w:val="005A1674"/>
    <w:pPr>
      <w:jc w:val="left"/>
    </w:pPr>
    <w:rPr>
      <w:color w:val="auto"/>
    </w:rPr>
  </w:style>
  <w:style w:type="character" w:customStyle="1" w:styleId="TextpoznmkypodiarouChar">
    <w:name w:val="Text poznámky pod čiarou Char"/>
    <w:aliases w:val="Char Char,Char1 Char"/>
    <w:basedOn w:val="DefaultParagraphFont"/>
    <w:link w:val="FootnoteText"/>
    <w:uiPriority w:val="99"/>
    <w:locked/>
    <w:rsid w:val="005A1674"/>
    <w:rPr>
      <w:rFonts w:ascii="Times New Roman" w:hAnsi="Times New Roman" w:cs="Times New Roman"/>
      <w:color w:val="000000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rsid w:val="005A1674"/>
    <w:rPr>
      <w:rFonts w:ascii="Times New Roman" w:hAnsi="Times New Roman" w:cs="Times New Roman"/>
      <w:vertAlign w:val="superscript"/>
      <w:rtl w:val="0"/>
      <w:cs w:val="0"/>
    </w:rPr>
  </w:style>
  <w:style w:type="paragraph" w:styleId="ListParagraph">
    <w:name w:val="List Paragraph"/>
    <w:basedOn w:val="Normal"/>
    <w:uiPriority w:val="34"/>
    <w:qFormat/>
    <w:rsid w:val="00186C6D"/>
    <w:pPr>
      <w:ind w:left="720"/>
      <w:contextualSpacing/>
      <w:jc w:val="left"/>
    </w:pPr>
  </w:style>
  <w:style w:type="paragraph" w:styleId="Footer">
    <w:name w:val="footer"/>
    <w:basedOn w:val="Normal"/>
    <w:link w:val="PtaChar"/>
    <w:uiPriority w:val="99"/>
    <w:rsid w:val="0053106D"/>
    <w:pPr>
      <w:widowControl w:val="0"/>
      <w:tabs>
        <w:tab w:val="center" w:pos="4536"/>
        <w:tab w:val="right" w:pos="9072"/>
      </w:tabs>
      <w:overflowPunct w:val="0"/>
      <w:adjustRightInd w:val="0"/>
      <w:jc w:val="left"/>
    </w:pPr>
    <w:rPr>
      <w:color w:val="auto"/>
      <w:kern w:val="28"/>
    </w:rPr>
  </w:style>
  <w:style w:type="character" w:customStyle="1" w:styleId="PtaChar">
    <w:name w:val="Päta Char"/>
    <w:basedOn w:val="DefaultParagraphFont"/>
    <w:link w:val="Footer"/>
    <w:uiPriority w:val="99"/>
    <w:locked/>
    <w:rsid w:val="0053106D"/>
    <w:rPr>
      <w:rFonts w:ascii="Times New Roman" w:hAnsi="Times New Roman" w:cs="Times New Roman"/>
      <w:kern w:val="28"/>
      <w:sz w:val="24"/>
      <w:szCs w:val="24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semiHidden/>
    <w:rsid w:val="00FF0F58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FF0F58"/>
    <w:rPr>
      <w:rFonts w:ascii="Times New Roman" w:hAnsi="Times New Roman" w:cs="Times New Roman"/>
      <w:color w:val="000000"/>
      <w:sz w:val="24"/>
      <w:szCs w:val="24"/>
      <w:rtl w:val="0"/>
      <w:cs w:val="0"/>
      <w:lang w:val="x-none" w:eastAsia="sk-SK"/>
    </w:rPr>
  </w:style>
  <w:style w:type="paragraph" w:customStyle="1" w:styleId="Zkladntext">
    <w:name w:val="Základní text"/>
    <w:uiPriority w:val="99"/>
    <w:rsid w:val="00FC5778"/>
    <w:pPr>
      <w:framePr w:wrap="auto"/>
      <w:widowControl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styleId="Title">
    <w:name w:val="Title"/>
    <w:basedOn w:val="Normal"/>
    <w:link w:val="NzovChar"/>
    <w:uiPriority w:val="99"/>
    <w:qFormat/>
    <w:rsid w:val="00E533D5"/>
    <w:pPr>
      <w:jc w:val="center"/>
    </w:pPr>
    <w:rPr>
      <w:b/>
      <w:bCs/>
      <w:color w:val="auto"/>
      <w:spacing w:val="20"/>
      <w:lang w:eastAsia="en-US"/>
    </w:rPr>
  </w:style>
  <w:style w:type="character" w:customStyle="1" w:styleId="NzovChar">
    <w:name w:val="Názov Char"/>
    <w:basedOn w:val="DefaultParagraphFont"/>
    <w:link w:val="Title"/>
    <w:uiPriority w:val="99"/>
    <w:locked/>
    <w:rsid w:val="00E533D5"/>
    <w:rPr>
      <w:rFonts w:ascii="Times New Roman" w:hAnsi="Times New Roman" w:cs="Times New Roman"/>
      <w:b/>
      <w:bCs/>
      <w:spacing w:val="20"/>
      <w:sz w:val="24"/>
      <w:szCs w:val="24"/>
      <w:rtl w:val="0"/>
      <w:cs w:val="0"/>
    </w:rPr>
  </w:style>
  <w:style w:type="paragraph" w:customStyle="1" w:styleId="NormalCentered">
    <w:name w:val="Normal Centered"/>
    <w:basedOn w:val="Normal"/>
    <w:uiPriority w:val="99"/>
    <w:rsid w:val="00714CF9"/>
    <w:pPr>
      <w:spacing w:before="120" w:after="120"/>
      <w:jc w:val="center"/>
    </w:pPr>
    <w:rPr>
      <w:color w:val="auto"/>
      <w:lang w:eastAsia="en-GB"/>
    </w:rPr>
  </w:style>
  <w:style w:type="paragraph" w:customStyle="1" w:styleId="ListNumberLevel2">
    <w:name w:val="List Number (Level 2)"/>
    <w:basedOn w:val="Normal"/>
    <w:uiPriority w:val="99"/>
    <w:rsid w:val="00714CF9"/>
    <w:pPr>
      <w:spacing w:before="120" w:after="120"/>
      <w:jc w:val="both"/>
    </w:pPr>
    <w:rPr>
      <w:color w:val="auto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396DB3"/>
    <w:rPr>
      <w:rFonts w:ascii="Times New Roman" w:hAnsi="Times New Roman" w:cs="Times New Roman"/>
      <w:color w:val="808080"/>
      <w:rtl w:val="0"/>
      <w:cs w:val="0"/>
    </w:rPr>
  </w:style>
  <w:style w:type="paragraph" w:customStyle="1" w:styleId="CharChar1">
    <w:name w:val="Char Char1"/>
    <w:basedOn w:val="Normal"/>
    <w:rsid w:val="002D1525"/>
    <w:pPr>
      <w:spacing w:after="160" w:line="240" w:lineRule="exact"/>
      <w:jc w:val="left"/>
    </w:pPr>
    <w:rPr>
      <w:rFonts w:ascii="Tahoma" w:hAnsi="Tahoma"/>
      <w:color w:val="auto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44544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844544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844544"/>
    <w:rPr>
      <w:rFonts w:ascii="Times New Roman" w:hAnsi="Times New Roman" w:cs="Times New Roman"/>
      <w:color w:val="000000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844544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844544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4454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44544"/>
    <w:rPr>
      <w:rFonts w:ascii="Tahoma" w:hAnsi="Tahoma" w:cs="Tahoma"/>
      <w:color w:val="000000"/>
      <w:sz w:val="16"/>
      <w:szCs w:val="16"/>
      <w:rtl w:val="0"/>
      <w:cs w:val="0"/>
    </w:rPr>
  </w:style>
  <w:style w:type="paragraph" w:styleId="Revision">
    <w:name w:val="Revision"/>
    <w:hidden/>
    <w:uiPriority w:val="99"/>
    <w:semiHidden/>
    <w:rsid w:val="00393D2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NormalWeb">
    <w:name w:val="Normal (Web)"/>
    <w:aliases w:val="webb"/>
    <w:basedOn w:val="Normal"/>
    <w:uiPriority w:val="99"/>
    <w:semiHidden/>
    <w:rsid w:val="00922D78"/>
    <w:pPr>
      <w:jc w:val="left"/>
    </w:pPr>
    <w:rPr>
      <w:rFonts w:ascii="Tahoma" w:hAnsi="Tahoma" w:cs="Tahoma"/>
      <w:color w:val="auto"/>
      <w:sz w:val="16"/>
      <w:szCs w:val="16"/>
      <w:lang w:val="en-US"/>
    </w:rPr>
  </w:style>
  <w:style w:type="paragraph" w:styleId="BodyText">
    <w:name w:val="Body Text"/>
    <w:basedOn w:val="Normal"/>
    <w:link w:val="ZkladntextChar"/>
    <w:uiPriority w:val="99"/>
    <w:semiHidden/>
    <w:unhideWhenUsed/>
    <w:rsid w:val="00922D78"/>
    <w:pPr>
      <w:spacing w:after="120"/>
      <w:jc w:val="left"/>
    </w:pPr>
    <w:rPr>
      <w:color w:val="auto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922D78"/>
    <w:rPr>
      <w:rFonts w:ascii="Times New Roman" w:hAnsi="Times New Roman" w:cs="Times New Roman"/>
      <w:sz w:val="24"/>
      <w:szCs w:val="24"/>
      <w:rtl w:val="0"/>
      <w:cs w:val="0"/>
    </w:rPr>
  </w:style>
  <w:style w:type="character" w:styleId="Emphasis">
    <w:name w:val="Emphasis"/>
    <w:basedOn w:val="DefaultParagraphFont"/>
    <w:uiPriority w:val="20"/>
    <w:qFormat/>
    <w:locked/>
    <w:rsid w:val="00922D78"/>
    <w:rPr>
      <w:rFonts w:cs="Times New Roman"/>
      <w:b/>
      <w:i/>
      <w:spacing w:val="10"/>
      <w:rtl w:val="0"/>
      <w:cs w:val="0"/>
    </w:rPr>
  </w:style>
  <w:style w:type="character" w:customStyle="1" w:styleId="PlaceholderText1">
    <w:name w:val="Placeholder Text1"/>
    <w:uiPriority w:val="99"/>
    <w:semiHidden/>
    <w:rsid w:val="00922D7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BD0FB-D735-4195-88A3-7E639B932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164</TotalTime>
  <Pages>21</Pages>
  <Words>6394</Words>
  <Characters>36447</Characters>
  <Application>Microsoft Office Word</Application>
  <DocSecurity>0</DocSecurity>
  <Lines>0</Lines>
  <Paragraphs>0</Paragraphs>
  <ScaleCrop>false</ScaleCrop>
  <Company>user</Company>
  <LinksUpToDate>false</LinksUpToDate>
  <CharactersWithSpaces>42756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dcaplanova</dc:creator>
  <cp:lastModifiedBy>Konecna Zofia</cp:lastModifiedBy>
  <cp:revision>7</cp:revision>
  <cp:lastPrinted>2015-08-27T09:21:00Z</cp:lastPrinted>
  <dcterms:created xsi:type="dcterms:W3CDTF">2015-08-21T13:39:00Z</dcterms:created>
  <dcterms:modified xsi:type="dcterms:W3CDTF">2015-08-27T11:37:00Z</dcterms:modified>
</cp:coreProperties>
</file>