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93F1E" w:rsidRPr="006E1A2C">
      <w:pPr>
        <w:bidi w:val="0"/>
        <w:spacing w:after="0" w:line="240" w:lineRule="auto"/>
        <w:jc w:val="center"/>
        <w:rPr>
          <w:rFonts w:ascii="Times New Roman" w:hAnsi="Times New Roman"/>
          <w:b/>
          <w:bCs/>
          <w:caps/>
          <w:color w:val="000000"/>
          <w:spacing w:val="30"/>
          <w:sz w:val="24"/>
          <w:szCs w:val="24"/>
          <w:lang w:val="sk-SK"/>
        </w:rPr>
      </w:pPr>
      <w:r w:rsidRPr="006E1A2C">
        <w:rPr>
          <w:rFonts w:ascii="Times New Roman" w:hAnsi="Times New Roman"/>
          <w:b/>
          <w:bCs/>
          <w:caps/>
          <w:color w:val="000000"/>
          <w:spacing w:val="30"/>
          <w:sz w:val="24"/>
          <w:szCs w:val="24"/>
          <w:lang w:val="sk-SK"/>
        </w:rPr>
        <w:t>Doložka</w:t>
      </w:r>
    </w:p>
    <w:p w:rsidR="00593F1E" w:rsidRPr="006E1A2C">
      <w:pPr>
        <w:bidi w:val="0"/>
        <w:spacing w:after="0" w:line="240" w:lineRule="auto"/>
        <w:jc w:val="center"/>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vybraných vplyvov</w:t>
      </w:r>
    </w:p>
    <w:p w:rsidR="00593F1E" w:rsidRPr="006E1A2C">
      <w:pPr>
        <w:bidi w:val="0"/>
        <w:spacing w:after="0" w:line="240" w:lineRule="auto"/>
        <w:rPr>
          <w:rFonts w:ascii="Times New Roman" w:hAnsi="Times New Roman"/>
          <w:color w:val="000000"/>
          <w:sz w:val="24"/>
          <w:szCs w:val="24"/>
          <w:lang w:val="sk-SK"/>
        </w:rPr>
      </w:pPr>
    </w:p>
    <w:p w:rsidR="00593F1E" w:rsidRPr="006E1A2C">
      <w:pPr>
        <w:bidi w:val="0"/>
        <w:spacing w:after="0" w:line="240" w:lineRule="auto"/>
        <w:rPr>
          <w:rFonts w:ascii="Times New Roman" w:hAnsi="Times New Roman"/>
          <w:color w:val="000000"/>
          <w:sz w:val="24"/>
          <w:szCs w:val="24"/>
          <w:lang w:val="sk-SK"/>
        </w:rPr>
      </w:pPr>
    </w:p>
    <w:p w:rsidR="006E1A2C" w:rsidRPr="006E1A2C" w:rsidP="006E1A2C">
      <w:pPr>
        <w:bidi w:val="0"/>
        <w:spacing w:after="0" w:line="240" w:lineRule="auto"/>
        <w:jc w:val="both"/>
        <w:rPr>
          <w:rFonts w:ascii="Times New Roman" w:hAnsi="Times New Roman"/>
          <w:sz w:val="24"/>
          <w:szCs w:val="24"/>
          <w:lang w:val="sk-SK"/>
        </w:rPr>
      </w:pPr>
      <w:r w:rsidRPr="006E1A2C" w:rsidR="00593F1E">
        <w:rPr>
          <w:rFonts w:ascii="Times New Roman" w:hAnsi="Times New Roman"/>
          <w:b/>
          <w:bCs/>
          <w:color w:val="000000"/>
          <w:sz w:val="24"/>
          <w:szCs w:val="24"/>
          <w:lang w:val="sk-SK"/>
        </w:rPr>
        <w:t xml:space="preserve">A.1. Názov materiálu: </w:t>
      </w:r>
      <w:r w:rsidRPr="006E1A2C">
        <w:rPr>
          <w:rFonts w:ascii="Times New Roman" w:hAnsi="Times New Roman"/>
          <w:bCs/>
          <w:color w:val="000000"/>
          <w:sz w:val="24"/>
          <w:szCs w:val="24"/>
          <w:lang w:val="sk-SK"/>
        </w:rPr>
        <w:t xml:space="preserve">Návrh zákona, </w:t>
      </w:r>
      <w:r w:rsidRPr="006E1A2C">
        <w:rPr>
          <w:rFonts w:ascii="Times New Roman" w:hAnsi="Times New Roman"/>
          <w:sz w:val="24"/>
          <w:szCs w:val="24"/>
          <w:lang w:val="sk-SK"/>
        </w:rPr>
        <w:t xml:space="preserve">ktorým sa mení a dopĺňa </w:t>
      </w:r>
      <w:r w:rsidRPr="006E1A2C">
        <w:rPr>
          <w:rFonts w:ascii="Times New Roman" w:hAnsi="Times New Roman"/>
          <w:sz w:val="24"/>
          <w:szCs w:val="24"/>
          <w:lang w:val="sk-SK" w:eastAsia="cs-CZ"/>
        </w:rPr>
        <w:t>zákon</w:t>
      </w:r>
      <w:r w:rsidRPr="006E1A2C">
        <w:rPr>
          <w:rFonts w:ascii="Times New Roman" w:hAnsi="Times New Roman"/>
          <w:sz w:val="24"/>
          <w:szCs w:val="24"/>
          <w:lang w:val="sk-SK"/>
        </w:rPr>
        <w:t xml:space="preserve"> č. 98/1987 Zb. o osobitnom príspevku baníkom v znení neskorších predpisov </w:t>
      </w:r>
    </w:p>
    <w:p w:rsidR="006E1A2C">
      <w:pPr>
        <w:bidi w:val="0"/>
        <w:spacing w:after="0" w:line="240" w:lineRule="auto"/>
        <w:jc w:val="both"/>
        <w:rPr>
          <w:rFonts w:ascii="Times New Roman" w:hAnsi="Times New Roman"/>
          <w:b/>
          <w:bCs/>
          <w:color w:val="000000"/>
          <w:sz w:val="24"/>
          <w:szCs w:val="24"/>
          <w:lang w:val="sk-SK"/>
        </w:rPr>
      </w:pPr>
      <w:r w:rsidRPr="006E1A2C" w:rsidR="00593F1E">
        <w:rPr>
          <w:rFonts w:ascii="Times New Roman" w:hAnsi="Times New Roman"/>
          <w:b/>
          <w:bCs/>
          <w:color w:val="000000"/>
          <w:sz w:val="24"/>
          <w:szCs w:val="24"/>
          <w:lang w:val="sk-SK"/>
        </w:rPr>
        <w:t xml:space="preserve">        </w:t>
      </w:r>
    </w:p>
    <w:p w:rsidR="00593F1E" w:rsidRPr="006E1A2C">
      <w:pPr>
        <w:bidi w:val="0"/>
        <w:spacing w:after="0" w:line="240" w:lineRule="auto"/>
        <w:jc w:val="both"/>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Termín začatia a ukončenia PPK:</w:t>
      </w:r>
      <w:r w:rsidRPr="006E1A2C" w:rsidR="002704AC">
        <w:rPr>
          <w:rFonts w:ascii="Times New Roman" w:hAnsi="Times New Roman"/>
          <w:color w:val="000000"/>
          <w:sz w:val="24"/>
          <w:szCs w:val="24"/>
          <w:lang w:val="sk-SK"/>
        </w:rPr>
        <w:t xml:space="preserve"> -  </w:t>
      </w:r>
    </w:p>
    <w:p w:rsidR="00593F1E" w:rsidRPr="006E1A2C">
      <w:pPr>
        <w:bidi w:val="0"/>
        <w:spacing w:after="0" w:line="240" w:lineRule="auto"/>
        <w:jc w:val="both"/>
        <w:rPr>
          <w:rFonts w:ascii="Times New Roman" w:hAnsi="Times New Roman"/>
          <w:b/>
          <w:bCs/>
          <w:color w:val="000000"/>
          <w:sz w:val="24"/>
          <w:szCs w:val="24"/>
          <w:lang w:val="sk-SK"/>
        </w:rPr>
      </w:pPr>
    </w:p>
    <w:p w:rsidR="00593F1E" w:rsidRPr="006E1A2C">
      <w:pPr>
        <w:bidi w:val="0"/>
        <w:spacing w:after="0" w:line="240" w:lineRule="auto"/>
        <w:jc w:val="both"/>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r w:rsidRPr="006E1A2C">
              <w:rPr>
                <w:rFonts w:ascii="Times New Roman" w:hAnsi="Times New Roman"/>
                <w:color w:val="000000"/>
                <w:sz w:val="24"/>
                <w:szCs w:val="24"/>
                <w:lang w:val="sk-SK"/>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r w:rsidRPr="006E1A2C">
              <w:rPr>
                <w:rFonts w:ascii="Times New Roman" w:hAnsi="Times New Roman"/>
                <w:color w:val="000000"/>
                <w:sz w:val="24"/>
                <w:szCs w:val="24"/>
                <w:lang w:val="sk-SK"/>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r w:rsidRPr="006E1A2C">
              <w:rPr>
                <w:rFonts w:ascii="Times New Roman" w:hAnsi="Times New Roman"/>
                <w:color w:val="000000"/>
                <w:sz w:val="24"/>
                <w:szCs w:val="24"/>
                <w:lang w:val="sk-SK"/>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rPr>
                <w:rFonts w:ascii="Times New Roman" w:hAnsi="Times New Roman"/>
                <w:color w:val="000000"/>
                <w:sz w:val="24"/>
                <w:szCs w:val="24"/>
                <w:lang w:val="sk-SK"/>
              </w:rPr>
            </w:pPr>
            <w:r w:rsidRPr="006E1A2C">
              <w:rPr>
                <w:rFonts w:ascii="Times New Roman" w:hAnsi="Times New Roman"/>
                <w:color w:val="000000"/>
                <w:sz w:val="24"/>
                <w:szCs w:val="24"/>
                <w:lang w:val="sk-SK"/>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r w:rsidRPr="006E1A2C" w:rsidR="0042620C">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r w:rsidRPr="006E1A2C">
              <w:rPr>
                <w:rFonts w:ascii="Times New Roman" w:hAnsi="Times New Roman"/>
                <w:color w:val="000000"/>
                <w:sz w:val="24"/>
                <w:szCs w:val="24"/>
                <w:lang w:val="sk-SK"/>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rPr>
                <w:rFonts w:ascii="Times New Roman" w:hAnsi="Times New Roman"/>
                <w:color w:val="000000"/>
                <w:sz w:val="24"/>
                <w:szCs w:val="24"/>
                <w:lang w:val="sk-SK"/>
              </w:rPr>
            </w:pPr>
            <w:r w:rsidRPr="006E1A2C">
              <w:rPr>
                <w:rFonts w:ascii="Times New Roman" w:hAnsi="Times New Roman"/>
                <w:color w:val="000000"/>
                <w:sz w:val="24"/>
                <w:szCs w:val="24"/>
                <w:lang w:val="sk-SK"/>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r w:rsidRPr="006E1A2C">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rPr>
                <w:rFonts w:ascii="Times New Roman" w:hAnsi="Times New Roman"/>
                <w:color w:val="000000"/>
                <w:sz w:val="24"/>
                <w:szCs w:val="24"/>
                <w:lang w:val="sk-SK"/>
              </w:rPr>
            </w:pPr>
            <w:r w:rsidRPr="006E1A2C">
              <w:rPr>
                <w:rFonts w:ascii="Times New Roman" w:hAnsi="Times New Roman"/>
                <w:color w:val="000000"/>
                <w:sz w:val="24"/>
                <w:szCs w:val="24"/>
                <w:lang w:val="sk-SK"/>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r w:rsidRPr="006E1A2C">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rPr>
                <w:rFonts w:ascii="Times New Roman" w:hAnsi="Times New Roman"/>
                <w:color w:val="000000"/>
                <w:sz w:val="24"/>
                <w:szCs w:val="24"/>
                <w:lang w:val="sk-SK"/>
              </w:rPr>
            </w:pPr>
            <w:r w:rsidRPr="006E1A2C">
              <w:rPr>
                <w:rFonts w:ascii="Times New Roman" w:hAnsi="Times New Roman"/>
                <w:color w:val="000000"/>
                <w:sz w:val="24"/>
                <w:szCs w:val="24"/>
                <w:lang w:val="sk-SK"/>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rPr>
                <w:rFonts w:ascii="Times New Roman" w:hAnsi="Times New Roman"/>
                <w:color w:val="000000"/>
                <w:sz w:val="24"/>
                <w:szCs w:val="24"/>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rPr>
                <w:rFonts w:ascii="Times New Roman" w:hAnsi="Times New Roman"/>
                <w:color w:val="000000"/>
                <w:sz w:val="24"/>
                <w:szCs w:val="24"/>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rPr>
                <w:rFonts w:ascii="Times New Roman" w:hAnsi="Times New Roman"/>
                <w:color w:val="000000"/>
                <w:sz w:val="24"/>
                <w:szCs w:val="24"/>
                <w:lang w:val="sk-SK"/>
              </w:rPr>
            </w:pPr>
            <w:r w:rsidRPr="006E1A2C">
              <w:rPr>
                <w:rFonts w:ascii="Times New Roman" w:hAnsi="Times New Roman"/>
                <w:color w:val="000000"/>
                <w:sz w:val="24"/>
                <w:szCs w:val="24"/>
                <w:lang w:val="sk-SK"/>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6E1A2C">
            <w:pPr>
              <w:widowControl/>
              <w:bidi w:val="0"/>
              <w:spacing w:after="0"/>
              <w:rPr>
                <w:rFonts w:ascii="Times New Roman" w:hAnsi="Times New Roman"/>
                <w:color w:val="000000"/>
                <w:sz w:val="24"/>
                <w:szCs w:val="24"/>
                <w:lang w:val="sk-SK"/>
              </w:rPr>
            </w:pPr>
            <w:r w:rsidRPr="006E1A2C" w:rsidR="00593F1E">
              <w:rPr>
                <w:rFonts w:ascii="Times New Roman" w:hAnsi="Times New Roman"/>
                <w:color w:val="000000"/>
                <w:sz w:val="24"/>
                <w:szCs w:val="24"/>
                <w:lang w:val="sk-SK"/>
              </w:rPr>
              <w:t xml:space="preserve">– rovnosť príležitostí a rodovú rovnosť </w:t>
            </w:r>
          </w:p>
          <w:p w:rsidR="00593F1E" w:rsidRPr="006E1A2C">
            <w:pPr>
              <w:widowControl/>
              <w:bidi w:val="0"/>
              <w:spacing w:after="0"/>
              <w:rPr>
                <w:rFonts w:ascii="Times New Roman" w:hAnsi="Times New Roman"/>
                <w:color w:val="000000"/>
                <w:sz w:val="24"/>
                <w:szCs w:val="24"/>
                <w:lang w:val="sk-SK"/>
              </w:rPr>
            </w:pPr>
            <w:r w:rsidRPr="006E1A2C">
              <w:rPr>
                <w:rFonts w:ascii="Times New Roman" w:hAnsi="Times New Roman"/>
                <w:color w:val="000000"/>
                <w:sz w:val="24"/>
                <w:szCs w:val="24"/>
                <w:lang w:val="sk-SK"/>
              </w:rPr>
              <w:t>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rPr>
                <w:rFonts w:ascii="Times New Roman" w:hAnsi="Times New Roman"/>
                <w:color w:val="000000"/>
                <w:sz w:val="24"/>
                <w:szCs w:val="24"/>
                <w:lang w:val="sk-SK"/>
              </w:rPr>
            </w:pPr>
            <w:r w:rsidRPr="006E1A2C">
              <w:rPr>
                <w:rFonts w:ascii="Times New Roman" w:hAnsi="Times New Roman"/>
                <w:color w:val="000000"/>
                <w:sz w:val="24"/>
                <w:szCs w:val="24"/>
                <w:lang w:val="sk-SK"/>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r w:rsidRPr="006E1A2C">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rPr>
                <w:rFonts w:ascii="Times New Roman" w:hAnsi="Times New Roman"/>
                <w:color w:val="000000"/>
                <w:sz w:val="24"/>
                <w:szCs w:val="24"/>
                <w:lang w:val="sk-SK"/>
              </w:rPr>
            </w:pPr>
            <w:r w:rsidRPr="006E1A2C">
              <w:rPr>
                <w:rFonts w:ascii="Times New Roman" w:hAnsi="Times New Roman"/>
                <w:color w:val="000000"/>
                <w:sz w:val="24"/>
                <w:szCs w:val="24"/>
                <w:lang w:val="sk-SK"/>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r w:rsidRPr="006E1A2C">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6E1A2C">
            <w:pPr>
              <w:widowControl/>
              <w:bidi w:val="0"/>
              <w:spacing w:after="0"/>
              <w:jc w:val="center"/>
              <w:rPr>
                <w:rFonts w:ascii="Times New Roman" w:hAnsi="Times New Roman"/>
                <w:color w:val="000000"/>
                <w:sz w:val="24"/>
                <w:szCs w:val="24"/>
                <w:lang w:val="sk-SK"/>
              </w:rPr>
            </w:pPr>
          </w:p>
        </w:tc>
      </w:tr>
    </w:tbl>
    <w:p w:rsidR="00593F1E" w:rsidRPr="006E1A2C">
      <w:pPr>
        <w:widowControl/>
        <w:bidi w:val="0"/>
        <w:rPr>
          <w:rFonts w:ascii="Times New Roman" w:hAnsi="Times New Roman"/>
          <w:color w:val="000000"/>
          <w:sz w:val="24"/>
          <w:szCs w:val="24"/>
          <w:lang w:val="sk-SK"/>
        </w:rPr>
      </w:pPr>
      <w:r w:rsidRPr="006E1A2C">
        <w:rPr>
          <w:rFonts w:ascii="Times New Roman" w:hAnsi="Times New Roman"/>
          <w:color w:val="000000"/>
          <w:sz w:val="24"/>
          <w:szCs w:val="24"/>
          <w:lang w:val="sk-SK"/>
        </w:rPr>
        <w:t> </w:t>
      </w:r>
    </w:p>
    <w:p w:rsidR="00593F1E" w:rsidRPr="006E1A2C">
      <w:pPr>
        <w:bidi w:val="0"/>
        <w:spacing w:after="0" w:line="240" w:lineRule="auto"/>
        <w:jc w:val="both"/>
        <w:rPr>
          <w:rFonts w:ascii="Times New Roman" w:hAnsi="Times New Roman"/>
          <w:b/>
          <w:bCs/>
          <w:color w:val="000000"/>
          <w:sz w:val="24"/>
          <w:szCs w:val="24"/>
          <w:lang w:val="sk-SK"/>
        </w:rPr>
      </w:pPr>
    </w:p>
    <w:p w:rsidR="00593F1E" w:rsidRPr="006E1A2C">
      <w:pPr>
        <w:bidi w:val="0"/>
        <w:spacing w:after="0" w:line="240" w:lineRule="auto"/>
        <w:jc w:val="both"/>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A.3. Poznámky</w:t>
      </w:r>
    </w:p>
    <w:p w:rsidR="00593F1E" w:rsidRPr="006E1A2C" w:rsidP="006E1A2C">
      <w:pPr>
        <w:widowControl/>
        <w:bidi w:val="0"/>
        <w:spacing w:after="0"/>
        <w:jc w:val="both"/>
        <w:rPr>
          <w:rFonts w:ascii="Times New Roman" w:hAnsi="Times New Roman"/>
          <w:color w:val="000000"/>
          <w:sz w:val="24"/>
          <w:szCs w:val="24"/>
          <w:lang w:val="sk-SK"/>
        </w:rPr>
      </w:pPr>
      <w:r w:rsidR="006E1A2C">
        <w:rPr>
          <w:rFonts w:ascii="Times New Roman" w:hAnsi="Times New Roman"/>
          <w:color w:val="000000"/>
          <w:sz w:val="24"/>
          <w:szCs w:val="24"/>
          <w:lang w:val="sk-SK"/>
        </w:rPr>
        <w:tab/>
        <w:t xml:space="preserve">Vplyv </w:t>
      </w:r>
      <w:r w:rsidR="007F2849">
        <w:rPr>
          <w:rFonts w:ascii="Times New Roman" w:hAnsi="Times New Roman"/>
          <w:color w:val="000000"/>
          <w:sz w:val="24"/>
          <w:szCs w:val="24"/>
          <w:lang w:val="sk-SK"/>
        </w:rPr>
        <w:t xml:space="preserve">návrhu zákona </w:t>
      </w:r>
      <w:r w:rsidR="006E1A2C">
        <w:rPr>
          <w:rFonts w:ascii="Times New Roman" w:hAnsi="Times New Roman"/>
          <w:color w:val="000000"/>
          <w:sz w:val="24"/>
          <w:szCs w:val="24"/>
          <w:lang w:val="sk-SK"/>
        </w:rPr>
        <w:t>na podnikateľské prostredie nie je</w:t>
      </w:r>
      <w:r w:rsidR="007F2849">
        <w:rPr>
          <w:rFonts w:ascii="Times New Roman" w:hAnsi="Times New Roman"/>
          <w:color w:val="000000"/>
          <w:sz w:val="24"/>
          <w:szCs w:val="24"/>
          <w:lang w:val="sk-SK"/>
        </w:rPr>
        <w:t xml:space="preserve"> podľa Aktualizovanej jednotnej metodiky na posudzovanie vybraných vplyvov</w:t>
      </w:r>
      <w:r w:rsidR="006E1A2C">
        <w:rPr>
          <w:rFonts w:ascii="Times New Roman" w:hAnsi="Times New Roman"/>
          <w:color w:val="000000"/>
          <w:sz w:val="24"/>
          <w:szCs w:val="24"/>
          <w:lang w:val="sk-SK"/>
        </w:rPr>
        <w:t xml:space="preserve"> žiadny</w:t>
      </w:r>
      <w:r w:rsidR="007F2849">
        <w:rPr>
          <w:rFonts w:ascii="Times New Roman" w:hAnsi="Times New Roman"/>
          <w:color w:val="000000"/>
          <w:sz w:val="24"/>
          <w:szCs w:val="24"/>
          <w:lang w:val="sk-SK"/>
        </w:rPr>
        <w:t>. M</w:t>
      </w:r>
      <w:r w:rsidR="006E1A2C">
        <w:rPr>
          <w:rFonts w:ascii="Times New Roman" w:hAnsi="Times New Roman"/>
          <w:color w:val="000000"/>
          <w:sz w:val="24"/>
          <w:szCs w:val="24"/>
          <w:lang w:val="sk-SK"/>
        </w:rPr>
        <w:t>ožno</w:t>
      </w:r>
      <w:r w:rsidR="007F2849">
        <w:rPr>
          <w:rFonts w:ascii="Times New Roman" w:hAnsi="Times New Roman"/>
          <w:color w:val="000000"/>
          <w:sz w:val="24"/>
          <w:szCs w:val="24"/>
          <w:lang w:val="sk-SK"/>
        </w:rPr>
        <w:t xml:space="preserve"> však</w:t>
      </w:r>
      <w:r w:rsidR="006E1A2C">
        <w:rPr>
          <w:rFonts w:ascii="Times New Roman" w:hAnsi="Times New Roman"/>
          <w:color w:val="000000"/>
          <w:sz w:val="24"/>
          <w:szCs w:val="24"/>
          <w:lang w:val="sk-SK"/>
        </w:rPr>
        <w:t xml:space="preserve"> predpokladať, že prijatie </w:t>
      </w:r>
      <w:r w:rsidR="007F2849">
        <w:rPr>
          <w:rFonts w:ascii="Times New Roman" w:hAnsi="Times New Roman"/>
          <w:color w:val="000000"/>
          <w:sz w:val="24"/>
          <w:szCs w:val="24"/>
          <w:lang w:val="sk-SK"/>
        </w:rPr>
        <w:t>navrhovaných</w:t>
      </w:r>
      <w:r w:rsidR="006E1A2C">
        <w:rPr>
          <w:rFonts w:ascii="Times New Roman" w:hAnsi="Times New Roman"/>
          <w:color w:val="000000"/>
          <w:sz w:val="24"/>
          <w:szCs w:val="24"/>
          <w:lang w:val="sk-SK"/>
        </w:rPr>
        <w:t xml:space="preserve"> opatrení bude mať pozitívny </w:t>
      </w:r>
      <w:r w:rsidR="007F2849">
        <w:rPr>
          <w:rFonts w:ascii="Times New Roman" w:hAnsi="Times New Roman"/>
          <w:color w:val="000000"/>
          <w:sz w:val="24"/>
          <w:szCs w:val="24"/>
          <w:lang w:val="sk-SK"/>
        </w:rPr>
        <w:t xml:space="preserve">vplyv na banícke povolanie jeho </w:t>
      </w:r>
      <w:r w:rsidR="006E1A2C">
        <w:rPr>
          <w:rFonts w:ascii="Times New Roman" w:hAnsi="Times New Roman"/>
          <w:color w:val="000000"/>
          <w:sz w:val="24"/>
          <w:szCs w:val="24"/>
          <w:lang w:val="sk-SK"/>
        </w:rPr>
        <w:t xml:space="preserve">zatraktívnením. </w:t>
      </w:r>
      <w:r w:rsidRPr="006E1A2C">
        <w:rPr>
          <w:rFonts w:ascii="Times New Roman" w:hAnsi="Times New Roman"/>
          <w:color w:val="000000"/>
          <w:sz w:val="24"/>
          <w:szCs w:val="24"/>
          <w:lang w:val="sk-SK"/>
        </w:rPr>
        <w:t> </w:t>
      </w:r>
    </w:p>
    <w:p w:rsidR="00593F1E" w:rsidRPr="006E1A2C">
      <w:pPr>
        <w:widowControl/>
        <w:bidi w:val="0"/>
        <w:spacing w:after="0"/>
        <w:ind w:left="420" w:hanging="360"/>
        <w:jc w:val="both"/>
        <w:rPr>
          <w:rFonts w:ascii="Times New Roman" w:hAnsi="Times New Roman"/>
          <w:color w:val="000000"/>
          <w:sz w:val="24"/>
          <w:szCs w:val="24"/>
          <w:lang w:val="sk-SK"/>
        </w:rPr>
      </w:pPr>
      <w:r w:rsidRPr="006E1A2C">
        <w:rPr>
          <w:rFonts w:ascii="Times New Roman" w:hAnsi="Times New Roman"/>
          <w:color w:val="000000"/>
          <w:sz w:val="24"/>
          <w:szCs w:val="24"/>
          <w:lang w:val="sk-SK"/>
        </w:rPr>
        <w:t> </w:t>
      </w:r>
    </w:p>
    <w:p w:rsidR="006E1A2C" w:rsidRPr="006E1A2C" w:rsidP="006E1A2C">
      <w:pPr>
        <w:bidi w:val="0"/>
        <w:spacing w:after="0" w:line="240" w:lineRule="auto"/>
        <w:jc w:val="both"/>
        <w:rPr>
          <w:rFonts w:ascii="Times New Roman" w:hAnsi="Times New Roman"/>
          <w:i/>
          <w:iCs/>
          <w:color w:val="000000"/>
          <w:sz w:val="24"/>
          <w:szCs w:val="24"/>
          <w:lang w:val="sk-SK"/>
        </w:rPr>
      </w:pPr>
      <w:r w:rsidRPr="006E1A2C">
        <w:rPr>
          <w:rFonts w:ascii="Times New Roman" w:hAnsi="Times New Roman"/>
          <w:i/>
          <w:iCs/>
          <w:color w:val="000000"/>
          <w:sz w:val="24"/>
          <w:szCs w:val="24"/>
          <w:lang w:val="sk-SK"/>
        </w:rPr>
        <w:t xml:space="preserve">      </w:t>
      </w:r>
    </w:p>
    <w:p w:rsidR="006E1A2C" w:rsidRPr="006E1A2C" w:rsidP="006E1A2C">
      <w:pPr>
        <w:bidi w:val="0"/>
        <w:spacing w:after="0" w:line="240" w:lineRule="auto"/>
        <w:jc w:val="both"/>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A.4. Alternatívne riešenia</w:t>
      </w:r>
    </w:p>
    <w:p w:rsidR="00416F5E" w:rsidRPr="006E1A2C" w:rsidP="006E1A2C">
      <w:pPr>
        <w:widowControl/>
        <w:bidi w:val="0"/>
        <w:spacing w:after="280" w:afterAutospacing="1"/>
        <w:jc w:val="both"/>
        <w:rPr>
          <w:rFonts w:ascii="Times New Roman" w:hAnsi="Times New Roman"/>
          <w:color w:val="000000"/>
          <w:sz w:val="24"/>
          <w:szCs w:val="24"/>
          <w:lang w:val="sk-SK"/>
        </w:rPr>
      </w:pPr>
      <w:r w:rsidR="006E1A2C">
        <w:rPr>
          <w:rFonts w:ascii="Times New Roman" w:hAnsi="Times New Roman"/>
          <w:color w:val="000000"/>
          <w:sz w:val="24"/>
          <w:szCs w:val="24"/>
          <w:lang w:val="sk-SK"/>
        </w:rPr>
        <w:t xml:space="preserve">Na základe charakteru a účelu predložených legislatívnych zmien </w:t>
      </w:r>
      <w:r w:rsidR="007F2849">
        <w:rPr>
          <w:rFonts w:ascii="Times New Roman" w:hAnsi="Times New Roman"/>
          <w:color w:val="000000"/>
          <w:sz w:val="24"/>
          <w:szCs w:val="24"/>
          <w:lang w:val="sk-SK"/>
        </w:rPr>
        <w:t>sa uvažovalo/</w:t>
      </w:r>
      <w:r w:rsidRPr="007F2849" w:rsidR="007F2849">
        <w:rPr>
          <w:rFonts w:ascii="Times New Roman" w:hAnsi="Times New Roman"/>
          <w:color w:val="000000"/>
          <w:sz w:val="24"/>
          <w:szCs w:val="24"/>
          <w:lang w:val="sk-SK"/>
        </w:rPr>
        <w:t xml:space="preserve"> </w:t>
      </w:r>
      <w:r w:rsidR="007F2849">
        <w:rPr>
          <w:rFonts w:ascii="Times New Roman" w:hAnsi="Times New Roman"/>
          <w:color w:val="000000"/>
          <w:sz w:val="24"/>
          <w:szCs w:val="24"/>
          <w:lang w:val="sk-SK"/>
        </w:rPr>
        <w:t>je možné uvažovať</w:t>
      </w:r>
      <w:r w:rsidR="006E1A2C">
        <w:rPr>
          <w:rFonts w:ascii="Times New Roman" w:hAnsi="Times New Roman"/>
          <w:color w:val="000000"/>
          <w:sz w:val="24"/>
          <w:szCs w:val="24"/>
          <w:lang w:val="sk-SK"/>
        </w:rPr>
        <w:t xml:space="preserve"> s alternatívnymi riešeniami </w:t>
      </w:r>
      <w:r>
        <w:rPr>
          <w:rFonts w:ascii="Times New Roman" w:hAnsi="Times New Roman"/>
          <w:color w:val="000000"/>
          <w:sz w:val="24"/>
          <w:szCs w:val="24"/>
          <w:lang w:val="sk-SK"/>
        </w:rPr>
        <w:t>iba v</w:t>
      </w:r>
      <w:r w:rsidR="006E1A2C">
        <w:rPr>
          <w:rFonts w:ascii="Times New Roman" w:hAnsi="Times New Roman"/>
          <w:color w:val="000000"/>
          <w:sz w:val="24"/>
          <w:szCs w:val="24"/>
          <w:lang w:val="sk-SK"/>
        </w:rPr>
        <w:t xml:space="preserve"> súvislosti s vecnými </w:t>
      </w:r>
      <w:r>
        <w:rPr>
          <w:rFonts w:ascii="Times New Roman" w:hAnsi="Times New Roman"/>
          <w:color w:val="000000"/>
          <w:sz w:val="24"/>
          <w:szCs w:val="24"/>
          <w:lang w:val="sk-SK"/>
        </w:rPr>
        <w:t>návrhmi</w:t>
      </w:r>
      <w:r w:rsidR="007F2849">
        <w:rPr>
          <w:rFonts w:ascii="Times New Roman" w:hAnsi="Times New Roman"/>
          <w:color w:val="000000"/>
          <w:sz w:val="24"/>
          <w:szCs w:val="24"/>
          <w:lang w:val="sk-SK"/>
        </w:rPr>
        <w:t xml:space="preserve">, ktorými sú ustanovenie nového </w:t>
      </w:r>
      <w:r>
        <w:rPr>
          <w:rFonts w:ascii="Times New Roman" w:hAnsi="Times New Roman"/>
          <w:color w:val="000000"/>
          <w:sz w:val="24"/>
          <w:szCs w:val="24"/>
          <w:lang w:val="sk-SK"/>
        </w:rPr>
        <w:t>mechanizmu každoročnej valorizácie osobitného príspevku baníkom</w:t>
      </w:r>
      <w:r w:rsidR="005215E8">
        <w:rPr>
          <w:rFonts w:ascii="Times New Roman" w:hAnsi="Times New Roman"/>
          <w:color w:val="000000"/>
          <w:sz w:val="24"/>
          <w:szCs w:val="24"/>
          <w:lang w:val="sk-SK"/>
        </w:rPr>
        <w:t xml:space="preserve"> (ďalej len „osobitný príspevok“)</w:t>
      </w:r>
      <w:r>
        <w:rPr>
          <w:rFonts w:ascii="Times New Roman" w:hAnsi="Times New Roman"/>
          <w:color w:val="000000"/>
          <w:sz w:val="24"/>
          <w:szCs w:val="24"/>
          <w:lang w:val="sk-SK"/>
        </w:rPr>
        <w:t xml:space="preserve"> a nového mechanizmu určovania výšky osobitného príspevku </w:t>
      </w:r>
      <w:r w:rsidR="007F2849">
        <w:rPr>
          <w:rFonts w:ascii="Times New Roman" w:hAnsi="Times New Roman"/>
          <w:color w:val="000000"/>
          <w:sz w:val="24"/>
          <w:szCs w:val="24"/>
          <w:lang w:val="sk-SK"/>
        </w:rPr>
        <w:t xml:space="preserve"> </w:t>
      </w:r>
      <w:r>
        <w:rPr>
          <w:rFonts w:ascii="Times New Roman" w:hAnsi="Times New Roman"/>
          <w:color w:val="000000"/>
          <w:sz w:val="24"/>
          <w:szCs w:val="24"/>
          <w:lang w:val="sk-SK"/>
        </w:rPr>
        <w:t>na základe dĺžky a druhu zamestnania</w:t>
      </w:r>
      <w:r w:rsidR="000B75F6">
        <w:rPr>
          <w:rFonts w:ascii="Times New Roman" w:hAnsi="Times New Roman"/>
          <w:color w:val="000000"/>
          <w:sz w:val="24"/>
          <w:szCs w:val="24"/>
          <w:lang w:val="sk-SK"/>
        </w:rPr>
        <w:t xml:space="preserve"> </w:t>
      </w:r>
      <w:r w:rsidRPr="006E1A2C" w:rsidR="000B75F6">
        <w:rPr>
          <w:rFonts w:ascii="Times New Roman" w:hAnsi="Times New Roman"/>
          <w:color w:val="000000"/>
          <w:sz w:val="24"/>
          <w:szCs w:val="24"/>
          <w:lang w:val="sk-SK"/>
        </w:rPr>
        <w:t>v baníctve so stálym pracoviskom v podzemí v hlbinných baniach na území Slovenskej republiky</w:t>
      </w:r>
      <w:r>
        <w:rPr>
          <w:rFonts w:ascii="Times New Roman" w:hAnsi="Times New Roman"/>
          <w:color w:val="000000"/>
          <w:sz w:val="24"/>
          <w:szCs w:val="24"/>
          <w:lang w:val="sk-SK"/>
        </w:rPr>
        <w:t xml:space="preserve"> (nad základnú podmienku dĺžky obdobia uvedeného zamestnania</w:t>
      </w:r>
      <w:r w:rsidR="0067108C">
        <w:rPr>
          <w:rFonts w:ascii="Times New Roman" w:hAnsi="Times New Roman"/>
          <w:color w:val="000000"/>
          <w:sz w:val="24"/>
          <w:szCs w:val="24"/>
          <w:lang w:val="sk-SK"/>
        </w:rPr>
        <w:t xml:space="preserve">, ktorej výmera </w:t>
      </w:r>
      <w:r w:rsidR="007F2849">
        <w:rPr>
          <w:rFonts w:ascii="Times New Roman" w:hAnsi="Times New Roman"/>
          <w:color w:val="000000"/>
          <w:sz w:val="24"/>
          <w:szCs w:val="24"/>
          <w:lang w:val="sk-SK"/>
        </w:rPr>
        <w:t>sa nemení v porovnaní so aktuálne</w:t>
      </w:r>
      <w:r w:rsidR="0067108C">
        <w:rPr>
          <w:rFonts w:ascii="Times New Roman" w:hAnsi="Times New Roman"/>
          <w:color w:val="000000"/>
          <w:sz w:val="24"/>
          <w:szCs w:val="24"/>
          <w:lang w:val="sk-SK"/>
        </w:rPr>
        <w:t xml:space="preserve"> účinnou právnou úpravou</w:t>
      </w:r>
      <w:r>
        <w:rPr>
          <w:rFonts w:ascii="Times New Roman" w:hAnsi="Times New Roman"/>
          <w:color w:val="000000"/>
          <w:sz w:val="24"/>
          <w:szCs w:val="24"/>
          <w:lang w:val="sk-SK"/>
        </w:rPr>
        <w:t>).</w:t>
      </w:r>
    </w:p>
    <w:p w:rsidR="006E1A2C" w:rsidRPr="006E1A2C" w:rsidP="006E1A2C">
      <w:pPr>
        <w:bidi w:val="0"/>
        <w:spacing w:after="0" w:line="240" w:lineRule="auto"/>
        <w:jc w:val="both"/>
        <w:rPr>
          <w:rFonts w:ascii="Times New Roman" w:hAnsi="Times New Roman"/>
          <w:b/>
          <w:bCs/>
          <w:color w:val="000000"/>
          <w:sz w:val="24"/>
          <w:szCs w:val="24"/>
          <w:lang w:val="sk-SK"/>
        </w:rPr>
      </w:pPr>
    </w:p>
    <w:p w:rsidR="006E1A2C" w:rsidP="006E1A2C">
      <w:pPr>
        <w:bidi w:val="0"/>
        <w:spacing w:after="0" w:line="240" w:lineRule="auto"/>
        <w:jc w:val="both"/>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A.5. Stanovisko gestorov</w:t>
      </w:r>
    </w:p>
    <w:p w:rsidR="006E1A2C" w:rsidP="006E1A2C">
      <w:pPr>
        <w:bidi w:val="0"/>
        <w:spacing w:after="0" w:line="240" w:lineRule="auto"/>
        <w:jc w:val="both"/>
        <w:rPr>
          <w:rFonts w:ascii="Times New Roman" w:hAnsi="Times New Roman"/>
          <w:b/>
          <w:bCs/>
          <w:color w:val="000000"/>
          <w:sz w:val="24"/>
          <w:szCs w:val="24"/>
          <w:lang w:val="sk-SK"/>
        </w:rPr>
      </w:pPr>
    </w:p>
    <w:p w:rsidR="006E1A2C" w:rsidRPr="006E1A2C" w:rsidP="006E1A2C">
      <w:pPr>
        <w:bidi w:val="0"/>
        <w:spacing w:after="0" w:line="240" w:lineRule="auto"/>
        <w:jc w:val="both"/>
        <w:rPr>
          <w:rFonts w:ascii="Times New Roman" w:hAnsi="Times New Roman"/>
          <w:b/>
          <w:bCs/>
          <w:color w:val="000000"/>
          <w:sz w:val="24"/>
          <w:szCs w:val="24"/>
          <w:lang w:val="sk-SK"/>
        </w:rPr>
      </w:pPr>
      <w:r w:rsidRPr="006E1A2C">
        <w:rPr>
          <w:rFonts w:ascii="Times New Roman" w:hAnsi="Times New Roman"/>
          <w:color w:val="000000"/>
          <w:sz w:val="24"/>
          <w:szCs w:val="24"/>
          <w:lang w:val="sk-SK"/>
        </w:rPr>
        <w:t> </w:t>
      </w:r>
    </w:p>
    <w:p w:rsidR="006E1A2C" w:rsidRPr="006E1A2C" w:rsidP="006E1A2C">
      <w:pPr>
        <w:bidi w:val="0"/>
        <w:jc w:val="center"/>
        <w:rPr>
          <w:rFonts w:ascii="Times New Roman" w:hAnsi="Times New Roman"/>
          <w:sz w:val="24"/>
          <w:szCs w:val="24"/>
          <w:lang w:val="sk-SK"/>
        </w:rPr>
      </w:pPr>
      <w:r w:rsidRPr="006E1A2C">
        <w:rPr>
          <w:rFonts w:ascii="Times New Roman" w:hAnsi="Times New Roman"/>
          <w:b/>
          <w:bCs/>
          <w:sz w:val="24"/>
          <w:szCs w:val="24"/>
          <w:lang w:val="sk-SK"/>
        </w:rPr>
        <w:t>Vplyvy na rozpočet verejnej správy,</w:t>
      </w:r>
    </w:p>
    <w:p w:rsidR="006E1A2C" w:rsidRPr="006E1A2C" w:rsidP="006E1A2C">
      <w:pPr>
        <w:bidi w:val="0"/>
        <w:jc w:val="center"/>
        <w:rPr>
          <w:rFonts w:ascii="Times New Roman" w:hAnsi="Times New Roman"/>
          <w:b/>
          <w:bCs/>
          <w:sz w:val="24"/>
          <w:szCs w:val="24"/>
          <w:lang w:val="sk-SK"/>
        </w:rPr>
      </w:pPr>
      <w:r w:rsidRPr="006E1A2C">
        <w:rPr>
          <w:rFonts w:ascii="Times New Roman" w:hAnsi="Times New Roman"/>
          <w:b/>
          <w:bCs/>
          <w:sz w:val="24"/>
          <w:szCs w:val="24"/>
          <w:lang w:val="sk-SK"/>
        </w:rPr>
        <w:t>na zamestnanosť vo verejnej správe a financovanie návrhu</w:t>
      </w:r>
    </w:p>
    <w:p w:rsidR="006E1A2C" w:rsidRPr="006E1A2C" w:rsidP="006E1A2C">
      <w:pPr>
        <w:bidi w:val="0"/>
        <w:rPr>
          <w:rFonts w:ascii="Times New Roman" w:hAnsi="Times New Roman"/>
          <w:b/>
          <w:bCs/>
          <w:sz w:val="24"/>
          <w:szCs w:val="24"/>
          <w:lang w:val="sk-SK"/>
        </w:rPr>
      </w:pPr>
      <w:r w:rsidRPr="006E1A2C">
        <w:rPr>
          <w:rFonts w:ascii="Times New Roman" w:hAnsi="Times New Roman"/>
          <w:b/>
          <w:bCs/>
          <w:sz w:val="24"/>
          <w:szCs w:val="24"/>
          <w:lang w:val="sk-SK"/>
        </w:rPr>
        <w:t>2.1. Zhrnutie vplyvov na rozpočet verejnej správy v návrhu</w:t>
      </w:r>
    </w:p>
    <w:p w:rsidR="006E1A2C" w:rsidRPr="006E1A2C" w:rsidP="006E1A2C">
      <w:pPr>
        <w:pStyle w:val="NormalWeb"/>
        <w:bidi w:val="0"/>
        <w:spacing w:before="0" w:beforeAutospacing="0" w:after="0" w:afterAutospacing="0"/>
        <w:jc w:val="both"/>
        <w:rPr>
          <w:rFonts w:ascii="Times New Roman" w:hAnsi="Times New Roman"/>
          <w:bCs/>
          <w:color w:val="000000"/>
        </w:rPr>
      </w:pPr>
      <w:r w:rsidRPr="006E1A2C">
        <w:rPr>
          <w:rFonts w:ascii="Times New Roman" w:hAnsi="Times New Roman"/>
        </w:rPr>
        <w:tab/>
        <w:t xml:space="preserve">Vplyvy </w:t>
      </w:r>
      <w:r w:rsidRPr="006E1A2C">
        <w:rPr>
          <w:rFonts w:ascii="Times New Roman" w:hAnsi="Times New Roman"/>
          <w:bCs/>
        </w:rPr>
        <w:t xml:space="preserve">návrhu zákona, ktorým sa mení a dopĺňa </w:t>
      </w:r>
      <w:r w:rsidRPr="006E1A2C">
        <w:rPr>
          <w:rFonts w:ascii="Times New Roman" w:hAnsi="Times New Roman"/>
          <w:color w:val="000000"/>
        </w:rPr>
        <w:t xml:space="preserve">zákon č. 98/1987 Zb. o osobitnom príspevku baníkom v znení neskorších predpisov s navrhovanou účinnosťou od 1. januára 2016 </w:t>
      </w:r>
      <w:r w:rsidRPr="006E1A2C">
        <w:rPr>
          <w:rFonts w:ascii="Times New Roman" w:hAnsi="Times New Roman"/>
          <w:bCs/>
        </w:rPr>
        <w:t xml:space="preserve">sa porovnávajú so súčasným právnym stavom – aktuálne účinným zákonom č. </w:t>
      </w:r>
      <w:r w:rsidRPr="006E1A2C">
        <w:rPr>
          <w:rFonts w:ascii="Times New Roman" w:hAnsi="Times New Roman"/>
          <w:color w:val="000000"/>
        </w:rPr>
        <w:t>98/1987 Zb. o osobitnom príspevku baníkom v znení neskorších predpisov (ďalej len „zákon o osobitnom príspevku baníkom“)</w:t>
      </w:r>
      <w:r w:rsidRPr="006E1A2C">
        <w:rPr>
          <w:rFonts w:ascii="Times New Roman" w:hAnsi="Times New Roman"/>
          <w:bCs/>
          <w:color w:val="000000"/>
        </w:rPr>
        <w:t xml:space="preserve">; to znamená, že nasledovné sumy finančného vplyvu sú rozdielom medzi predpokladanými sumami celkových výdavkov vyplývajúcich zo zákona o osobitnom príspevku baníkom v znení navrhovaných zmien a predpokladanými sumami celkových výdavkov aktuálne účinného zákona o osobitnom príspevku baníkom v sledovanom období. </w:t>
      </w:r>
    </w:p>
    <w:tbl>
      <w:tblPr>
        <w:tblStyle w:val="TableNormal"/>
        <w:tblW w:w="9729" w:type="dxa"/>
        <w:tblCellMar>
          <w:left w:w="0" w:type="dxa"/>
          <w:right w:w="0" w:type="dxa"/>
        </w:tblCellMar>
      </w:tblPr>
      <w:tblGrid>
        <w:gridCol w:w="4661"/>
        <w:gridCol w:w="1267"/>
        <w:gridCol w:w="1267"/>
        <w:gridCol w:w="1267"/>
        <w:gridCol w:w="1267"/>
      </w:tblGrid>
      <w:tr>
        <w:tblPrEx>
          <w:tblW w:w="9729"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E1A2C" w:rsidRPr="006E1A2C" w:rsidP="005D00CB">
            <w:pPr>
              <w:bidi w:val="0"/>
              <w:spacing w:line="194" w:lineRule="atLeast"/>
              <w:jc w:val="center"/>
              <w:rPr>
                <w:rFonts w:ascii="Times New Roman" w:hAnsi="Times New Roman"/>
                <w:sz w:val="24"/>
                <w:szCs w:val="24"/>
                <w:lang w:val="sk-SK"/>
              </w:rPr>
            </w:pPr>
            <w:r w:rsidRPr="006E1A2C">
              <w:rPr>
                <w:rFonts w:ascii="Times New Roman" w:hAnsi="Times New Roman"/>
                <w:bCs/>
                <w:color w:val="000000"/>
                <w:sz w:val="24"/>
                <w:szCs w:val="24"/>
                <w:lang w:val="sk-SK"/>
              </w:rPr>
              <w:t xml:space="preserve"> </w:t>
            </w:r>
            <w:r w:rsidRPr="006E1A2C">
              <w:rPr>
                <w:rFonts w:ascii="Times New Roman" w:hAnsi="Times New Roman"/>
                <w:b/>
                <w:bCs/>
                <w:color w:val="FFFFFF"/>
                <w:sz w:val="24"/>
                <w:szCs w:val="24"/>
                <w:lang w:val="sk-SK"/>
              </w:rPr>
              <w:t xml:space="preserve">Vplyvy na </w:t>
            </w:r>
            <w:r w:rsidRPr="006E1A2C">
              <w:rPr>
                <w:rFonts w:ascii="Times New Roman" w:hAnsi="Times New Roman"/>
                <w:b/>
                <w:bCs/>
                <w:sz w:val="24"/>
                <w:szCs w:val="24"/>
                <w:lang w:val="sk-SK"/>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E1A2C" w:rsidRPr="006E1A2C" w:rsidP="005D00CB">
            <w:pPr>
              <w:bidi w:val="0"/>
              <w:spacing w:line="194" w:lineRule="atLeast"/>
              <w:jc w:val="center"/>
              <w:rPr>
                <w:rFonts w:ascii="Times New Roman" w:hAnsi="Times New Roman"/>
                <w:sz w:val="24"/>
                <w:szCs w:val="24"/>
                <w:lang w:val="sk-SK"/>
              </w:rPr>
            </w:pPr>
            <w:r w:rsidRPr="006E1A2C">
              <w:rPr>
                <w:rFonts w:ascii="Times New Roman" w:hAnsi="Times New Roman"/>
                <w:b/>
                <w:bCs/>
                <w:color w:val="FFFFFF"/>
                <w:sz w:val="24"/>
                <w:szCs w:val="24"/>
                <w:lang w:val="sk-SK"/>
              </w:rPr>
              <w:t xml:space="preserve">Vplyv na rozpočet verejnej správy </w:t>
            </w:r>
            <w:r w:rsidRPr="006E1A2C">
              <w:rPr>
                <w:rFonts w:ascii="Times New Roman" w:hAnsi="Times New Roman"/>
                <w:b/>
                <w:bCs/>
                <w:sz w:val="24"/>
                <w:szCs w:val="24"/>
                <w:lang w:val="sk-SK"/>
              </w:rPr>
              <w:t>(v eurách)</w:t>
            </w:r>
          </w:p>
        </w:tc>
      </w:tr>
      <w:tr>
        <w:tblPrEx>
          <w:tblW w:w="9729"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6E1A2C" w:rsidRPr="006E1A2C" w:rsidP="005D00CB">
            <w:pPr>
              <w:bidi w:val="0"/>
              <w:rPr>
                <w:rFonts w:ascii="Times New Roman" w:hAnsi="Times New Roman"/>
                <w:sz w:val="24"/>
                <w:szCs w:val="24"/>
                <w:lang w:val="sk-SK"/>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E1A2C" w:rsidRPr="006E1A2C" w:rsidP="005D00CB">
            <w:pPr>
              <w:bidi w:val="0"/>
              <w:spacing w:line="70" w:lineRule="atLeast"/>
              <w:jc w:val="center"/>
              <w:rPr>
                <w:rFonts w:ascii="Times New Roman" w:hAnsi="Times New Roman"/>
                <w:sz w:val="24"/>
                <w:szCs w:val="24"/>
                <w:lang w:val="sk-SK"/>
              </w:rPr>
            </w:pPr>
            <w:r w:rsidRPr="006E1A2C">
              <w:rPr>
                <w:rFonts w:ascii="Times New Roman" w:hAnsi="Times New Roman"/>
                <w:b/>
                <w:bCs/>
                <w:color w:val="FFFFFF"/>
                <w:sz w:val="24"/>
                <w:szCs w:val="24"/>
                <w:lang w:val="sk-SK"/>
              </w:rPr>
              <w:t>2015</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E1A2C" w:rsidRPr="006E1A2C" w:rsidP="005D00CB">
            <w:pPr>
              <w:bidi w:val="0"/>
              <w:spacing w:line="70" w:lineRule="atLeast"/>
              <w:jc w:val="center"/>
              <w:rPr>
                <w:rFonts w:ascii="Times New Roman" w:hAnsi="Times New Roman"/>
                <w:sz w:val="24"/>
                <w:szCs w:val="24"/>
                <w:lang w:val="sk-SK"/>
              </w:rPr>
            </w:pPr>
            <w:r w:rsidRPr="006E1A2C">
              <w:rPr>
                <w:rFonts w:ascii="Times New Roman" w:hAnsi="Times New Roman"/>
                <w:b/>
                <w:bCs/>
                <w:color w:val="FFFFFF"/>
                <w:sz w:val="24"/>
                <w:szCs w:val="24"/>
                <w:lang w:val="sk-SK"/>
              </w:rPr>
              <w:t>2016</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E1A2C" w:rsidRPr="006E1A2C" w:rsidP="005D00CB">
            <w:pPr>
              <w:bidi w:val="0"/>
              <w:spacing w:line="70" w:lineRule="atLeast"/>
              <w:jc w:val="center"/>
              <w:rPr>
                <w:rFonts w:ascii="Times New Roman" w:hAnsi="Times New Roman"/>
                <w:sz w:val="24"/>
                <w:szCs w:val="24"/>
                <w:lang w:val="sk-SK"/>
              </w:rPr>
            </w:pPr>
            <w:r w:rsidRPr="006E1A2C">
              <w:rPr>
                <w:rFonts w:ascii="Times New Roman" w:hAnsi="Times New Roman"/>
                <w:b/>
                <w:bCs/>
                <w:color w:val="FFFFFF"/>
                <w:sz w:val="24"/>
                <w:szCs w:val="24"/>
                <w:lang w:val="sk-SK"/>
              </w:rPr>
              <w:t>2017</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E1A2C" w:rsidRPr="006E1A2C" w:rsidP="005D00CB">
            <w:pPr>
              <w:bidi w:val="0"/>
              <w:spacing w:line="70" w:lineRule="atLeast"/>
              <w:jc w:val="center"/>
              <w:rPr>
                <w:rFonts w:ascii="Times New Roman" w:hAnsi="Times New Roman"/>
                <w:sz w:val="24"/>
                <w:szCs w:val="24"/>
                <w:lang w:val="sk-SK"/>
              </w:rPr>
            </w:pPr>
            <w:r w:rsidRPr="006E1A2C">
              <w:rPr>
                <w:rFonts w:ascii="Times New Roman" w:hAnsi="Times New Roman"/>
                <w:b/>
                <w:bCs/>
                <w:color w:val="FFFFFF"/>
                <w:sz w:val="24"/>
                <w:szCs w:val="24"/>
                <w:lang w:val="sk-SK"/>
              </w:rPr>
              <w:t>2018</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E1A2C" w:rsidRPr="006E1A2C" w:rsidP="005D00CB">
            <w:pPr>
              <w:bidi w:val="0"/>
              <w:spacing w:line="70" w:lineRule="atLeast"/>
              <w:rPr>
                <w:rFonts w:ascii="Times New Roman" w:hAnsi="Times New Roman"/>
                <w:sz w:val="24"/>
                <w:szCs w:val="24"/>
                <w:lang w:val="sk-SK"/>
              </w:rPr>
            </w:pPr>
            <w:r w:rsidRPr="006E1A2C">
              <w:rPr>
                <w:rFonts w:ascii="Times New Roman" w:hAnsi="Times New Roman"/>
                <w:b/>
                <w:bCs/>
                <w:sz w:val="24"/>
                <w:szCs w:val="24"/>
                <w:lang w:val="sk-SK"/>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r>
      <w:tr>
        <w:tblPrEx>
          <w:tblW w:w="9729"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32" w:lineRule="atLeast"/>
              <w:rPr>
                <w:rFonts w:ascii="Times New Roman" w:hAnsi="Times New Roman"/>
                <w:sz w:val="24"/>
                <w:szCs w:val="24"/>
                <w:lang w:val="sk-SK"/>
              </w:rPr>
            </w:pPr>
            <w:r w:rsidRPr="006E1A2C">
              <w:rPr>
                <w:rFonts w:ascii="Times New Roman" w:hAnsi="Times New Roman"/>
                <w:sz w:val="24"/>
                <w:szCs w:val="24"/>
                <w:lang w:val="sk-SK"/>
              </w:rP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32"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32"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32"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32" w:lineRule="atLeast"/>
              <w:jc w:val="right"/>
              <w:rPr>
                <w:rFonts w:ascii="Times New Roman" w:hAnsi="Times New Roman"/>
                <w:sz w:val="24"/>
                <w:szCs w:val="24"/>
                <w:lang w:val="sk-SK"/>
              </w:rPr>
            </w:pPr>
            <w:r w:rsidRPr="006E1A2C">
              <w:rPr>
                <w:rFonts w:ascii="Times New Roman" w:hAnsi="Times New Roman"/>
                <w:sz w:val="24"/>
                <w:szCs w:val="24"/>
                <w:lang w:val="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rPr>
                <w:rFonts w:ascii="Times New Roman" w:hAnsi="Times New Roman"/>
                <w:sz w:val="24"/>
                <w:szCs w:val="24"/>
                <w:lang w:val="sk-SK"/>
              </w:rPr>
            </w:pPr>
            <w:r w:rsidRPr="006E1A2C">
              <w:rPr>
                <w:rFonts w:ascii="Times New Roman" w:hAnsi="Times New Roman"/>
                <w:b/>
                <w:bCs/>
                <w:i/>
                <w:iCs/>
                <w:sz w:val="24"/>
                <w:szCs w:val="24"/>
                <w:lang w:val="sk-SK"/>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i/>
                <w:iCs/>
                <w:sz w:val="24"/>
                <w:szCs w:val="24"/>
                <w:lang w:val="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i/>
                <w:iCs/>
                <w:sz w:val="24"/>
                <w:szCs w:val="24"/>
                <w:lang w:val="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i/>
                <w:iCs/>
                <w:sz w:val="24"/>
                <w:szCs w:val="24"/>
                <w:lang w:val="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i/>
                <w:iCs/>
                <w:sz w:val="24"/>
                <w:szCs w:val="24"/>
                <w:lang w:val="sk-SK"/>
              </w:rPr>
              <w:t> </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rPr>
                <w:rFonts w:ascii="Times New Roman" w:hAnsi="Times New Roman"/>
                <w:sz w:val="24"/>
                <w:szCs w:val="24"/>
                <w:lang w:val="sk-SK"/>
              </w:rPr>
            </w:pPr>
            <w:r w:rsidRPr="006E1A2C">
              <w:rPr>
                <w:rFonts w:ascii="Times New Roman" w:hAnsi="Times New Roman"/>
                <w:b/>
                <w:bCs/>
                <w:i/>
                <w:iCs/>
                <w:sz w:val="24"/>
                <w:szCs w:val="24"/>
                <w:lang w:val="sk-SK"/>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jc w:val="right"/>
              <w:rPr>
                <w:rFonts w:ascii="Times New Roman" w:hAnsi="Times New Roman"/>
                <w:sz w:val="24"/>
                <w:szCs w:val="24"/>
                <w:lang w:val="sk-SK"/>
              </w:rPr>
            </w:pPr>
            <w:r w:rsidRPr="006E1A2C">
              <w:rPr>
                <w:rFonts w:ascii="Times New Roman" w:hAnsi="Times New Roman"/>
                <w:b/>
                <w:bCs/>
                <w:i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jc w:val="right"/>
              <w:rPr>
                <w:rFonts w:ascii="Times New Roman" w:hAnsi="Times New Roman"/>
                <w:sz w:val="24"/>
                <w:szCs w:val="24"/>
                <w:lang w:val="sk-SK"/>
              </w:rPr>
            </w:pPr>
            <w:r w:rsidRPr="006E1A2C">
              <w:rPr>
                <w:rFonts w:ascii="Times New Roman" w:hAnsi="Times New Roman"/>
                <w:b/>
                <w:bCs/>
                <w:i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jc w:val="right"/>
              <w:rPr>
                <w:rFonts w:ascii="Times New Roman" w:hAnsi="Times New Roman"/>
                <w:sz w:val="24"/>
                <w:szCs w:val="24"/>
                <w:lang w:val="sk-SK"/>
              </w:rPr>
            </w:pPr>
            <w:r w:rsidRPr="006E1A2C">
              <w:rPr>
                <w:rFonts w:ascii="Times New Roman" w:hAnsi="Times New Roman"/>
                <w:b/>
                <w:bCs/>
                <w:i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jc w:val="right"/>
              <w:rPr>
                <w:rFonts w:ascii="Times New Roman" w:hAnsi="Times New Roman"/>
                <w:sz w:val="24"/>
                <w:szCs w:val="24"/>
                <w:lang w:val="sk-SK"/>
              </w:rPr>
            </w:pPr>
            <w:r w:rsidRPr="006E1A2C">
              <w:rPr>
                <w:rFonts w:ascii="Times New Roman" w:hAnsi="Times New Roman"/>
                <w:b/>
                <w:bCs/>
                <w:iCs/>
                <w:sz w:val="24"/>
                <w:szCs w:val="24"/>
                <w:lang w:val="sk-SK"/>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rPr>
                <w:rFonts w:ascii="Times New Roman" w:hAnsi="Times New Roman"/>
                <w:sz w:val="24"/>
                <w:szCs w:val="24"/>
                <w:lang w:val="sk-SK"/>
              </w:rPr>
            </w:pPr>
            <w:r w:rsidRPr="006E1A2C">
              <w:rPr>
                <w:rFonts w:ascii="Times New Roman" w:hAnsi="Times New Roman"/>
                <w:b/>
                <w:bCs/>
                <w:i/>
                <w:iCs/>
                <w:sz w:val="24"/>
                <w:szCs w:val="24"/>
                <w:lang w:val="sk-SK"/>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jc w:val="right"/>
              <w:rPr>
                <w:rFonts w:ascii="Times New Roman" w:hAnsi="Times New Roman"/>
                <w:sz w:val="24"/>
                <w:szCs w:val="24"/>
                <w:lang w:val="sk-SK"/>
              </w:rPr>
            </w:pPr>
            <w:r w:rsidRPr="006E1A2C">
              <w:rPr>
                <w:rFonts w:ascii="Times New Roman" w:hAnsi="Times New Roman"/>
                <w:b/>
                <w:bCs/>
                <w:i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jc w:val="right"/>
              <w:rPr>
                <w:rFonts w:ascii="Times New Roman" w:hAnsi="Times New Roman"/>
                <w:sz w:val="24"/>
                <w:szCs w:val="24"/>
                <w:lang w:val="sk-SK"/>
              </w:rPr>
            </w:pPr>
            <w:r w:rsidRPr="006E1A2C">
              <w:rPr>
                <w:rFonts w:ascii="Times New Roman" w:hAnsi="Times New Roman"/>
                <w:b/>
                <w:bCs/>
                <w:i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jc w:val="right"/>
              <w:rPr>
                <w:rFonts w:ascii="Times New Roman" w:hAnsi="Times New Roman"/>
                <w:sz w:val="24"/>
                <w:szCs w:val="24"/>
                <w:lang w:val="sk-SK"/>
              </w:rPr>
            </w:pPr>
            <w:r w:rsidRPr="006E1A2C">
              <w:rPr>
                <w:rFonts w:ascii="Times New Roman" w:hAnsi="Times New Roman"/>
                <w:b/>
                <w:bCs/>
                <w:i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jc w:val="right"/>
              <w:rPr>
                <w:rFonts w:ascii="Times New Roman" w:hAnsi="Times New Roman"/>
                <w:sz w:val="24"/>
                <w:szCs w:val="24"/>
                <w:lang w:val="sk-SK"/>
              </w:rPr>
            </w:pPr>
            <w:r w:rsidRPr="006E1A2C">
              <w:rPr>
                <w:rFonts w:ascii="Times New Roman" w:hAnsi="Times New Roman"/>
                <w:b/>
                <w:bCs/>
                <w:iCs/>
                <w:sz w:val="24"/>
                <w:szCs w:val="24"/>
                <w:lang w:val="sk-SK"/>
              </w:rPr>
              <w:t>0</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E1A2C" w:rsidRPr="006E1A2C" w:rsidP="005D00CB">
            <w:pPr>
              <w:bidi w:val="0"/>
              <w:spacing w:line="125" w:lineRule="atLeast"/>
              <w:rPr>
                <w:rFonts w:ascii="Times New Roman" w:hAnsi="Times New Roman"/>
                <w:sz w:val="24"/>
                <w:szCs w:val="24"/>
                <w:lang w:val="sk-SK"/>
              </w:rPr>
            </w:pPr>
            <w:r w:rsidRPr="006E1A2C">
              <w:rPr>
                <w:rFonts w:ascii="Times New Roman" w:hAnsi="Times New Roman"/>
                <w:b/>
                <w:bCs/>
                <w:sz w:val="24"/>
                <w:szCs w:val="24"/>
                <w:lang w:val="sk-SK"/>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E1A2C" w:rsidRPr="006E1A2C" w:rsidP="005D00CB">
            <w:pPr>
              <w:bidi w:val="0"/>
              <w:spacing w:line="125"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157 641,71</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244 483,87</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369 105,27</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rPr>
                <w:rFonts w:ascii="Times New Roman" w:hAnsi="Times New Roman"/>
                <w:sz w:val="24"/>
                <w:szCs w:val="24"/>
                <w:lang w:val="sk-SK"/>
              </w:rPr>
            </w:pPr>
            <w:r w:rsidRPr="006E1A2C">
              <w:rPr>
                <w:rFonts w:ascii="Times New Roman" w:hAnsi="Times New Roman"/>
                <w:sz w:val="24"/>
                <w:szCs w:val="24"/>
                <w:lang w:val="sk-SK"/>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sz w:val="24"/>
                <w:szCs w:val="24"/>
                <w:lang w:val="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rPr>
                <w:rFonts w:ascii="Times New Roman" w:hAnsi="Times New Roman"/>
                <w:sz w:val="24"/>
                <w:szCs w:val="24"/>
                <w:lang w:val="sk-SK"/>
              </w:rPr>
            </w:pPr>
            <w:r w:rsidRPr="006E1A2C">
              <w:rPr>
                <w:rFonts w:ascii="Times New Roman" w:hAnsi="Times New Roman"/>
                <w:b/>
                <w:bCs/>
                <w:i/>
                <w:iCs/>
                <w:sz w:val="24"/>
                <w:szCs w:val="24"/>
                <w:lang w:val="sk-SK"/>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i/>
                <w:iCs/>
                <w:sz w:val="24"/>
                <w:szCs w:val="24"/>
                <w:lang w:val="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i/>
                <w:iCs/>
                <w:sz w:val="24"/>
                <w:szCs w:val="24"/>
                <w:lang w:val="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i/>
                <w:iCs/>
                <w:sz w:val="24"/>
                <w:szCs w:val="24"/>
                <w:lang w:val="sk-SK"/>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i/>
                <w:iCs/>
                <w:sz w:val="24"/>
                <w:szCs w:val="24"/>
                <w:lang w:val="sk-SK"/>
              </w:rPr>
              <w:t> </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rPr>
                <w:rFonts w:ascii="Times New Roman" w:hAnsi="Times New Roman"/>
                <w:sz w:val="24"/>
                <w:szCs w:val="24"/>
                <w:lang w:val="sk-SK"/>
              </w:rPr>
            </w:pPr>
            <w:r w:rsidRPr="006E1A2C">
              <w:rPr>
                <w:rFonts w:ascii="Times New Roman" w:hAnsi="Times New Roman"/>
                <w:b/>
                <w:bCs/>
                <w:i/>
                <w:iCs/>
                <w:sz w:val="24"/>
                <w:szCs w:val="24"/>
                <w:lang w:val="sk-SK"/>
              </w:rPr>
              <w:t xml:space="preserve">- vplyv na ŠR </w:t>
            </w:r>
            <w:r w:rsidRPr="006E1A2C">
              <w:rPr>
                <w:rFonts w:ascii="Times New Roman" w:hAnsi="Times New Roman"/>
                <w:color w:val="000000"/>
                <w:sz w:val="24"/>
                <w:szCs w:val="24"/>
                <w:lang w:val="sk-SK"/>
              </w:rPr>
              <w:t>(rozpočtová kapitola MH SR)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i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157 641,71</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244 483,87</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369 105,27</w:t>
            </w:r>
          </w:p>
        </w:tc>
      </w:tr>
      <w:tr>
        <w:tblPrEx>
          <w:tblW w:w="9729"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rPr>
                <w:rFonts w:ascii="Times New Roman" w:hAnsi="Times New Roman"/>
                <w:sz w:val="24"/>
                <w:szCs w:val="24"/>
                <w:lang w:val="sk-SK"/>
              </w:rPr>
            </w:pPr>
            <w:r w:rsidRPr="006E1A2C">
              <w:rPr>
                <w:rFonts w:ascii="Times New Roman" w:hAnsi="Times New Roman"/>
                <w:b/>
                <w:bCs/>
                <w:i/>
                <w:iCs/>
                <w:sz w:val="24"/>
                <w:szCs w:val="24"/>
                <w:lang w:val="sk-SK"/>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jc w:val="right"/>
              <w:rPr>
                <w:rFonts w:ascii="Times New Roman" w:hAnsi="Times New Roman"/>
                <w:sz w:val="24"/>
                <w:szCs w:val="24"/>
                <w:lang w:val="sk-SK"/>
              </w:rPr>
            </w:pPr>
            <w:r w:rsidRPr="006E1A2C">
              <w:rPr>
                <w:rFonts w:ascii="Times New Roman" w:hAnsi="Times New Roman"/>
                <w:b/>
                <w:bCs/>
                <w:i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jc w:val="right"/>
              <w:rPr>
                <w:rFonts w:ascii="Times New Roman" w:hAnsi="Times New Roman"/>
                <w:sz w:val="24"/>
                <w:szCs w:val="24"/>
                <w:lang w:val="sk-SK"/>
              </w:rPr>
            </w:pPr>
            <w:r w:rsidRPr="006E1A2C">
              <w:rPr>
                <w:rFonts w:ascii="Times New Roman" w:hAnsi="Times New Roman"/>
                <w:b/>
                <w:bCs/>
                <w:i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jc w:val="right"/>
              <w:rPr>
                <w:rFonts w:ascii="Times New Roman" w:hAnsi="Times New Roman"/>
                <w:sz w:val="24"/>
                <w:szCs w:val="24"/>
                <w:lang w:val="sk-SK"/>
              </w:rPr>
            </w:pPr>
            <w:r w:rsidRPr="006E1A2C">
              <w:rPr>
                <w:rFonts w:ascii="Times New Roman" w:hAnsi="Times New Roman"/>
                <w:b/>
                <w:bCs/>
                <w:i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25" w:lineRule="atLeast"/>
              <w:jc w:val="right"/>
              <w:rPr>
                <w:rFonts w:ascii="Times New Roman" w:hAnsi="Times New Roman"/>
                <w:sz w:val="24"/>
                <w:szCs w:val="24"/>
                <w:lang w:val="sk-SK"/>
              </w:rPr>
            </w:pPr>
            <w:r w:rsidRPr="006E1A2C">
              <w:rPr>
                <w:rFonts w:ascii="Times New Roman" w:hAnsi="Times New Roman"/>
                <w:b/>
                <w:bCs/>
                <w:iCs/>
                <w:sz w:val="24"/>
                <w:szCs w:val="24"/>
                <w:lang w:val="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E1A2C" w:rsidRPr="006E1A2C" w:rsidP="005D00CB">
            <w:pPr>
              <w:bidi w:val="0"/>
              <w:spacing w:line="70" w:lineRule="atLeast"/>
              <w:rPr>
                <w:rFonts w:ascii="Times New Roman" w:hAnsi="Times New Roman"/>
                <w:sz w:val="24"/>
                <w:szCs w:val="24"/>
                <w:lang w:val="sk-SK"/>
              </w:rPr>
            </w:pPr>
            <w:r w:rsidRPr="006E1A2C">
              <w:rPr>
                <w:rFonts w:ascii="Times New Roman" w:hAnsi="Times New Roman"/>
                <w:b/>
                <w:bCs/>
                <w:sz w:val="24"/>
                <w:szCs w:val="24"/>
                <w:lang w:val="sk-SK"/>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rPr>
                <w:rFonts w:ascii="Times New Roman" w:hAnsi="Times New Roman"/>
                <w:sz w:val="24"/>
                <w:szCs w:val="24"/>
                <w:lang w:val="sk-SK"/>
              </w:rPr>
            </w:pPr>
            <w:r w:rsidRPr="006E1A2C">
              <w:rPr>
                <w:rFonts w:ascii="Times New Roman" w:hAnsi="Times New Roman"/>
                <w:b/>
                <w:bCs/>
                <w:i/>
                <w:iCs/>
                <w:sz w:val="24"/>
                <w:szCs w:val="24"/>
                <w:lang w:val="sk-SK"/>
              </w:rPr>
              <w:t>- z toho vplyv na ŠR</w:t>
            </w:r>
            <w:r w:rsidRPr="006E1A2C">
              <w:rPr>
                <w:rFonts w:ascii="Times New Roman" w:hAnsi="Times New Roman"/>
                <w:sz w:val="24"/>
                <w:szCs w:val="24"/>
                <w:lang w:val="sk-SK"/>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sz w:val="24"/>
                <w:szCs w:val="24"/>
                <w:lang w:val="sk-SK"/>
              </w:rPr>
              <w:t>0</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E1A2C" w:rsidRPr="006E1A2C" w:rsidP="005D00CB">
            <w:pPr>
              <w:bidi w:val="0"/>
              <w:spacing w:line="70" w:lineRule="atLeast"/>
              <w:rPr>
                <w:rFonts w:ascii="Times New Roman" w:hAnsi="Times New Roman"/>
                <w:sz w:val="24"/>
                <w:szCs w:val="24"/>
                <w:lang w:val="sk-SK"/>
              </w:rPr>
            </w:pPr>
            <w:r w:rsidRPr="006E1A2C">
              <w:rPr>
                <w:rFonts w:ascii="Times New Roman" w:hAnsi="Times New Roman"/>
                <w:b/>
                <w:bCs/>
                <w:sz w:val="24"/>
                <w:szCs w:val="24"/>
                <w:lang w:val="sk-SK"/>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157 641,71</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244 483,87</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369 105,27</w:t>
            </w:r>
          </w:p>
        </w:tc>
      </w:tr>
      <w:tr>
        <w:tblPrEx>
          <w:tblW w:w="9729"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rPr>
                <w:rFonts w:ascii="Times New Roman" w:hAnsi="Times New Roman"/>
                <w:sz w:val="24"/>
                <w:szCs w:val="24"/>
                <w:lang w:val="sk-SK"/>
              </w:rPr>
            </w:pPr>
            <w:r w:rsidRPr="006E1A2C">
              <w:rPr>
                <w:rFonts w:ascii="Times New Roman" w:hAnsi="Times New Roman"/>
                <w:sz w:val="24"/>
                <w:szCs w:val="24"/>
                <w:lang w:val="sk-SK"/>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sz w:val="24"/>
                <w:szCs w:val="24"/>
                <w:lang w:val="sk-SK"/>
              </w:rPr>
              <w:t>0</w:t>
            </w:r>
          </w:p>
        </w:tc>
      </w:tr>
      <w:tr>
        <w:tblPrEx>
          <w:tblW w:w="9729" w:type="dxa"/>
          <w:tblCellMar>
            <w:left w:w="0" w:type="dxa"/>
            <w:right w:w="0" w:type="dxa"/>
          </w:tblCellMar>
        </w:tblPrEx>
        <w:tc>
          <w:tcPr>
            <w:tcW w:w="4661" w:type="dxa"/>
            <w:tcBorders>
              <w:top w:val="nil"/>
              <w:left w:val="nil"/>
              <w:bottom w:val="nil"/>
              <w:right w:val="nil"/>
            </w:tcBorders>
            <w:textDirection w:val="lrTb"/>
            <w:vAlign w:val="center"/>
          </w:tcPr>
          <w:p w:rsidR="006E1A2C" w:rsidRPr="006E1A2C" w:rsidP="005D00CB">
            <w:pPr>
              <w:bidi w:val="0"/>
              <w:rPr>
                <w:rFonts w:ascii="Times New Roman" w:hAnsi="Times New Roman"/>
                <w:sz w:val="24"/>
                <w:szCs w:val="24"/>
                <w:lang w:val="sk-SK"/>
              </w:rPr>
            </w:pPr>
          </w:p>
        </w:tc>
        <w:tc>
          <w:tcPr>
            <w:tcW w:w="1267" w:type="dxa"/>
            <w:tcBorders>
              <w:top w:val="nil"/>
              <w:left w:val="nil"/>
              <w:bottom w:val="nil"/>
              <w:right w:val="nil"/>
            </w:tcBorders>
            <w:textDirection w:val="lrTb"/>
            <w:vAlign w:val="center"/>
          </w:tcPr>
          <w:p w:rsidR="006E1A2C" w:rsidRPr="006E1A2C" w:rsidP="005D00CB">
            <w:pPr>
              <w:bidi w:val="0"/>
              <w:rPr>
                <w:rFonts w:ascii="Times New Roman" w:hAnsi="Times New Roman"/>
                <w:sz w:val="24"/>
                <w:szCs w:val="24"/>
                <w:lang w:val="sk-SK"/>
              </w:rPr>
            </w:pPr>
          </w:p>
        </w:tc>
        <w:tc>
          <w:tcPr>
            <w:tcW w:w="1267" w:type="dxa"/>
            <w:tcBorders>
              <w:top w:val="nil"/>
              <w:left w:val="nil"/>
              <w:bottom w:val="nil"/>
              <w:right w:val="nil"/>
            </w:tcBorders>
            <w:textDirection w:val="lrTb"/>
            <w:vAlign w:val="center"/>
          </w:tcPr>
          <w:p w:rsidR="006E1A2C" w:rsidRPr="006E1A2C" w:rsidP="005D00CB">
            <w:pPr>
              <w:bidi w:val="0"/>
              <w:rPr>
                <w:rFonts w:ascii="Times New Roman" w:hAnsi="Times New Roman"/>
                <w:sz w:val="24"/>
                <w:szCs w:val="24"/>
                <w:lang w:val="sk-SK"/>
              </w:rPr>
            </w:pPr>
          </w:p>
        </w:tc>
        <w:tc>
          <w:tcPr>
            <w:tcW w:w="1267" w:type="dxa"/>
            <w:tcBorders>
              <w:top w:val="nil"/>
              <w:left w:val="nil"/>
              <w:bottom w:val="nil"/>
              <w:right w:val="nil"/>
            </w:tcBorders>
            <w:textDirection w:val="lrTb"/>
            <w:vAlign w:val="center"/>
          </w:tcPr>
          <w:p w:rsidR="006E1A2C" w:rsidRPr="006E1A2C" w:rsidP="005D00CB">
            <w:pPr>
              <w:bidi w:val="0"/>
              <w:rPr>
                <w:rFonts w:ascii="Times New Roman" w:hAnsi="Times New Roman"/>
                <w:sz w:val="24"/>
                <w:szCs w:val="24"/>
                <w:lang w:val="sk-SK"/>
              </w:rPr>
            </w:pPr>
          </w:p>
        </w:tc>
        <w:tc>
          <w:tcPr>
            <w:tcW w:w="1267" w:type="dxa"/>
            <w:tcBorders>
              <w:top w:val="nil"/>
              <w:left w:val="nil"/>
              <w:bottom w:val="nil"/>
              <w:right w:val="nil"/>
            </w:tcBorders>
            <w:textDirection w:val="lrTb"/>
            <w:vAlign w:val="center"/>
          </w:tcPr>
          <w:p w:rsidR="006E1A2C" w:rsidRPr="006E1A2C" w:rsidP="005D00CB">
            <w:pPr>
              <w:bidi w:val="0"/>
              <w:rPr>
                <w:rFonts w:ascii="Times New Roman" w:hAnsi="Times New Roman"/>
                <w:sz w:val="24"/>
                <w:szCs w:val="24"/>
                <w:lang w:val="sk-SK"/>
              </w:rPr>
            </w:pPr>
          </w:p>
        </w:tc>
      </w:tr>
    </w:tbl>
    <w:p w:rsidR="006E1A2C" w:rsidRPr="006E1A2C" w:rsidP="006E1A2C">
      <w:pPr>
        <w:bidi w:val="0"/>
        <w:rPr>
          <w:rFonts w:ascii="Times New Roman" w:hAnsi="Times New Roman"/>
          <w:sz w:val="24"/>
          <w:szCs w:val="24"/>
          <w:lang w:val="sk-SK"/>
        </w:rPr>
      </w:pPr>
      <w:r w:rsidRPr="006E1A2C">
        <w:rPr>
          <w:rFonts w:ascii="Times New Roman" w:hAnsi="Times New Roman"/>
          <w:b/>
          <w:bCs/>
          <w:sz w:val="24"/>
          <w:szCs w:val="24"/>
          <w:lang w:val="sk-SK"/>
        </w:rPr>
        <w:t>2.2. Financovanie návrhu</w:t>
      </w:r>
    </w:p>
    <w:tbl>
      <w:tblPr>
        <w:tblStyle w:val="TableNormal"/>
        <w:tblW w:w="9360" w:type="dxa"/>
        <w:tblCellMar>
          <w:left w:w="0" w:type="dxa"/>
          <w:right w:w="0" w:type="dxa"/>
        </w:tblCellMar>
      </w:tblPr>
      <w:tblGrid>
        <w:gridCol w:w="4077"/>
        <w:gridCol w:w="1212"/>
        <w:gridCol w:w="1357"/>
        <w:gridCol w:w="1357"/>
        <w:gridCol w:w="1357"/>
      </w:tblGrid>
      <w:tr>
        <w:tblPrEx>
          <w:tblW w:w="9360" w:type="dxa"/>
          <w:tblCellMar>
            <w:left w:w="0" w:type="dxa"/>
            <w:right w:w="0" w:type="dxa"/>
          </w:tblCellMar>
        </w:tblPrEx>
        <w:trPr>
          <w:trHeight w:val="70"/>
        </w:trPr>
        <w:tc>
          <w:tcPr>
            <w:tcW w:w="4077"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E1A2C" w:rsidRPr="006E1A2C" w:rsidP="005D00CB">
            <w:pPr>
              <w:bidi w:val="0"/>
              <w:spacing w:line="70" w:lineRule="atLeast"/>
              <w:jc w:val="center"/>
              <w:rPr>
                <w:rFonts w:ascii="Times New Roman" w:hAnsi="Times New Roman"/>
                <w:sz w:val="24"/>
                <w:szCs w:val="24"/>
                <w:lang w:val="sk-SK"/>
              </w:rPr>
            </w:pPr>
            <w:r w:rsidRPr="006E1A2C">
              <w:rPr>
                <w:rFonts w:ascii="Times New Roman" w:hAnsi="Times New Roman"/>
                <w:b/>
                <w:bCs/>
                <w:color w:val="FFFFFF"/>
                <w:sz w:val="24"/>
                <w:szCs w:val="24"/>
                <w:lang w:val="sk-SK"/>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E1A2C" w:rsidRPr="006E1A2C" w:rsidP="005D00CB">
            <w:pPr>
              <w:bidi w:val="0"/>
              <w:spacing w:line="70" w:lineRule="atLeast"/>
              <w:jc w:val="center"/>
              <w:rPr>
                <w:rFonts w:ascii="Times New Roman" w:hAnsi="Times New Roman"/>
                <w:sz w:val="24"/>
                <w:szCs w:val="24"/>
                <w:lang w:val="sk-SK"/>
              </w:rPr>
            </w:pPr>
            <w:r w:rsidRPr="006E1A2C">
              <w:rPr>
                <w:rFonts w:ascii="Times New Roman" w:hAnsi="Times New Roman"/>
                <w:b/>
                <w:bCs/>
                <w:color w:val="FFFFFF"/>
                <w:sz w:val="24"/>
                <w:szCs w:val="24"/>
                <w:lang w:val="sk-SK"/>
              </w:rPr>
              <w:t xml:space="preserve">Vplyv na rozpočet verejnej správy </w:t>
            </w:r>
            <w:r w:rsidRPr="006E1A2C">
              <w:rPr>
                <w:rFonts w:ascii="Times New Roman" w:hAnsi="Times New Roman"/>
                <w:b/>
                <w:bCs/>
                <w:sz w:val="24"/>
                <w:szCs w:val="24"/>
                <w:lang w:val="sk-SK"/>
              </w:rPr>
              <w:t>(v eurách)</w:t>
            </w:r>
          </w:p>
        </w:tc>
      </w:tr>
      <w:tr>
        <w:tblPrEx>
          <w:tblW w:w="9360"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6E1A2C" w:rsidRPr="006E1A2C" w:rsidP="005D00CB">
            <w:pPr>
              <w:bidi w:val="0"/>
              <w:rPr>
                <w:rFonts w:ascii="Times New Roman" w:hAnsi="Times New Roman"/>
                <w:sz w:val="24"/>
                <w:szCs w:val="24"/>
                <w:lang w:val="sk-SK"/>
              </w:rPr>
            </w:pPr>
          </w:p>
        </w:tc>
        <w:tc>
          <w:tcPr>
            <w:tcW w:w="1212"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E1A2C" w:rsidRPr="006E1A2C" w:rsidP="005D00CB">
            <w:pPr>
              <w:bidi w:val="0"/>
              <w:spacing w:line="70" w:lineRule="atLeast"/>
              <w:jc w:val="center"/>
              <w:rPr>
                <w:rFonts w:ascii="Times New Roman" w:hAnsi="Times New Roman"/>
                <w:sz w:val="24"/>
                <w:szCs w:val="24"/>
                <w:lang w:val="sk-SK"/>
              </w:rPr>
            </w:pPr>
            <w:r w:rsidRPr="006E1A2C">
              <w:rPr>
                <w:rFonts w:ascii="Times New Roman" w:hAnsi="Times New Roman"/>
                <w:b/>
                <w:bCs/>
                <w:color w:val="FFFFFF"/>
                <w:sz w:val="24"/>
                <w:szCs w:val="24"/>
                <w:lang w:val="sk-SK"/>
              </w:rPr>
              <w:t>2015</w:t>
            </w:r>
          </w:p>
        </w:tc>
        <w:tc>
          <w:tcPr>
            <w:tcW w:w="135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E1A2C" w:rsidRPr="006E1A2C" w:rsidP="005D00CB">
            <w:pPr>
              <w:bidi w:val="0"/>
              <w:spacing w:line="70" w:lineRule="atLeast"/>
              <w:jc w:val="center"/>
              <w:rPr>
                <w:rFonts w:ascii="Times New Roman" w:hAnsi="Times New Roman"/>
                <w:sz w:val="24"/>
                <w:szCs w:val="24"/>
                <w:lang w:val="sk-SK"/>
              </w:rPr>
            </w:pPr>
            <w:r w:rsidRPr="006E1A2C">
              <w:rPr>
                <w:rFonts w:ascii="Times New Roman" w:hAnsi="Times New Roman"/>
                <w:b/>
                <w:bCs/>
                <w:color w:val="FFFFFF"/>
                <w:sz w:val="24"/>
                <w:szCs w:val="24"/>
                <w:lang w:val="sk-SK"/>
              </w:rPr>
              <w:t>2016</w:t>
            </w:r>
          </w:p>
        </w:tc>
        <w:tc>
          <w:tcPr>
            <w:tcW w:w="135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E1A2C" w:rsidRPr="006E1A2C" w:rsidP="005D00CB">
            <w:pPr>
              <w:bidi w:val="0"/>
              <w:spacing w:line="70" w:lineRule="atLeast"/>
              <w:jc w:val="center"/>
              <w:rPr>
                <w:rFonts w:ascii="Times New Roman" w:hAnsi="Times New Roman"/>
                <w:sz w:val="24"/>
                <w:szCs w:val="24"/>
                <w:lang w:val="sk-SK"/>
              </w:rPr>
            </w:pPr>
            <w:r w:rsidRPr="006E1A2C">
              <w:rPr>
                <w:rFonts w:ascii="Times New Roman" w:hAnsi="Times New Roman"/>
                <w:b/>
                <w:bCs/>
                <w:color w:val="FFFFFF"/>
                <w:sz w:val="24"/>
                <w:szCs w:val="24"/>
                <w:lang w:val="sk-SK"/>
              </w:rPr>
              <w:t>2017</w:t>
            </w:r>
          </w:p>
        </w:tc>
        <w:tc>
          <w:tcPr>
            <w:tcW w:w="135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6E1A2C" w:rsidRPr="006E1A2C" w:rsidP="005D00CB">
            <w:pPr>
              <w:bidi w:val="0"/>
              <w:spacing w:line="70" w:lineRule="atLeast"/>
              <w:jc w:val="center"/>
              <w:rPr>
                <w:rFonts w:ascii="Times New Roman" w:hAnsi="Times New Roman"/>
                <w:sz w:val="24"/>
                <w:szCs w:val="24"/>
                <w:lang w:val="sk-SK"/>
              </w:rPr>
            </w:pPr>
            <w:r w:rsidRPr="006E1A2C">
              <w:rPr>
                <w:rFonts w:ascii="Times New Roman" w:hAnsi="Times New Roman"/>
                <w:b/>
                <w:bCs/>
                <w:color w:val="FFFFFF"/>
                <w:sz w:val="24"/>
                <w:szCs w:val="24"/>
                <w:lang w:val="sk-SK"/>
              </w:rPr>
              <w:t>2018</w:t>
            </w:r>
          </w:p>
        </w:tc>
      </w:tr>
      <w:tr>
        <w:tblPrEx>
          <w:tblW w:w="9360" w:type="dxa"/>
          <w:tblCellMar>
            <w:left w:w="0" w:type="dxa"/>
            <w:right w:w="0" w:type="dxa"/>
          </w:tblCellMar>
        </w:tblPrEx>
        <w:trPr>
          <w:trHeight w:val="70"/>
        </w:trPr>
        <w:tc>
          <w:tcPr>
            <w:tcW w:w="4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rPr>
                <w:rFonts w:ascii="Times New Roman" w:hAnsi="Times New Roman"/>
                <w:sz w:val="24"/>
                <w:szCs w:val="24"/>
                <w:lang w:val="sk-SK"/>
              </w:rPr>
            </w:pPr>
            <w:r w:rsidRPr="006E1A2C">
              <w:rPr>
                <w:rFonts w:ascii="Times New Roman" w:hAnsi="Times New Roman"/>
                <w:b/>
                <w:bCs/>
                <w:sz w:val="24"/>
                <w:szCs w:val="24"/>
                <w:lang w:val="sk-SK"/>
              </w:rPr>
              <w:t>Celkový vplyv na rozpočet verejnej správy ( - príjmy, + výdavky)</w:t>
            </w:r>
          </w:p>
        </w:tc>
        <w:tc>
          <w:tcPr>
            <w:tcW w:w="12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+157 641,71</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+244 483,87</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+369 105,27</w:t>
            </w:r>
          </w:p>
        </w:tc>
      </w:tr>
      <w:tr>
        <w:tblPrEx>
          <w:tblW w:w="9360" w:type="dxa"/>
          <w:tblCellMar>
            <w:left w:w="0" w:type="dxa"/>
            <w:right w:w="0" w:type="dxa"/>
          </w:tblCellMar>
        </w:tblPrEx>
        <w:trPr>
          <w:trHeight w:val="70"/>
        </w:trPr>
        <w:tc>
          <w:tcPr>
            <w:tcW w:w="4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rPr>
                <w:rFonts w:ascii="Times New Roman" w:hAnsi="Times New Roman"/>
                <w:sz w:val="24"/>
                <w:szCs w:val="24"/>
                <w:lang w:val="sk-SK"/>
              </w:rPr>
            </w:pPr>
            <w:r w:rsidRPr="006E1A2C">
              <w:rPr>
                <w:rFonts w:ascii="Times New Roman" w:hAnsi="Times New Roman"/>
                <w:sz w:val="24"/>
                <w:szCs w:val="24"/>
                <w:lang w:val="sk-SK"/>
              </w:rPr>
              <w:t xml:space="preserve"> z toho vplyv na ŠR </w:t>
            </w:r>
            <w:r w:rsidRPr="006E1A2C">
              <w:rPr>
                <w:rFonts w:ascii="Times New Roman" w:hAnsi="Times New Roman"/>
                <w:color w:val="000000"/>
                <w:sz w:val="24"/>
                <w:szCs w:val="24"/>
                <w:lang w:val="sk-SK"/>
              </w:rPr>
              <w:t>(kapitola MH SR)</w:t>
            </w:r>
          </w:p>
        </w:tc>
        <w:tc>
          <w:tcPr>
            <w:tcW w:w="12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157 641,71</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244 483,87</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369 105,27</w:t>
            </w:r>
          </w:p>
        </w:tc>
      </w:tr>
      <w:tr>
        <w:tblPrEx>
          <w:tblW w:w="9360" w:type="dxa"/>
          <w:tblCellMar>
            <w:left w:w="0" w:type="dxa"/>
            <w:right w:w="0" w:type="dxa"/>
          </w:tblCellMar>
        </w:tblPrEx>
        <w:trPr>
          <w:trHeight w:val="151"/>
        </w:trPr>
        <w:tc>
          <w:tcPr>
            <w:tcW w:w="4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51" w:lineRule="atLeast"/>
              <w:rPr>
                <w:rFonts w:ascii="Times New Roman" w:hAnsi="Times New Roman"/>
                <w:sz w:val="24"/>
                <w:szCs w:val="24"/>
                <w:lang w:val="sk-SK"/>
              </w:rPr>
            </w:pPr>
            <w:r w:rsidRPr="006E1A2C">
              <w:rPr>
                <w:rFonts w:ascii="Times New Roman" w:hAnsi="Times New Roman"/>
                <w:sz w:val="24"/>
                <w:szCs w:val="24"/>
                <w:lang w:val="sk-SK"/>
              </w:rPr>
              <w:t>  financovanie zabezpečené v rozpočte</w:t>
            </w:r>
          </w:p>
        </w:tc>
        <w:tc>
          <w:tcPr>
            <w:tcW w:w="12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51"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157 641,71</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244 483,87</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bottom"/>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369 105,27</w:t>
            </w:r>
          </w:p>
        </w:tc>
      </w:tr>
      <w:tr>
        <w:tblPrEx>
          <w:tblW w:w="9360" w:type="dxa"/>
          <w:tblCellMar>
            <w:left w:w="0" w:type="dxa"/>
            <w:right w:w="0" w:type="dxa"/>
          </w:tblCellMar>
        </w:tblPrEx>
        <w:trPr>
          <w:trHeight w:val="135"/>
        </w:trPr>
        <w:tc>
          <w:tcPr>
            <w:tcW w:w="4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35" w:lineRule="atLeast"/>
              <w:rPr>
                <w:rFonts w:ascii="Times New Roman" w:hAnsi="Times New Roman"/>
                <w:sz w:val="24"/>
                <w:szCs w:val="24"/>
                <w:lang w:val="sk-SK"/>
              </w:rPr>
            </w:pPr>
            <w:r w:rsidRPr="006E1A2C">
              <w:rPr>
                <w:rFonts w:ascii="Times New Roman" w:hAnsi="Times New Roman"/>
                <w:sz w:val="24"/>
                <w:szCs w:val="24"/>
                <w:lang w:val="sk-SK"/>
              </w:rPr>
              <w:t>  ostatné zdroje financovania</w:t>
            </w:r>
          </w:p>
        </w:tc>
        <w:tc>
          <w:tcPr>
            <w:tcW w:w="12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35"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35"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35" w:lineRule="atLeast"/>
              <w:jc w:val="right"/>
              <w:rPr>
                <w:rFonts w:ascii="Times New Roman" w:hAnsi="Times New Roman"/>
                <w:sz w:val="24"/>
                <w:szCs w:val="24"/>
                <w:lang w:val="sk-SK"/>
              </w:rPr>
            </w:pPr>
            <w:r w:rsidRPr="006E1A2C">
              <w:rPr>
                <w:rFonts w:ascii="Times New Roman" w:hAnsi="Times New Roman"/>
                <w:sz w:val="24"/>
                <w:szCs w:val="24"/>
                <w:lang w:val="sk-SK"/>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135" w:lineRule="atLeast"/>
              <w:jc w:val="right"/>
              <w:rPr>
                <w:rFonts w:ascii="Times New Roman" w:hAnsi="Times New Roman"/>
                <w:sz w:val="24"/>
                <w:szCs w:val="24"/>
                <w:lang w:val="sk-SK"/>
              </w:rPr>
            </w:pPr>
            <w:r w:rsidRPr="006E1A2C">
              <w:rPr>
                <w:rFonts w:ascii="Times New Roman" w:hAnsi="Times New Roman"/>
                <w:sz w:val="24"/>
                <w:szCs w:val="24"/>
                <w:lang w:val="sk-SK"/>
              </w:rPr>
              <w:t>0</w:t>
            </w:r>
          </w:p>
        </w:tc>
      </w:tr>
      <w:tr>
        <w:tblPrEx>
          <w:tblW w:w="9360" w:type="dxa"/>
          <w:tblCellMar>
            <w:left w:w="0" w:type="dxa"/>
            <w:right w:w="0" w:type="dxa"/>
          </w:tblCellMar>
        </w:tblPrEx>
        <w:trPr>
          <w:trHeight w:val="70"/>
        </w:trPr>
        <w:tc>
          <w:tcPr>
            <w:tcW w:w="40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rPr>
                <w:rFonts w:ascii="Times New Roman" w:hAnsi="Times New Roman"/>
                <w:sz w:val="24"/>
                <w:szCs w:val="24"/>
                <w:lang w:val="sk-SK"/>
              </w:rPr>
            </w:pPr>
            <w:r w:rsidRPr="006E1A2C">
              <w:rPr>
                <w:rFonts w:ascii="Times New Roman" w:hAnsi="Times New Roman"/>
                <w:b/>
                <w:bCs/>
                <w:sz w:val="24"/>
                <w:szCs w:val="24"/>
                <w:lang w:val="sk-SK"/>
              </w:rPr>
              <w:t>Rozpočtovo nekrytý vplyv / úspora</w:t>
            </w:r>
          </w:p>
        </w:tc>
        <w:tc>
          <w:tcPr>
            <w:tcW w:w="12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6E1A2C" w:rsidRPr="006E1A2C" w:rsidP="005D00CB">
            <w:pPr>
              <w:bidi w:val="0"/>
              <w:spacing w:line="70" w:lineRule="atLeast"/>
              <w:jc w:val="right"/>
              <w:rPr>
                <w:rFonts w:ascii="Times New Roman" w:hAnsi="Times New Roman"/>
                <w:sz w:val="24"/>
                <w:szCs w:val="24"/>
                <w:lang w:val="sk-SK"/>
              </w:rPr>
            </w:pPr>
            <w:r w:rsidRPr="006E1A2C">
              <w:rPr>
                <w:rFonts w:ascii="Times New Roman" w:hAnsi="Times New Roman"/>
                <w:b/>
                <w:bCs/>
                <w:sz w:val="24"/>
                <w:szCs w:val="24"/>
                <w:lang w:val="sk-SK"/>
              </w:rPr>
              <w:t>0</w:t>
            </w:r>
          </w:p>
        </w:tc>
      </w:tr>
      <w:tr>
        <w:tblPrEx>
          <w:tblW w:w="9360" w:type="dxa"/>
          <w:tblCellMar>
            <w:left w:w="0" w:type="dxa"/>
            <w:right w:w="0" w:type="dxa"/>
          </w:tblCellMar>
        </w:tblPrEx>
        <w:tc>
          <w:tcPr>
            <w:tcW w:w="4077" w:type="dxa"/>
            <w:tcBorders>
              <w:top w:val="nil"/>
              <w:left w:val="nil"/>
              <w:bottom w:val="nil"/>
              <w:right w:val="nil"/>
            </w:tcBorders>
            <w:textDirection w:val="lrTb"/>
            <w:vAlign w:val="center"/>
          </w:tcPr>
          <w:p w:rsidR="006E1A2C" w:rsidRPr="006E1A2C" w:rsidP="005D00CB">
            <w:pPr>
              <w:bidi w:val="0"/>
              <w:rPr>
                <w:rFonts w:ascii="Times New Roman" w:hAnsi="Times New Roman"/>
                <w:sz w:val="24"/>
                <w:szCs w:val="24"/>
                <w:lang w:val="sk-SK"/>
              </w:rPr>
            </w:pPr>
          </w:p>
        </w:tc>
        <w:tc>
          <w:tcPr>
            <w:tcW w:w="1212" w:type="dxa"/>
            <w:tcBorders>
              <w:top w:val="nil"/>
              <w:left w:val="nil"/>
              <w:bottom w:val="nil"/>
              <w:right w:val="nil"/>
            </w:tcBorders>
            <w:textDirection w:val="lrTb"/>
            <w:vAlign w:val="center"/>
          </w:tcPr>
          <w:p w:rsidR="006E1A2C" w:rsidRPr="006E1A2C" w:rsidP="005D00CB">
            <w:pPr>
              <w:bidi w:val="0"/>
              <w:rPr>
                <w:rFonts w:ascii="Times New Roman" w:hAnsi="Times New Roman"/>
                <w:sz w:val="24"/>
                <w:szCs w:val="24"/>
                <w:lang w:val="sk-SK"/>
              </w:rPr>
            </w:pPr>
          </w:p>
        </w:tc>
        <w:tc>
          <w:tcPr>
            <w:tcW w:w="1357" w:type="dxa"/>
            <w:tcBorders>
              <w:top w:val="nil"/>
              <w:left w:val="nil"/>
              <w:bottom w:val="nil"/>
              <w:right w:val="nil"/>
            </w:tcBorders>
            <w:textDirection w:val="lrTb"/>
            <w:vAlign w:val="center"/>
          </w:tcPr>
          <w:p w:rsidR="006E1A2C" w:rsidRPr="006E1A2C" w:rsidP="005D00CB">
            <w:pPr>
              <w:bidi w:val="0"/>
              <w:rPr>
                <w:rFonts w:ascii="Times New Roman" w:hAnsi="Times New Roman"/>
                <w:sz w:val="24"/>
                <w:szCs w:val="24"/>
                <w:lang w:val="sk-SK"/>
              </w:rPr>
            </w:pPr>
          </w:p>
        </w:tc>
        <w:tc>
          <w:tcPr>
            <w:tcW w:w="1357" w:type="dxa"/>
            <w:tcBorders>
              <w:top w:val="nil"/>
              <w:left w:val="nil"/>
              <w:bottom w:val="nil"/>
              <w:right w:val="nil"/>
            </w:tcBorders>
            <w:textDirection w:val="lrTb"/>
            <w:vAlign w:val="center"/>
          </w:tcPr>
          <w:p w:rsidR="006E1A2C" w:rsidRPr="006E1A2C" w:rsidP="005D00CB">
            <w:pPr>
              <w:bidi w:val="0"/>
              <w:rPr>
                <w:rFonts w:ascii="Times New Roman" w:hAnsi="Times New Roman"/>
                <w:sz w:val="24"/>
                <w:szCs w:val="24"/>
                <w:lang w:val="sk-SK"/>
              </w:rPr>
            </w:pPr>
          </w:p>
        </w:tc>
        <w:tc>
          <w:tcPr>
            <w:tcW w:w="1357" w:type="dxa"/>
            <w:tcBorders>
              <w:top w:val="nil"/>
              <w:left w:val="nil"/>
              <w:bottom w:val="nil"/>
              <w:right w:val="nil"/>
            </w:tcBorders>
            <w:textDirection w:val="lrTb"/>
            <w:vAlign w:val="center"/>
          </w:tcPr>
          <w:p w:rsidR="006E1A2C" w:rsidRPr="006E1A2C" w:rsidP="005D00CB">
            <w:pPr>
              <w:bidi w:val="0"/>
              <w:rPr>
                <w:rFonts w:ascii="Times New Roman" w:hAnsi="Times New Roman"/>
                <w:sz w:val="24"/>
                <w:szCs w:val="24"/>
                <w:lang w:val="sk-SK"/>
              </w:rPr>
            </w:pPr>
          </w:p>
        </w:tc>
      </w:tr>
    </w:tbl>
    <w:p w:rsidR="006E1A2C" w:rsidRPr="006E1A2C" w:rsidP="006E1A2C">
      <w:pPr>
        <w:bidi w:val="0"/>
        <w:jc w:val="both"/>
        <w:rPr>
          <w:rFonts w:ascii="Times New Roman" w:hAnsi="Times New Roman"/>
          <w:b/>
          <w:bCs/>
          <w:sz w:val="24"/>
          <w:szCs w:val="24"/>
          <w:lang w:val="sk-SK"/>
        </w:rPr>
      </w:pPr>
      <w:r w:rsidRPr="006E1A2C">
        <w:rPr>
          <w:rFonts w:ascii="Times New Roman" w:hAnsi="Times New Roman"/>
          <w:b/>
          <w:bCs/>
          <w:sz w:val="24"/>
          <w:szCs w:val="24"/>
          <w:lang w:val="sk-SK"/>
        </w:rPr>
        <w:t>Návrh na riešenie úbytku príjmov alebo zvýšených výdavkov podľa § 33 ods. 1 zákona č. 523/2004 Z. z. o rozpočtových pravidlách verejnej správy:</w:t>
      </w:r>
    </w:p>
    <w:p w:rsidR="006E1A2C" w:rsidRPr="005215E8" w:rsidP="006E1A2C">
      <w:pPr>
        <w:pBdr>
          <w:top w:val="single" w:sz="4" w:space="1" w:color="000000"/>
          <w:left w:val="single" w:sz="4" w:space="4" w:color="000000"/>
          <w:bottom w:val="single" w:sz="4" w:space="1" w:color="000000"/>
          <w:right w:val="single" w:sz="4" w:space="4" w:color="000000"/>
        </w:pBdr>
        <w:bidi w:val="0"/>
        <w:jc w:val="both"/>
        <w:rPr>
          <w:rFonts w:ascii="Times New Roman" w:hAnsi="Times New Roman"/>
          <w:bCs/>
          <w:color w:val="000000"/>
          <w:sz w:val="24"/>
          <w:szCs w:val="24"/>
          <w:lang w:val="sk-SK"/>
        </w:rPr>
      </w:pPr>
      <w:r w:rsidRPr="005215E8">
        <w:rPr>
          <w:rFonts w:ascii="Times New Roman" w:hAnsi="Times New Roman"/>
          <w:color w:val="000000"/>
          <w:sz w:val="24"/>
          <w:szCs w:val="24"/>
          <w:lang w:val="sk-SK"/>
        </w:rPr>
        <w:t xml:space="preserve">Rozpočtové vplyvy vyplývajúce z predloženého </w:t>
      </w:r>
      <w:r w:rsidRPr="005215E8" w:rsidR="007F2849">
        <w:rPr>
          <w:rFonts w:ascii="Times New Roman" w:hAnsi="Times New Roman"/>
          <w:bCs/>
          <w:sz w:val="24"/>
          <w:szCs w:val="24"/>
          <w:lang w:val="sk-SK"/>
        </w:rPr>
        <w:t xml:space="preserve">návrhu zákona, ktorým sa mení a dopĺňa </w:t>
      </w:r>
      <w:r w:rsidRPr="005215E8" w:rsidR="007F2849">
        <w:rPr>
          <w:rFonts w:ascii="Times New Roman" w:hAnsi="Times New Roman"/>
          <w:color w:val="000000"/>
          <w:sz w:val="24"/>
          <w:szCs w:val="24"/>
          <w:lang w:val="sk-SK"/>
        </w:rPr>
        <w:t xml:space="preserve">zákon  o osobitnom príspevku baníkom </w:t>
      </w:r>
      <w:r w:rsidRPr="005215E8">
        <w:rPr>
          <w:rFonts w:ascii="Times New Roman" w:hAnsi="Times New Roman"/>
          <w:color w:val="000000"/>
          <w:sz w:val="24"/>
          <w:szCs w:val="24"/>
          <w:lang w:val="sk-SK"/>
        </w:rPr>
        <w:t>(zvýšené výdavky) budú v jednotlivých rokoch</w:t>
      </w:r>
      <w:r w:rsidRPr="005215E8" w:rsidR="0042620C">
        <w:rPr>
          <w:rFonts w:ascii="Times New Roman" w:hAnsi="Times New Roman"/>
          <w:color w:val="000000"/>
          <w:sz w:val="24"/>
          <w:szCs w:val="24"/>
          <w:lang w:val="sk-SK"/>
        </w:rPr>
        <w:t xml:space="preserve"> sledovaného obdobia</w:t>
      </w:r>
      <w:r w:rsidRPr="005215E8">
        <w:rPr>
          <w:rFonts w:ascii="Times New Roman" w:hAnsi="Times New Roman"/>
          <w:color w:val="000000"/>
          <w:sz w:val="24"/>
          <w:szCs w:val="24"/>
          <w:lang w:val="sk-SK"/>
        </w:rPr>
        <w:t xml:space="preserve"> finančne zabezpečené v rámci schválených limitov kapitoly Ministerstva hospodárstva Slovenskej republiky</w:t>
      </w:r>
      <w:r w:rsidRPr="005215E8">
        <w:rPr>
          <w:rFonts w:ascii="Times New Roman" w:hAnsi="Times New Roman"/>
          <w:bCs/>
          <w:color w:val="000000"/>
          <w:sz w:val="24"/>
          <w:szCs w:val="24"/>
          <w:lang w:val="sk-SK"/>
        </w:rPr>
        <w:t>.</w:t>
      </w:r>
    </w:p>
    <w:p w:rsidR="006E1A2C" w:rsidRPr="006E1A2C" w:rsidP="006E1A2C">
      <w:pPr>
        <w:bidi w:val="0"/>
        <w:rPr>
          <w:rFonts w:ascii="Times New Roman" w:hAnsi="Times New Roman"/>
          <w:sz w:val="24"/>
          <w:szCs w:val="24"/>
          <w:lang w:val="sk-SK"/>
        </w:rPr>
      </w:pPr>
      <w:r w:rsidRPr="006E1A2C">
        <w:rPr>
          <w:rFonts w:ascii="Times New Roman" w:hAnsi="Times New Roman"/>
          <w:b/>
          <w:bCs/>
          <w:sz w:val="24"/>
          <w:szCs w:val="24"/>
          <w:lang w:val="sk-SK"/>
        </w:rPr>
        <w:t>2.3. Popis a charakteristika návrhu</w:t>
      </w:r>
    </w:p>
    <w:p w:rsidR="006E1A2C" w:rsidRPr="006E1A2C" w:rsidP="00F16484">
      <w:pPr>
        <w:bidi w:val="0"/>
        <w:rPr>
          <w:rFonts w:ascii="Times New Roman" w:hAnsi="Times New Roman"/>
          <w:b/>
          <w:bCs/>
          <w:sz w:val="24"/>
          <w:szCs w:val="24"/>
          <w:lang w:val="sk-SK"/>
        </w:rPr>
      </w:pPr>
      <w:r w:rsidRPr="006E1A2C">
        <w:rPr>
          <w:rFonts w:ascii="Times New Roman" w:hAnsi="Times New Roman"/>
          <w:sz w:val="24"/>
          <w:szCs w:val="24"/>
          <w:lang w:val="sk-SK"/>
        </w:rPr>
        <w:t> </w:t>
      </w:r>
      <w:r w:rsidRPr="006E1A2C">
        <w:rPr>
          <w:rFonts w:ascii="Times New Roman" w:hAnsi="Times New Roman"/>
          <w:b/>
          <w:bCs/>
          <w:sz w:val="24"/>
          <w:szCs w:val="24"/>
          <w:lang w:val="sk-SK"/>
        </w:rPr>
        <w:t>2.3.1. Popis návrhu:</w:t>
      </w:r>
    </w:p>
    <w:p w:rsidR="006E1A2C" w:rsidRPr="006E1A2C" w:rsidP="006E1A2C">
      <w:pPr>
        <w:bidi w:val="0"/>
        <w:jc w:val="both"/>
        <w:rPr>
          <w:rFonts w:ascii="Times New Roman" w:hAnsi="Times New Roman"/>
          <w:color w:val="000000"/>
          <w:sz w:val="24"/>
          <w:szCs w:val="24"/>
          <w:lang w:val="sk-SK"/>
        </w:rPr>
      </w:pPr>
      <w:r w:rsidRPr="006E1A2C">
        <w:rPr>
          <w:rFonts w:ascii="Times New Roman" w:hAnsi="Times New Roman"/>
          <w:b/>
          <w:color w:val="000000"/>
          <w:sz w:val="24"/>
          <w:szCs w:val="24"/>
          <w:lang w:val="sk-SK"/>
        </w:rPr>
        <w:t>A</w:t>
      </w:r>
      <w:r w:rsidRPr="006E1A2C">
        <w:rPr>
          <w:rFonts w:ascii="Times New Roman" w:hAnsi="Times New Roman"/>
          <w:color w:val="000000"/>
          <w:sz w:val="24"/>
          <w:szCs w:val="24"/>
          <w:lang w:val="sk-SK"/>
        </w:rPr>
        <w:t xml:space="preserve">. Návrh </w:t>
      </w:r>
      <w:r w:rsidRPr="006E1A2C">
        <w:rPr>
          <w:rFonts w:ascii="Times New Roman" w:hAnsi="Times New Roman"/>
          <w:bCs/>
          <w:sz w:val="24"/>
          <w:szCs w:val="24"/>
          <w:lang w:val="sk-SK"/>
        </w:rPr>
        <w:t xml:space="preserve">zákona, ktorým sa mení a dopĺňa </w:t>
      </w:r>
      <w:r w:rsidRPr="006E1A2C">
        <w:rPr>
          <w:rFonts w:ascii="Times New Roman" w:hAnsi="Times New Roman"/>
          <w:color w:val="000000"/>
          <w:sz w:val="24"/>
          <w:szCs w:val="24"/>
          <w:lang w:val="sk-SK"/>
        </w:rPr>
        <w:t xml:space="preserve">zákon o osobitnom príspevku baníkom upravuje nasledovné zmeny </w:t>
      </w:r>
      <w:r w:rsidRPr="006E1A2C">
        <w:rPr>
          <w:rFonts w:ascii="Times New Roman" w:hAnsi="Times New Roman"/>
          <w:b/>
          <w:color w:val="000000"/>
          <w:sz w:val="24"/>
          <w:szCs w:val="24"/>
          <w:lang w:val="sk-SK"/>
        </w:rPr>
        <w:t>s negatívnym vplyvom</w:t>
      </w:r>
      <w:r w:rsidRPr="006E1A2C">
        <w:rPr>
          <w:rFonts w:ascii="Times New Roman" w:hAnsi="Times New Roman"/>
          <w:color w:val="000000"/>
          <w:sz w:val="24"/>
          <w:szCs w:val="24"/>
          <w:lang w:val="sk-SK"/>
        </w:rPr>
        <w:t xml:space="preserve"> na rozpočet verejnej správy, konkrétne na štátny rozpočet (zvýšené výdavky): </w:t>
      </w:r>
    </w:p>
    <w:p w:rsidR="006E1A2C" w:rsidRPr="006E1A2C" w:rsidP="006E1A2C">
      <w:pPr>
        <w:pStyle w:val="ListParagraph"/>
        <w:numPr>
          <w:numId w:val="4"/>
        </w:numPr>
        <w:bidi w:val="0"/>
        <w:jc w:val="both"/>
        <w:rPr>
          <w:rFonts w:ascii="Times New Roman" w:hAnsi="Times New Roman"/>
          <w:color w:val="000000"/>
        </w:rPr>
      </w:pPr>
      <w:r w:rsidRPr="006E1A2C">
        <w:rPr>
          <w:rFonts w:ascii="Times New Roman" w:hAnsi="Times New Roman"/>
          <w:color w:val="000000"/>
        </w:rPr>
        <w:t>V porovnaní s doterajšou právnou úpravou sa nemení</w:t>
      </w:r>
      <w:r w:rsidR="0042620C">
        <w:rPr>
          <w:rFonts w:ascii="Times New Roman" w:hAnsi="Times New Roman"/>
          <w:color w:val="000000"/>
        </w:rPr>
        <w:t xml:space="preserve"> </w:t>
      </w:r>
      <w:r w:rsidRPr="006E1A2C">
        <w:rPr>
          <w:rFonts w:ascii="Times New Roman" w:hAnsi="Times New Roman"/>
          <w:color w:val="000000"/>
        </w:rPr>
        <w:t xml:space="preserve">minimálna doba zamestnania v baníctve so stálym pracoviskom v podzemí v hlbinných baniach na území Slovenskej republiky v trvaní 15 rokov, upúšťa sa však od toho, aby celé uvedené obdobie vykonával oprávnený prácu ako rubač, lámač, razič alebo hĺbič a postačuje minimálna doba v trvaní 10 rokov zamestnania v týchto vybraných zamestnaniach (rubač, lámač, razič alebo hĺbič).  </w:t>
      </w:r>
    </w:p>
    <w:p w:rsidR="006E1A2C" w:rsidRPr="006E1A2C" w:rsidP="006E1A2C">
      <w:pPr>
        <w:pStyle w:val="ListParagraph"/>
        <w:numPr>
          <w:numId w:val="4"/>
        </w:numPr>
        <w:bidi w:val="0"/>
        <w:jc w:val="both"/>
        <w:rPr>
          <w:rFonts w:ascii="Times New Roman" w:hAnsi="Times New Roman"/>
          <w:color w:val="000000"/>
        </w:rPr>
      </w:pPr>
      <w:r w:rsidRPr="006E1A2C">
        <w:rPr>
          <w:rFonts w:ascii="Times New Roman" w:hAnsi="Times New Roman"/>
          <w:color w:val="000000"/>
        </w:rPr>
        <w:t>Keďže nárok na priznanie osobitného príspevku vzniká oprávneným osobám až dovŕšením veku 55 rokov (podľa súčasnej právnej úpravy, pričom navrhovaná úprava túto podmienku nemení), navrhuje sa  upustenie od podmienky</w:t>
      </w:r>
      <w:r w:rsidR="0042620C">
        <w:rPr>
          <w:rFonts w:ascii="Times New Roman" w:hAnsi="Times New Roman"/>
          <w:color w:val="000000"/>
        </w:rPr>
        <w:t xml:space="preserve"> vzniku nároku na osobitný príspevok -  trvanie</w:t>
      </w:r>
      <w:r w:rsidRPr="006E1A2C">
        <w:rPr>
          <w:rFonts w:ascii="Times New Roman" w:hAnsi="Times New Roman"/>
          <w:color w:val="000000"/>
        </w:rPr>
        <w:t xml:space="preserve"> zamestnania v baníctve so stálym pracoviskom v podzemí v hlbinných baniach na území Slovenskej republiky pri dosiahnutí 50 rokov veku ako nelogickej vo vzťahu k charakteru a účelu poskytovania predmetnej dávky.</w:t>
      </w:r>
    </w:p>
    <w:p w:rsidR="006E1A2C" w:rsidRPr="006E1A2C" w:rsidP="006E1A2C">
      <w:pPr>
        <w:pStyle w:val="ListParagraph"/>
        <w:numPr>
          <w:numId w:val="4"/>
        </w:numPr>
        <w:bidi w:val="0"/>
        <w:jc w:val="both"/>
        <w:rPr>
          <w:rFonts w:ascii="Times New Roman" w:hAnsi="Times New Roman"/>
          <w:color w:val="000000"/>
        </w:rPr>
      </w:pPr>
      <w:r w:rsidRPr="006E1A2C">
        <w:rPr>
          <w:rFonts w:ascii="Times New Roman" w:hAnsi="Times New Roman"/>
        </w:rPr>
        <w:t xml:space="preserve">Navrhuje sa zohľadnenie celej doby výkonu zamestnania v baníctve so stálym pracoviskom v podzemí </w:t>
      </w:r>
      <w:r w:rsidRPr="006E1A2C">
        <w:rPr>
          <w:rFonts w:ascii="Times New Roman" w:hAnsi="Times New Roman"/>
          <w:color w:val="000000"/>
        </w:rPr>
        <w:t>v hlbinných baniach na území Slovenskej republiky</w:t>
      </w:r>
      <w:r w:rsidRPr="006E1A2C">
        <w:rPr>
          <w:rFonts w:ascii="Times New Roman" w:hAnsi="Times New Roman"/>
        </w:rPr>
        <w:t>, a to zvýšením</w:t>
      </w:r>
      <w:r w:rsidR="0042620C">
        <w:rPr>
          <w:rFonts w:ascii="Times New Roman" w:hAnsi="Times New Roman"/>
        </w:rPr>
        <w:t xml:space="preserve"> zákonom ustanovenej „základnej“</w:t>
      </w:r>
      <w:r w:rsidRPr="006E1A2C">
        <w:rPr>
          <w:rFonts w:ascii="Times New Roman" w:hAnsi="Times New Roman"/>
        </w:rPr>
        <w:t xml:space="preserve"> sumy osobitného príspevku</w:t>
      </w:r>
      <w:r w:rsidR="0042620C">
        <w:rPr>
          <w:rFonts w:ascii="Times New Roman" w:hAnsi="Times New Roman"/>
        </w:rPr>
        <w:t xml:space="preserve"> ( 350 eur)</w:t>
      </w:r>
      <w:r w:rsidRPr="006E1A2C">
        <w:rPr>
          <w:rFonts w:ascii="Times New Roman" w:hAnsi="Times New Roman"/>
        </w:rPr>
        <w:t xml:space="preserve"> za obdobie  zamestnania prevyšujúce minimálnu dobu </w:t>
      </w:r>
      <w:r w:rsidR="0042620C">
        <w:rPr>
          <w:rFonts w:ascii="Times New Roman" w:hAnsi="Times New Roman"/>
        </w:rPr>
        <w:t xml:space="preserve"> zamestnania </w:t>
      </w:r>
      <w:r w:rsidRPr="006E1A2C">
        <w:rPr>
          <w:rFonts w:ascii="Times New Roman" w:hAnsi="Times New Roman"/>
        </w:rPr>
        <w:t>potrebnú na vznik nároku na osobitný príspevok v „základnej“ výške 350 eur. V uvedenom zvýšení,  ktorého v</w:t>
      </w:r>
      <w:r w:rsidR="0042620C">
        <w:rPr>
          <w:rFonts w:ascii="Times New Roman" w:hAnsi="Times New Roman"/>
        </w:rPr>
        <w:t>zorce sú upravené v prílohe návrhu zákona</w:t>
      </w:r>
      <w:r w:rsidRPr="006E1A2C">
        <w:rPr>
          <w:rFonts w:ascii="Times New Roman" w:hAnsi="Times New Roman"/>
        </w:rPr>
        <w:t>, sa výhodnejšie zohľadňuje obdobie zamestnania presahujúce minimálnu dobu potrebnú na vznik nároku na osobitný príspevok vykonávané</w:t>
      </w:r>
      <w:r w:rsidRPr="006E1A2C">
        <w:rPr>
          <w:rFonts w:ascii="Times New Roman" w:hAnsi="Times New Roman"/>
          <w:color w:val="000000"/>
        </w:rPr>
        <w:t xml:space="preserve"> vo vybraných zamestnaniach (rubač, lámač, razič alebo hĺbič) v porovnaní s ostatnými </w:t>
      </w:r>
      <w:r w:rsidRPr="006E1A2C">
        <w:rPr>
          <w:rFonts w:ascii="Times New Roman" w:hAnsi="Times New Roman"/>
        </w:rPr>
        <w:t xml:space="preserve">zamestnaniami v baníctve so stálym pracoviskom v podzemí </w:t>
      </w:r>
      <w:r w:rsidRPr="006E1A2C">
        <w:rPr>
          <w:rFonts w:ascii="Times New Roman" w:hAnsi="Times New Roman"/>
          <w:color w:val="000000"/>
        </w:rPr>
        <w:t xml:space="preserve">v hlbinných baniach na území Slovenskej republiky. (Napríklad za 365 dní v náročnejšom zamestnaní ako rubač, lámač, razič alebo hĺbič patrí suma zvýšenia rovnajúca sa jednej pätnástine z 350 eur a za 365 dní v ostaných zamestnaniach </w:t>
      </w:r>
      <w:r w:rsidRPr="006E1A2C">
        <w:rPr>
          <w:rFonts w:ascii="Times New Roman" w:hAnsi="Times New Roman"/>
        </w:rPr>
        <w:t xml:space="preserve">so stálym pracoviskom v podzemí v hlbinných baniach na území Slovenskej republiky patrí </w:t>
      </w:r>
      <w:r w:rsidRPr="006E1A2C">
        <w:rPr>
          <w:rFonts w:ascii="Times New Roman" w:hAnsi="Times New Roman"/>
          <w:color w:val="000000"/>
        </w:rPr>
        <w:t>suma zvýšenia rovnajúca sa jednej dvadsatine z 350 eur.)</w:t>
      </w:r>
    </w:p>
    <w:p w:rsidR="006E1A2C" w:rsidRPr="006E1A2C" w:rsidP="006E1A2C">
      <w:pPr>
        <w:pStyle w:val="ListParagraph"/>
        <w:numPr>
          <w:numId w:val="4"/>
        </w:numPr>
        <w:bidi w:val="0"/>
        <w:jc w:val="both"/>
        <w:rPr>
          <w:rFonts w:ascii="Times New Roman" w:hAnsi="Times New Roman"/>
        </w:rPr>
      </w:pPr>
      <w:r w:rsidRPr="006E1A2C">
        <w:rPr>
          <w:rFonts w:ascii="Times New Roman" w:hAnsi="Times New Roman"/>
        </w:rPr>
        <w:t>Navrhuje sa zavedenie každoročnej valorizácie sumy osobitného príspevku  v závislosti od indexu medziročného rastu priemernej mesačnej nominálnej mzdy zamestnanca v hospodárstve Slovenskej republiky.</w:t>
      </w:r>
    </w:p>
    <w:p w:rsidR="006E1A2C" w:rsidRPr="006E1A2C" w:rsidP="006E1A2C">
      <w:pPr>
        <w:pStyle w:val="ListParagraph"/>
        <w:bidi w:val="0"/>
        <w:jc w:val="both"/>
        <w:rPr>
          <w:rFonts w:ascii="Times New Roman" w:hAnsi="Times New Roman"/>
          <w:color w:val="000000"/>
        </w:rPr>
      </w:pPr>
    </w:p>
    <w:p w:rsidR="006E1A2C" w:rsidRPr="006E1A2C" w:rsidP="006E1A2C">
      <w:pPr>
        <w:pStyle w:val="ListParagraph"/>
        <w:bidi w:val="0"/>
        <w:jc w:val="both"/>
        <w:rPr>
          <w:rFonts w:ascii="Times New Roman" w:hAnsi="Times New Roman"/>
          <w:color w:val="000000"/>
        </w:rPr>
      </w:pPr>
    </w:p>
    <w:p w:rsidR="006E1A2C" w:rsidRPr="006E1A2C" w:rsidP="006E1A2C">
      <w:pPr>
        <w:bidi w:val="0"/>
        <w:ind w:left="360"/>
        <w:jc w:val="both"/>
        <w:rPr>
          <w:rFonts w:ascii="Times New Roman" w:hAnsi="Times New Roman"/>
          <w:color w:val="000000"/>
          <w:sz w:val="24"/>
          <w:szCs w:val="24"/>
          <w:lang w:val="sk-SK"/>
        </w:rPr>
      </w:pPr>
      <w:r w:rsidRPr="006E1A2C">
        <w:rPr>
          <w:rFonts w:ascii="Times New Roman" w:hAnsi="Times New Roman"/>
          <w:b/>
          <w:color w:val="000000"/>
          <w:sz w:val="24"/>
          <w:szCs w:val="24"/>
          <w:lang w:val="sk-SK"/>
        </w:rPr>
        <w:t>B.</w:t>
      </w:r>
      <w:r w:rsidRPr="006E1A2C">
        <w:rPr>
          <w:rFonts w:ascii="Times New Roman" w:hAnsi="Times New Roman"/>
          <w:color w:val="000000"/>
          <w:sz w:val="24"/>
          <w:szCs w:val="24"/>
          <w:lang w:val="sk-SK"/>
        </w:rPr>
        <w:t xml:space="preserve"> Návrh </w:t>
      </w:r>
      <w:r w:rsidRPr="006E1A2C">
        <w:rPr>
          <w:rFonts w:ascii="Times New Roman" w:hAnsi="Times New Roman"/>
          <w:bCs/>
          <w:sz w:val="24"/>
          <w:szCs w:val="24"/>
          <w:lang w:val="sk-SK"/>
        </w:rPr>
        <w:t xml:space="preserve">zákona, ktorým sa mení a dopĺňa </w:t>
      </w:r>
      <w:r w:rsidRPr="006E1A2C">
        <w:rPr>
          <w:rFonts w:ascii="Times New Roman" w:hAnsi="Times New Roman"/>
          <w:color w:val="000000"/>
          <w:sz w:val="24"/>
          <w:szCs w:val="24"/>
          <w:lang w:val="sk-SK"/>
        </w:rPr>
        <w:t xml:space="preserve">zákon o osobitnom príspevku baníkom upravuje nasledovné zmeny </w:t>
      </w:r>
      <w:r w:rsidRPr="006E1A2C">
        <w:rPr>
          <w:rFonts w:ascii="Times New Roman" w:hAnsi="Times New Roman"/>
          <w:b/>
          <w:color w:val="000000"/>
          <w:sz w:val="24"/>
          <w:szCs w:val="24"/>
          <w:lang w:val="sk-SK"/>
        </w:rPr>
        <w:t>s pozitívnym vplyvom</w:t>
      </w:r>
      <w:r w:rsidRPr="006E1A2C">
        <w:rPr>
          <w:rFonts w:ascii="Times New Roman" w:hAnsi="Times New Roman"/>
          <w:color w:val="000000"/>
          <w:sz w:val="24"/>
          <w:szCs w:val="24"/>
          <w:lang w:val="sk-SK"/>
        </w:rPr>
        <w:t xml:space="preserve"> na rozpočet verejnej správy, konkrétne na štátny rozpočet (znížené výdavky): </w:t>
      </w:r>
    </w:p>
    <w:p w:rsidR="006E1A2C" w:rsidRPr="006E1A2C" w:rsidP="006E1A2C">
      <w:pPr>
        <w:pStyle w:val="ListParagraph"/>
        <w:bidi w:val="0"/>
        <w:jc w:val="both"/>
        <w:rPr>
          <w:rFonts w:ascii="Times New Roman" w:hAnsi="Times New Roman"/>
          <w:color w:val="000000"/>
        </w:rPr>
      </w:pPr>
    </w:p>
    <w:p w:rsidR="006E1A2C" w:rsidRPr="006E1A2C" w:rsidP="006E1A2C">
      <w:pPr>
        <w:pStyle w:val="ListParagraph"/>
        <w:numPr>
          <w:numId w:val="5"/>
        </w:numPr>
        <w:bidi w:val="0"/>
        <w:jc w:val="both"/>
        <w:rPr>
          <w:rFonts w:ascii="Times New Roman" w:hAnsi="Times New Roman"/>
          <w:color w:val="000000"/>
        </w:rPr>
      </w:pPr>
      <w:r w:rsidRPr="006E1A2C">
        <w:rPr>
          <w:rFonts w:ascii="Times New Roman" w:hAnsi="Times New Roman"/>
          <w:color w:val="000000"/>
        </w:rPr>
        <w:t>V porovnaní so súčasnou právnou úpravou sa nanovo upravuje zamedzenie súbehu osobitného príspevku s inými dávkami a plneniami, ktoré sa rozširuje o súbeh osobitného príspevku s opakujúcimi sa dávkami výsluhového zabezpečenia podľa osobitného predpisu alebo opakujúcej sa dávky, ktorá je považovaná za dávku výsluhového zabezpečenia a tiež o súbeh s obdobnými dávkami z cudziny.  Spresňuje sa, že osobitný príspevok nepatrí, ak oprávnený vykonáva zamestnanie v baníctve so stálym pracoviskom v podzemí v hlbinných baniach na území Slovenskej republiky a tiež sa v nadväznosti na novú právnu úpravu v zákone č. 461/2003 Z. z. o sociálnom poistení v znení neskorších predpisov upravuje, že osobitný príspevok nepatrí dovŕšením dôchodkového veku (namiesto 62 rokov veku).</w:t>
      </w:r>
    </w:p>
    <w:p w:rsidR="006E1A2C" w:rsidRPr="006E1A2C" w:rsidP="006E1A2C">
      <w:pPr>
        <w:pStyle w:val="ListParagraph"/>
        <w:bidi w:val="0"/>
        <w:jc w:val="both"/>
        <w:rPr>
          <w:rFonts w:ascii="Times New Roman" w:hAnsi="Times New Roman"/>
          <w:color w:val="000000"/>
        </w:rPr>
      </w:pPr>
    </w:p>
    <w:p w:rsidR="006E1A2C" w:rsidRPr="006E1A2C" w:rsidP="006E1A2C">
      <w:pPr>
        <w:pStyle w:val="ListParagraph"/>
        <w:numPr>
          <w:numId w:val="5"/>
        </w:numPr>
        <w:bidi w:val="0"/>
        <w:jc w:val="both"/>
        <w:rPr>
          <w:rFonts w:ascii="Times New Roman" w:hAnsi="Times New Roman"/>
          <w:color w:val="000000"/>
        </w:rPr>
      </w:pPr>
      <w:r w:rsidRPr="006E1A2C">
        <w:rPr>
          <w:rFonts w:ascii="Times New Roman" w:hAnsi="Times New Roman"/>
          <w:color w:val="000000"/>
        </w:rPr>
        <w:t>Návrh rieši zamedzenie súbehu osobitného príspevku s  ustanovenými dávkami</w:t>
      </w:r>
      <w:r w:rsidR="00A739F3">
        <w:rPr>
          <w:rFonts w:ascii="Times New Roman" w:hAnsi="Times New Roman"/>
          <w:color w:val="000000"/>
        </w:rPr>
        <w:t xml:space="preserve"> a plneniami</w:t>
      </w:r>
      <w:r w:rsidRPr="006E1A2C">
        <w:rPr>
          <w:rFonts w:ascii="Times New Roman" w:hAnsi="Times New Roman"/>
          <w:color w:val="000000"/>
        </w:rPr>
        <w:t xml:space="preserve"> (podľa</w:t>
      </w:r>
      <w:r w:rsidR="00A739F3">
        <w:rPr>
          <w:rFonts w:ascii="Times New Roman" w:hAnsi="Times New Roman"/>
          <w:color w:val="000000"/>
        </w:rPr>
        <w:t xml:space="preserve"> navrhovaného</w:t>
      </w:r>
      <w:r w:rsidRPr="006E1A2C">
        <w:rPr>
          <w:rFonts w:ascii="Times New Roman" w:hAnsi="Times New Roman"/>
          <w:color w:val="000000"/>
        </w:rPr>
        <w:t xml:space="preserve"> § 3 ods. 1) aj v prípadoch, ak sú tieto priznané spätne za obdobie, v ktorom oprávnený poberal osobitný príspevok.</w:t>
      </w:r>
    </w:p>
    <w:p w:rsidR="006E1A2C" w:rsidRPr="006E1A2C" w:rsidP="006E1A2C">
      <w:pPr>
        <w:pStyle w:val="ListParagraph"/>
        <w:bidi w:val="0"/>
        <w:jc w:val="both"/>
        <w:rPr>
          <w:rFonts w:ascii="Times New Roman" w:hAnsi="Times New Roman"/>
          <w:color w:val="000000"/>
        </w:rPr>
      </w:pPr>
    </w:p>
    <w:p w:rsidR="006E1A2C" w:rsidRPr="006E1A2C" w:rsidP="006E1A2C">
      <w:pPr>
        <w:bidi w:val="0"/>
        <w:ind w:firstLine="360"/>
        <w:jc w:val="both"/>
        <w:rPr>
          <w:rFonts w:ascii="Times New Roman" w:hAnsi="Times New Roman"/>
          <w:color w:val="000000"/>
          <w:sz w:val="24"/>
          <w:szCs w:val="24"/>
          <w:lang w:val="sk-SK"/>
        </w:rPr>
      </w:pPr>
      <w:r w:rsidRPr="006E1A2C">
        <w:rPr>
          <w:rFonts w:ascii="Times New Roman" w:hAnsi="Times New Roman"/>
          <w:color w:val="000000"/>
          <w:sz w:val="24"/>
          <w:szCs w:val="24"/>
          <w:lang w:val="sk-SK"/>
        </w:rPr>
        <w:t>Navrhované legislatívne zmeny bude implementovať Ministerstvo hospodárstva Slovenskej republiky a Rudné bane š.p. Banská Bystrica.</w:t>
      </w:r>
    </w:p>
    <w:p w:rsidR="000428B7" w:rsidP="006E1A2C">
      <w:pPr>
        <w:bidi w:val="0"/>
        <w:rPr>
          <w:rFonts w:ascii="Times New Roman" w:hAnsi="Times New Roman"/>
          <w:b/>
          <w:bCs/>
          <w:sz w:val="24"/>
          <w:szCs w:val="24"/>
          <w:lang w:val="sk-SK"/>
        </w:rPr>
      </w:pPr>
    </w:p>
    <w:p w:rsidR="006E1A2C" w:rsidRPr="006E1A2C" w:rsidP="006E1A2C">
      <w:pPr>
        <w:bidi w:val="0"/>
        <w:rPr>
          <w:rFonts w:ascii="Times New Roman" w:hAnsi="Times New Roman"/>
          <w:sz w:val="24"/>
          <w:szCs w:val="24"/>
          <w:lang w:val="sk-SK"/>
        </w:rPr>
      </w:pPr>
      <w:r w:rsidRPr="006E1A2C">
        <w:rPr>
          <w:rFonts w:ascii="Times New Roman" w:hAnsi="Times New Roman"/>
          <w:b/>
          <w:bCs/>
          <w:sz w:val="24"/>
          <w:szCs w:val="24"/>
          <w:lang w:val="sk-SK"/>
        </w:rPr>
        <w:t>2.3.2. Charakteristika návrhu podľa bodu 2.3.2. Metodiky:</w:t>
      </w:r>
    </w:p>
    <w:p w:rsidR="006E1A2C" w:rsidRPr="006E1A2C" w:rsidP="006E1A2C">
      <w:pPr>
        <w:bidi w:val="0"/>
        <w:rPr>
          <w:rFonts w:ascii="Times New Roman" w:hAnsi="Times New Roman"/>
          <w:sz w:val="24"/>
          <w:szCs w:val="24"/>
          <w:lang w:val="sk-SK"/>
        </w:rPr>
      </w:pPr>
      <w:r w:rsidRPr="006E1A2C">
        <w:rPr>
          <w:rFonts w:ascii="Times New Roman" w:hAnsi="Times New Roman"/>
          <w:sz w:val="24"/>
          <w:szCs w:val="24"/>
          <w:lang w:val="sk-SK"/>
        </w:rPr>
        <w:t> </w:t>
      </w:r>
    </w:p>
    <w:p w:rsidR="006E1A2C" w:rsidRPr="006E1A2C" w:rsidP="006E1A2C">
      <w:pPr>
        <w:bidi w:val="0"/>
        <w:rPr>
          <w:rFonts w:ascii="Times New Roman" w:hAnsi="Times New Roman"/>
          <w:sz w:val="24"/>
          <w:szCs w:val="24"/>
          <w:lang w:val="sk-SK"/>
        </w:rPr>
      </w:pPr>
      <w:r w:rsidRPr="006E1A2C">
        <w:rPr>
          <w:rFonts w:ascii="Times New Roman" w:hAnsi="Times New Roman"/>
          <w:b/>
          <w:bCs/>
          <w:sz w:val="24"/>
          <w:szCs w:val="24"/>
          <w:bdr w:val="single" w:sz="4" w:space="0" w:color="000000" w:frame="1"/>
          <w:lang w:val="sk-SK"/>
        </w:rPr>
        <w:t> </w:t>
      </w:r>
      <w:r w:rsidRPr="006E1A2C">
        <w:rPr>
          <w:rFonts w:ascii="Times New Roman" w:hAnsi="Times New Roman"/>
          <w:sz w:val="24"/>
          <w:szCs w:val="24"/>
          <w:bdr w:val="single" w:sz="4" w:space="0" w:color="000000" w:frame="1"/>
          <w:lang w:val="sk-SK"/>
        </w:rPr>
        <w:t>X</w:t>
      </w:r>
      <w:r w:rsidRPr="006E1A2C">
        <w:rPr>
          <w:rFonts w:ascii="Times New Roman" w:hAnsi="Times New Roman"/>
          <w:b/>
          <w:bCs/>
          <w:sz w:val="24"/>
          <w:szCs w:val="24"/>
          <w:bdr w:val="single" w:sz="4" w:space="0" w:color="000000" w:frame="1"/>
          <w:lang w:val="sk-SK"/>
        </w:rPr>
        <w:t> </w:t>
      </w:r>
      <w:r w:rsidRPr="006E1A2C">
        <w:rPr>
          <w:rFonts w:ascii="Times New Roman" w:hAnsi="Times New Roman"/>
          <w:b/>
          <w:bCs/>
          <w:sz w:val="24"/>
          <w:szCs w:val="24"/>
          <w:lang w:val="sk-SK"/>
        </w:rPr>
        <w:t xml:space="preserve">  </w:t>
      </w:r>
      <w:r w:rsidRPr="006E1A2C">
        <w:rPr>
          <w:rFonts w:ascii="Times New Roman" w:hAnsi="Times New Roman"/>
          <w:sz w:val="24"/>
          <w:szCs w:val="24"/>
          <w:lang w:val="sk-SK"/>
        </w:rPr>
        <w:t>zmena sadzby</w:t>
      </w:r>
    </w:p>
    <w:p w:rsidR="006E1A2C" w:rsidRPr="006E1A2C" w:rsidP="006E1A2C">
      <w:pPr>
        <w:bidi w:val="0"/>
        <w:rPr>
          <w:rFonts w:ascii="Times New Roman" w:hAnsi="Times New Roman"/>
          <w:sz w:val="24"/>
          <w:szCs w:val="24"/>
          <w:lang w:val="sk-SK"/>
        </w:rPr>
      </w:pPr>
      <w:r w:rsidRPr="006E1A2C">
        <w:rPr>
          <w:rFonts w:ascii="Times New Roman" w:hAnsi="Times New Roman"/>
          <w:sz w:val="24"/>
          <w:szCs w:val="24"/>
          <w:bdr w:val="single" w:sz="4" w:space="0" w:color="000000" w:frame="1"/>
          <w:lang w:val="sk-SK"/>
        </w:rPr>
        <w:t xml:space="preserve"> X </w:t>
      </w:r>
      <w:r w:rsidRPr="006E1A2C">
        <w:rPr>
          <w:rFonts w:ascii="Times New Roman" w:hAnsi="Times New Roman"/>
          <w:sz w:val="24"/>
          <w:szCs w:val="24"/>
          <w:lang w:val="sk-SK"/>
        </w:rPr>
        <w:t>  zmena v nároku</w:t>
      </w:r>
    </w:p>
    <w:p w:rsidR="006E1A2C" w:rsidRPr="006E1A2C" w:rsidP="006E1A2C">
      <w:pPr>
        <w:bidi w:val="0"/>
        <w:rPr>
          <w:rFonts w:ascii="Times New Roman" w:hAnsi="Times New Roman"/>
          <w:sz w:val="24"/>
          <w:szCs w:val="24"/>
          <w:lang w:val="sk-SK"/>
        </w:rPr>
      </w:pPr>
      <w:r w:rsidRPr="006E1A2C">
        <w:rPr>
          <w:rFonts w:ascii="Times New Roman" w:hAnsi="Times New Roman"/>
          <w:sz w:val="24"/>
          <w:szCs w:val="24"/>
          <w:bdr w:val="single" w:sz="4" w:space="0" w:color="000000" w:frame="1"/>
          <w:lang w:val="sk-SK"/>
        </w:rPr>
        <w:t xml:space="preserve">     </w:t>
      </w:r>
      <w:r w:rsidRPr="006E1A2C">
        <w:rPr>
          <w:rFonts w:ascii="Times New Roman" w:hAnsi="Times New Roman"/>
          <w:sz w:val="24"/>
          <w:szCs w:val="24"/>
          <w:lang w:val="sk-SK"/>
        </w:rPr>
        <w:t>  nová služba alebo nariadenie (alebo ich zrušenie)</w:t>
      </w:r>
    </w:p>
    <w:p w:rsidR="006E1A2C" w:rsidRPr="006E1A2C" w:rsidP="006E1A2C">
      <w:pPr>
        <w:bidi w:val="0"/>
        <w:rPr>
          <w:rFonts w:ascii="Times New Roman" w:hAnsi="Times New Roman"/>
          <w:sz w:val="24"/>
          <w:szCs w:val="24"/>
          <w:lang w:val="sk-SK"/>
        </w:rPr>
      </w:pPr>
      <w:r w:rsidRPr="006E1A2C">
        <w:rPr>
          <w:rFonts w:ascii="Times New Roman" w:hAnsi="Times New Roman"/>
          <w:sz w:val="24"/>
          <w:szCs w:val="24"/>
          <w:bdr w:val="single" w:sz="4" w:space="0" w:color="000000" w:frame="1"/>
          <w:lang w:val="sk-SK"/>
        </w:rPr>
        <w:t>     </w:t>
      </w:r>
      <w:r w:rsidRPr="006E1A2C">
        <w:rPr>
          <w:rFonts w:ascii="Times New Roman" w:hAnsi="Times New Roman"/>
          <w:sz w:val="24"/>
          <w:szCs w:val="24"/>
          <w:lang w:val="sk-SK"/>
        </w:rPr>
        <w:t>  kombinovaný návrh (zmena sadzieb, zmena vymeriavacích základov a zmena nároku)</w:t>
      </w:r>
    </w:p>
    <w:p w:rsidR="006E1A2C" w:rsidRPr="006E1A2C" w:rsidP="006E1A2C">
      <w:pPr>
        <w:bidi w:val="0"/>
        <w:jc w:val="both"/>
        <w:rPr>
          <w:rFonts w:ascii="Times New Roman" w:hAnsi="Times New Roman"/>
          <w:b/>
          <w:color w:val="000000"/>
          <w:sz w:val="24"/>
          <w:szCs w:val="24"/>
          <w:lang w:val="sk-SK"/>
        </w:rPr>
      </w:pPr>
      <w:r w:rsidRPr="006E1A2C">
        <w:rPr>
          <w:rFonts w:ascii="Times New Roman" w:hAnsi="Times New Roman"/>
          <w:sz w:val="24"/>
          <w:szCs w:val="24"/>
          <w:bdr w:val="single" w:sz="4" w:space="0" w:color="000000" w:frame="1"/>
          <w:lang w:val="sk-SK"/>
        </w:rPr>
        <w:t xml:space="preserve">     </w:t>
      </w:r>
      <w:r w:rsidRPr="006E1A2C">
        <w:rPr>
          <w:rFonts w:ascii="Times New Roman" w:hAnsi="Times New Roman"/>
          <w:sz w:val="24"/>
          <w:szCs w:val="24"/>
          <w:lang w:val="sk-SK"/>
        </w:rPr>
        <w:t>  iné</w:t>
      </w:r>
    </w:p>
    <w:p w:rsidR="006E1A2C" w:rsidRPr="006E1A2C" w:rsidP="006E1A2C">
      <w:pPr>
        <w:bidi w:val="0"/>
        <w:rPr>
          <w:rFonts w:ascii="Times New Roman" w:hAnsi="Times New Roman"/>
          <w:b/>
          <w:bCs/>
          <w:sz w:val="24"/>
          <w:szCs w:val="24"/>
          <w:lang w:val="sk-SK"/>
        </w:rPr>
      </w:pPr>
      <w:r w:rsidRPr="006E1A2C">
        <w:rPr>
          <w:rFonts w:ascii="Times New Roman" w:hAnsi="Times New Roman"/>
          <w:b/>
          <w:bCs/>
          <w:sz w:val="24"/>
          <w:szCs w:val="24"/>
          <w:lang w:val="sk-SK"/>
        </w:rPr>
        <w:t>2.3.3. Predpoklady vývoja objemu aktivít:</w:t>
      </w:r>
    </w:p>
    <w:p w:rsidR="006E1A2C" w:rsidRPr="006E1A2C" w:rsidP="006E1A2C">
      <w:pPr>
        <w:bidi w:val="0"/>
        <w:jc w:val="both"/>
        <w:rPr>
          <w:rFonts w:ascii="Times New Roman" w:hAnsi="Times New Roman"/>
          <w:color w:val="000000"/>
          <w:sz w:val="24"/>
          <w:szCs w:val="24"/>
          <w:lang w:val="sk-SK"/>
        </w:rPr>
      </w:pPr>
      <w:r w:rsidRPr="006E1A2C">
        <w:rPr>
          <w:rFonts w:ascii="Times New Roman" w:hAnsi="Times New Roman"/>
          <w:color w:val="000000"/>
          <w:sz w:val="24"/>
          <w:szCs w:val="24"/>
          <w:lang w:val="sk-SK"/>
        </w:rPr>
        <w:t xml:space="preserve">V sledovanom období sa nepredpokladá výrazné zvýšenie objemu aktivít (Rudné bane š.p. Banská Bystrica), zvýšenie objemu aktivít (Rudné bane š.p. Banská Bystrica) možno očakávať najmä v súvislosti s návrhmi s pozitívnym vplyvom na štátny rozpočet uvedenými v bode 2.3.1., ods. B.  </w:t>
      </w:r>
    </w:p>
    <w:p w:rsidR="006E1A2C" w:rsidRPr="006E1A2C" w:rsidP="006E1A2C">
      <w:pPr>
        <w:bidi w:val="0"/>
        <w:jc w:val="both"/>
        <w:rPr>
          <w:rFonts w:ascii="Times New Roman" w:hAnsi="Times New Roman"/>
          <w:color w:val="000000"/>
          <w:sz w:val="24"/>
          <w:szCs w:val="24"/>
          <w:lang w:val="sk-SK"/>
        </w:rPr>
      </w:pPr>
      <w:r w:rsidR="00F16484">
        <w:rPr>
          <w:rFonts w:ascii="Times New Roman" w:hAnsi="Times New Roman"/>
          <w:sz w:val="24"/>
          <w:szCs w:val="24"/>
          <w:lang w:val="sk-SK"/>
        </w:rPr>
        <w:t>Na základe</w:t>
      </w:r>
      <w:r w:rsidRPr="006E1A2C">
        <w:rPr>
          <w:rFonts w:ascii="Times New Roman" w:hAnsi="Times New Roman"/>
          <w:sz w:val="24"/>
          <w:szCs w:val="24"/>
          <w:lang w:val="sk-SK"/>
        </w:rPr>
        <w:t xml:space="preserve"> údajov </w:t>
      </w:r>
      <w:r w:rsidRPr="006E1A2C">
        <w:rPr>
          <w:rFonts w:ascii="Times New Roman" w:hAnsi="Times New Roman"/>
          <w:color w:val="000000"/>
          <w:sz w:val="24"/>
          <w:szCs w:val="24"/>
          <w:lang w:val="sk-SK"/>
        </w:rPr>
        <w:t xml:space="preserve">Rudné bane š.p. Banská Bystrica bude osobitný príspevok podľa novej právnej úpravy zvýšený 22  súčasným poberateľom. </w:t>
      </w:r>
    </w:p>
    <w:p w:rsidR="006E1A2C" w:rsidRPr="006E1A2C" w:rsidP="006E1A2C">
      <w:pPr>
        <w:bidi w:val="0"/>
        <w:jc w:val="both"/>
        <w:rPr>
          <w:rFonts w:ascii="Times New Roman" w:hAnsi="Times New Roman"/>
          <w:sz w:val="24"/>
          <w:szCs w:val="24"/>
          <w:lang w:val="sk-SK"/>
        </w:rPr>
      </w:pPr>
      <w:r w:rsidRPr="006E1A2C">
        <w:rPr>
          <w:rFonts w:ascii="Times New Roman" w:hAnsi="Times New Roman"/>
          <w:color w:val="000000"/>
          <w:sz w:val="24"/>
          <w:szCs w:val="24"/>
          <w:lang w:val="sk-SK"/>
        </w:rPr>
        <w:t>Zároveň bude objem aktivít</w:t>
      </w:r>
      <w:r w:rsidR="00F16484">
        <w:rPr>
          <w:rFonts w:ascii="Times New Roman" w:hAnsi="Times New Roman"/>
          <w:color w:val="000000"/>
          <w:sz w:val="24"/>
          <w:szCs w:val="24"/>
          <w:lang w:val="sk-SK"/>
        </w:rPr>
        <w:t xml:space="preserve"> </w:t>
      </w:r>
      <w:r w:rsidRPr="006E1A2C" w:rsidR="00F16484">
        <w:rPr>
          <w:rFonts w:ascii="Times New Roman" w:hAnsi="Times New Roman"/>
          <w:color w:val="000000"/>
          <w:sz w:val="24"/>
          <w:szCs w:val="24"/>
          <w:lang w:val="sk-SK"/>
        </w:rPr>
        <w:t xml:space="preserve">(Rudné bane š.p. Banská Bystrica) </w:t>
      </w:r>
      <w:r w:rsidRPr="006E1A2C">
        <w:rPr>
          <w:rFonts w:ascii="Times New Roman" w:hAnsi="Times New Roman"/>
          <w:color w:val="000000"/>
          <w:sz w:val="24"/>
          <w:szCs w:val="24"/>
          <w:lang w:val="sk-SK"/>
        </w:rPr>
        <w:t xml:space="preserve"> zvýšený v súvislosti s novou právnou úpravou valorizácie osobitného príspevku. </w:t>
      </w:r>
      <w:r w:rsidRPr="006E1A2C">
        <w:rPr>
          <w:rFonts w:ascii="Times New Roman" w:hAnsi="Times New Roman"/>
          <w:sz w:val="24"/>
          <w:szCs w:val="24"/>
          <w:lang w:val="sk-SK"/>
        </w:rPr>
        <w:t xml:space="preserve">V súčasnosti poberá 94 osôb osobitný príspevok vo výške 350 eur, 170 osôb osobitný príspevok vo výške 80 eur, 21 osôb vo výške 63,07 eur a 2 osoby poberajú osobitný príspevok vo výške 49,79 eur. </w:t>
      </w:r>
    </w:p>
    <w:p w:rsidR="006E1A2C" w:rsidRPr="006E1A2C" w:rsidP="006E1A2C">
      <w:pPr>
        <w:bidi w:val="0"/>
        <w:jc w:val="both"/>
        <w:rPr>
          <w:rFonts w:ascii="Times New Roman" w:hAnsi="Times New Roman"/>
          <w:color w:val="000000"/>
          <w:sz w:val="24"/>
          <w:szCs w:val="24"/>
          <w:lang w:val="sk-SK"/>
        </w:rPr>
      </w:pPr>
      <w:r w:rsidRPr="006E1A2C">
        <w:rPr>
          <w:rFonts w:ascii="Times New Roman" w:hAnsi="Times New Roman"/>
          <w:color w:val="000000"/>
          <w:sz w:val="24"/>
          <w:szCs w:val="24"/>
          <w:lang w:val="sk-SK"/>
        </w:rPr>
        <w:t xml:space="preserve">V sledovanom období sa neočakáva nárast počtu nových poberateľov priamo vyplývajúci z navrhovanej právnej úpravy (resp. očakáva sa zanedbateľný vplyv). </w:t>
      </w:r>
    </w:p>
    <w:p w:rsidR="006E1A2C" w:rsidRPr="006E1A2C" w:rsidP="006E1A2C">
      <w:pPr>
        <w:bidi w:val="0"/>
        <w:rPr>
          <w:rFonts w:ascii="Times New Roman" w:hAnsi="Times New Roman"/>
          <w:b/>
          <w:bCs/>
          <w:sz w:val="24"/>
          <w:szCs w:val="24"/>
          <w:lang w:val="sk-SK"/>
        </w:rPr>
      </w:pPr>
      <w:r w:rsidRPr="006E1A2C">
        <w:rPr>
          <w:rFonts w:ascii="Times New Roman" w:hAnsi="Times New Roman"/>
          <w:b/>
          <w:bCs/>
          <w:sz w:val="24"/>
          <w:szCs w:val="24"/>
          <w:lang w:val="sk-SK"/>
        </w:rPr>
        <w:t>2.3.4. Výpočty vplyvov na verejné financie</w:t>
      </w:r>
    </w:p>
    <w:p w:rsidR="006E1A2C" w:rsidRPr="006E1A2C" w:rsidP="006E1A2C">
      <w:pPr>
        <w:autoSpaceDE w:val="0"/>
        <w:autoSpaceDN w:val="0"/>
        <w:bidi w:val="0"/>
        <w:jc w:val="both"/>
        <w:rPr>
          <w:rFonts w:ascii="Times New Roman" w:hAnsi="Times New Roman"/>
          <w:color w:val="000000"/>
          <w:sz w:val="24"/>
          <w:szCs w:val="24"/>
          <w:lang w:val="sk-SK"/>
        </w:rPr>
      </w:pPr>
      <w:r w:rsidRPr="006E1A2C">
        <w:rPr>
          <w:rFonts w:ascii="Times New Roman" w:hAnsi="Times New Roman"/>
          <w:color w:val="000000"/>
          <w:sz w:val="24"/>
          <w:szCs w:val="24"/>
          <w:lang w:val="sk-SK"/>
        </w:rPr>
        <w:t xml:space="preserve">Návrh </w:t>
      </w:r>
      <w:r w:rsidRPr="006E1A2C">
        <w:rPr>
          <w:rFonts w:ascii="Times New Roman" w:hAnsi="Times New Roman"/>
          <w:bCs/>
          <w:sz w:val="24"/>
          <w:szCs w:val="24"/>
          <w:lang w:val="sk-SK"/>
        </w:rPr>
        <w:t xml:space="preserve">zákona, ktorým sa mení a dopĺňa </w:t>
      </w:r>
      <w:r w:rsidRPr="006E1A2C">
        <w:rPr>
          <w:rFonts w:ascii="Times New Roman" w:hAnsi="Times New Roman"/>
          <w:color w:val="000000"/>
          <w:sz w:val="24"/>
          <w:szCs w:val="24"/>
          <w:lang w:val="sk-SK"/>
        </w:rPr>
        <w:t xml:space="preserve">zákon o osobitnom príspevku baníkom </w:t>
      </w:r>
      <w:r w:rsidRPr="006E1A2C">
        <w:rPr>
          <w:rFonts w:ascii="Times New Roman" w:hAnsi="Times New Roman"/>
          <w:sz w:val="24"/>
          <w:szCs w:val="24"/>
          <w:lang w:val="sk-SK"/>
        </w:rPr>
        <w:t xml:space="preserve">má priamy vplyv na rozpočet verejnej správy v rokoch 2016 až 2018. Kvantifikácia sa zaoberá iba negatívnym vplyvom na rozpočet verejnej správy, konkrétne na štátny rozpočet na úrovni </w:t>
      </w:r>
      <w:r w:rsidRPr="006E1A2C">
        <w:rPr>
          <w:rFonts w:ascii="Times New Roman" w:hAnsi="Times New Roman"/>
          <w:bCs/>
          <w:color w:val="000000"/>
          <w:sz w:val="24"/>
          <w:szCs w:val="24"/>
          <w:lang w:val="sk-SK"/>
        </w:rPr>
        <w:t>157 641,71</w:t>
      </w:r>
      <w:r w:rsidRPr="006E1A2C">
        <w:rPr>
          <w:rFonts w:ascii="Times New Roman" w:hAnsi="Times New Roman"/>
          <w:color w:val="000000"/>
          <w:sz w:val="24"/>
          <w:szCs w:val="24"/>
          <w:lang w:val="sk-SK"/>
        </w:rPr>
        <w:t xml:space="preserve"> eur v roku 2016, </w:t>
      </w:r>
      <w:r w:rsidRPr="006E1A2C">
        <w:rPr>
          <w:rFonts w:ascii="Times New Roman" w:hAnsi="Times New Roman"/>
          <w:bCs/>
          <w:color w:val="000000"/>
          <w:sz w:val="24"/>
          <w:szCs w:val="24"/>
          <w:lang w:val="sk-SK"/>
        </w:rPr>
        <w:t>244 483,87</w:t>
      </w:r>
      <w:r w:rsidRPr="006E1A2C">
        <w:rPr>
          <w:rFonts w:ascii="Times New Roman" w:hAnsi="Times New Roman"/>
          <w:color w:val="000000"/>
          <w:sz w:val="24"/>
          <w:szCs w:val="24"/>
          <w:lang w:val="sk-SK"/>
        </w:rPr>
        <w:t xml:space="preserve"> eur v roku 2017 a </w:t>
      </w:r>
      <w:r w:rsidRPr="006E1A2C">
        <w:rPr>
          <w:rFonts w:ascii="Times New Roman" w:hAnsi="Times New Roman"/>
          <w:bCs/>
          <w:color w:val="000000"/>
          <w:sz w:val="24"/>
          <w:szCs w:val="24"/>
          <w:lang w:val="sk-SK"/>
        </w:rPr>
        <w:t xml:space="preserve">369 105,27 </w:t>
      </w:r>
      <w:r w:rsidRPr="006E1A2C">
        <w:rPr>
          <w:rFonts w:ascii="Times New Roman" w:hAnsi="Times New Roman"/>
          <w:color w:val="000000"/>
          <w:sz w:val="24"/>
          <w:szCs w:val="24"/>
          <w:lang w:val="sk-SK"/>
        </w:rPr>
        <w:t>eur v roku 2018</w:t>
      </w:r>
      <w:r w:rsidR="00A739F3">
        <w:rPr>
          <w:rFonts w:ascii="Times New Roman" w:hAnsi="Times New Roman"/>
          <w:color w:val="000000"/>
          <w:sz w:val="24"/>
          <w:szCs w:val="24"/>
          <w:lang w:val="sk-SK"/>
        </w:rPr>
        <w:t>,</w:t>
      </w:r>
      <w:r w:rsidRPr="006E1A2C">
        <w:rPr>
          <w:rFonts w:ascii="Times New Roman" w:hAnsi="Times New Roman"/>
          <w:color w:val="000000"/>
          <w:sz w:val="24"/>
          <w:szCs w:val="24"/>
          <w:lang w:val="sk-SK"/>
        </w:rPr>
        <w:t xml:space="preserve"> keďže vyššie uvedené pozitívne vplyvy na štátny rozpočet (zníženie výdavkov) nie je možné kvantifikovať z dôvodu nedostatku údajov.</w:t>
      </w:r>
    </w:p>
    <w:p w:rsidR="006E1A2C" w:rsidRPr="006E1A2C" w:rsidP="006E1A2C">
      <w:pPr>
        <w:autoSpaceDE w:val="0"/>
        <w:autoSpaceDN w:val="0"/>
        <w:bidi w:val="0"/>
        <w:jc w:val="both"/>
        <w:rPr>
          <w:rFonts w:ascii="Times New Roman" w:hAnsi="Times New Roman"/>
          <w:b/>
          <w:sz w:val="24"/>
          <w:szCs w:val="24"/>
          <w:lang w:val="sk-SK"/>
        </w:rPr>
      </w:pPr>
      <w:r w:rsidRPr="006E1A2C">
        <w:rPr>
          <w:rFonts w:ascii="Times New Roman" w:hAnsi="Times New Roman"/>
          <w:b/>
          <w:sz w:val="24"/>
          <w:szCs w:val="24"/>
          <w:lang w:val="sk-SK"/>
        </w:rPr>
        <w:t>Kvantifikácia príjmov</w:t>
      </w:r>
    </w:p>
    <w:p w:rsidR="006E1A2C" w:rsidRPr="006E1A2C" w:rsidP="006E1A2C">
      <w:pPr>
        <w:autoSpaceDE w:val="0"/>
        <w:autoSpaceDN w:val="0"/>
        <w:bidi w:val="0"/>
        <w:jc w:val="both"/>
        <w:rPr>
          <w:rFonts w:ascii="Times New Roman" w:hAnsi="Times New Roman"/>
          <w:sz w:val="24"/>
          <w:szCs w:val="24"/>
          <w:lang w:val="sk-SK"/>
        </w:rPr>
      </w:pPr>
      <w:r w:rsidRPr="006E1A2C">
        <w:rPr>
          <w:rFonts w:ascii="Times New Roman" w:hAnsi="Times New Roman"/>
          <w:color w:val="000000"/>
          <w:sz w:val="24"/>
          <w:szCs w:val="24"/>
          <w:lang w:val="sk-SK"/>
        </w:rPr>
        <w:t xml:space="preserve">Návrh </w:t>
      </w:r>
      <w:r w:rsidRPr="006E1A2C">
        <w:rPr>
          <w:rFonts w:ascii="Times New Roman" w:hAnsi="Times New Roman"/>
          <w:bCs/>
          <w:sz w:val="24"/>
          <w:szCs w:val="24"/>
          <w:lang w:val="sk-SK"/>
        </w:rPr>
        <w:t xml:space="preserve">zákona, ktorým sa mení a dopĺňa </w:t>
      </w:r>
      <w:r w:rsidRPr="006E1A2C">
        <w:rPr>
          <w:rFonts w:ascii="Times New Roman" w:hAnsi="Times New Roman"/>
          <w:color w:val="000000"/>
          <w:sz w:val="24"/>
          <w:szCs w:val="24"/>
          <w:lang w:val="sk-SK"/>
        </w:rPr>
        <w:t xml:space="preserve">zákon o osobitnom príspevku baníkom </w:t>
      </w:r>
      <w:r w:rsidRPr="006E1A2C">
        <w:rPr>
          <w:rFonts w:ascii="Times New Roman" w:hAnsi="Times New Roman"/>
          <w:sz w:val="24"/>
          <w:szCs w:val="24"/>
          <w:lang w:val="sk-SK"/>
        </w:rPr>
        <w:t>nemá vplyv na príjmy štátneho rozpočtu (nezvyšuje ich, ale ani ich neznižuje).</w:t>
      </w:r>
    </w:p>
    <w:p w:rsidR="006E1A2C" w:rsidRPr="006E1A2C" w:rsidP="006E1A2C">
      <w:pPr>
        <w:autoSpaceDE w:val="0"/>
        <w:autoSpaceDN w:val="0"/>
        <w:bidi w:val="0"/>
        <w:jc w:val="both"/>
        <w:rPr>
          <w:rFonts w:ascii="Times New Roman" w:hAnsi="Times New Roman"/>
          <w:b/>
          <w:sz w:val="24"/>
          <w:szCs w:val="24"/>
          <w:lang w:val="sk-SK"/>
        </w:rPr>
      </w:pPr>
      <w:r w:rsidRPr="006E1A2C">
        <w:rPr>
          <w:rFonts w:ascii="Times New Roman" w:hAnsi="Times New Roman"/>
          <w:b/>
          <w:sz w:val="24"/>
          <w:szCs w:val="24"/>
          <w:lang w:val="sk-SK"/>
        </w:rPr>
        <w:t>Kvantifikácia výdavkov</w:t>
      </w:r>
    </w:p>
    <w:p w:rsidR="006E1A2C" w:rsidRPr="006E1A2C" w:rsidP="006E1A2C">
      <w:pPr>
        <w:bidi w:val="0"/>
        <w:jc w:val="both"/>
        <w:rPr>
          <w:rFonts w:ascii="Times New Roman" w:hAnsi="Times New Roman"/>
          <w:sz w:val="24"/>
          <w:szCs w:val="24"/>
          <w:lang w:val="sk-SK"/>
        </w:rPr>
      </w:pPr>
      <w:r w:rsidRPr="006E1A2C">
        <w:rPr>
          <w:rFonts w:ascii="Times New Roman" w:hAnsi="Times New Roman"/>
          <w:sz w:val="24"/>
          <w:szCs w:val="24"/>
          <w:lang w:val="sk-SK"/>
        </w:rPr>
        <w:t xml:space="preserve">Pri kvantifikácií výdavkov sa vychádzalo z podkladov poskytnutých od zamestnávateľov (údaje týkajúce sa budúcich poberateľov osobitného príspevku – súčasných zamestnancov) a z údajov </w:t>
      </w:r>
      <w:r w:rsidRPr="006E1A2C">
        <w:rPr>
          <w:rFonts w:ascii="Times New Roman" w:hAnsi="Times New Roman"/>
          <w:color w:val="000000"/>
          <w:sz w:val="24"/>
          <w:szCs w:val="24"/>
          <w:lang w:val="sk-SK"/>
        </w:rPr>
        <w:t>Rudné bane š.p. Banská Bystrica o súčasných poberateľo</w:t>
      </w:r>
      <w:r w:rsidR="00A739F3">
        <w:rPr>
          <w:rFonts w:ascii="Times New Roman" w:hAnsi="Times New Roman"/>
          <w:color w:val="000000"/>
          <w:sz w:val="24"/>
          <w:szCs w:val="24"/>
          <w:lang w:val="sk-SK"/>
        </w:rPr>
        <w:t xml:space="preserve">ch osobitného príspevku, ktorí </w:t>
      </w:r>
      <w:r w:rsidRPr="006E1A2C">
        <w:rPr>
          <w:rFonts w:ascii="Times New Roman" w:hAnsi="Times New Roman"/>
          <w:color w:val="000000"/>
          <w:sz w:val="24"/>
          <w:szCs w:val="24"/>
          <w:lang w:val="sk-SK"/>
        </w:rPr>
        <w:t> už nie sú ekonomicky aktívni v baníckom povolaní</w:t>
      </w:r>
      <w:r w:rsidR="00A739F3">
        <w:rPr>
          <w:rFonts w:ascii="Times New Roman" w:hAnsi="Times New Roman"/>
          <w:color w:val="000000"/>
          <w:sz w:val="24"/>
          <w:szCs w:val="24"/>
          <w:lang w:val="sk-SK"/>
        </w:rPr>
        <w:t xml:space="preserve"> v podzemí</w:t>
      </w:r>
      <w:r w:rsidRPr="006E1A2C">
        <w:rPr>
          <w:rFonts w:ascii="Times New Roman" w:hAnsi="Times New Roman"/>
          <w:color w:val="000000"/>
          <w:sz w:val="24"/>
          <w:szCs w:val="24"/>
          <w:lang w:val="sk-SK"/>
        </w:rPr>
        <w:t>.</w:t>
      </w:r>
      <w:r w:rsidRPr="006E1A2C">
        <w:rPr>
          <w:rFonts w:ascii="Times New Roman" w:hAnsi="Times New Roman"/>
          <w:sz w:val="24"/>
          <w:szCs w:val="24"/>
          <w:lang w:val="sk-SK"/>
        </w:rPr>
        <w:t> Pri kvantifikácii týkajúcej sa navrhovanej úpravy valorizácie</w:t>
      </w:r>
      <w:r w:rsidR="00A739F3">
        <w:rPr>
          <w:rFonts w:ascii="Times New Roman" w:hAnsi="Times New Roman"/>
          <w:sz w:val="24"/>
          <w:szCs w:val="24"/>
          <w:lang w:val="sk-SK"/>
        </w:rPr>
        <w:t xml:space="preserve"> osobitného príspevku</w:t>
      </w:r>
      <w:r w:rsidRPr="006E1A2C">
        <w:rPr>
          <w:rFonts w:ascii="Times New Roman" w:hAnsi="Times New Roman"/>
          <w:sz w:val="24"/>
          <w:szCs w:val="24"/>
          <w:lang w:val="sk-SK"/>
        </w:rPr>
        <w:t xml:space="preserve"> sa vychádzalo z makroekonomickej prognózy Ministerstva financií Slovenskej republiky z júna 2015. V súčasnosti poberá 94 osôb osobitný príspevok vo výške 350 eur, 170 osôb osobitný príspevok vo výške 80 eur, 21 osôb vo výške 63,07 eur a 2 osoby poberajú osobitný príspevok vo výške 49,79 eur. Podľa údajov </w:t>
      </w:r>
      <w:r w:rsidRPr="006E1A2C">
        <w:rPr>
          <w:rFonts w:ascii="Times New Roman" w:hAnsi="Times New Roman"/>
          <w:color w:val="000000"/>
          <w:sz w:val="24"/>
          <w:szCs w:val="24"/>
          <w:lang w:val="sk-SK"/>
        </w:rPr>
        <w:t xml:space="preserve">Rudné bane š.p. Banská Bystrica bude osobitný príspevok podľa novej právnej úpravy zvýšený 22 poberateľom, pričom sa predpokladá negatívny vplyv tohto zvýšenia na úrovni </w:t>
      </w:r>
      <w:r w:rsidRPr="006E1A2C">
        <w:rPr>
          <w:rFonts w:ascii="Times New Roman" w:hAnsi="Times New Roman"/>
          <w:bCs/>
          <w:color w:val="000000"/>
          <w:sz w:val="24"/>
          <w:szCs w:val="24"/>
          <w:lang w:val="sk-SK"/>
        </w:rPr>
        <w:t>15 581,66</w:t>
      </w:r>
      <w:r w:rsidRPr="006E1A2C">
        <w:rPr>
          <w:rFonts w:ascii="Times New Roman" w:hAnsi="Times New Roman"/>
          <w:color w:val="000000"/>
          <w:sz w:val="24"/>
          <w:szCs w:val="24"/>
          <w:lang w:val="sk-SK"/>
        </w:rPr>
        <w:t xml:space="preserve"> eur v roku 2016, </w:t>
      </w:r>
      <w:r w:rsidRPr="006E1A2C">
        <w:rPr>
          <w:rFonts w:ascii="Times New Roman" w:hAnsi="Times New Roman"/>
          <w:bCs/>
          <w:color w:val="000000"/>
          <w:sz w:val="24"/>
          <w:szCs w:val="24"/>
          <w:lang w:val="sk-SK"/>
        </w:rPr>
        <w:t>19 469</w:t>
      </w:r>
      <w:r w:rsidRPr="006E1A2C">
        <w:rPr>
          <w:rFonts w:ascii="Times New Roman" w:hAnsi="Times New Roman"/>
          <w:color w:val="000000"/>
          <w:sz w:val="24"/>
          <w:szCs w:val="24"/>
          <w:lang w:val="sk-SK"/>
        </w:rPr>
        <w:t xml:space="preserve"> eur v roku 2017 a </w:t>
      </w:r>
      <w:r w:rsidRPr="006E1A2C">
        <w:rPr>
          <w:rFonts w:ascii="Times New Roman" w:hAnsi="Times New Roman"/>
          <w:bCs/>
          <w:color w:val="000000"/>
          <w:sz w:val="24"/>
          <w:szCs w:val="24"/>
          <w:lang w:val="sk-SK"/>
        </w:rPr>
        <w:t xml:space="preserve">24 614,97 </w:t>
      </w:r>
      <w:r w:rsidRPr="006E1A2C">
        <w:rPr>
          <w:rFonts w:ascii="Times New Roman" w:hAnsi="Times New Roman"/>
          <w:color w:val="000000"/>
          <w:sz w:val="24"/>
          <w:szCs w:val="24"/>
          <w:lang w:val="sk-SK"/>
        </w:rPr>
        <w:t>eur v roku 2018. V tejto kvantifikácii je zahrnutá aj nová úprava (návrh) valorizácie osobitných príspevkov. Valorizáciou osobitných príspevkov ostatných</w:t>
      </w:r>
      <w:r w:rsidR="000428B7">
        <w:rPr>
          <w:rFonts w:ascii="Times New Roman" w:hAnsi="Times New Roman"/>
          <w:color w:val="000000"/>
          <w:sz w:val="24"/>
          <w:szCs w:val="24"/>
          <w:lang w:val="sk-SK"/>
        </w:rPr>
        <w:t xml:space="preserve"> aktuálnych</w:t>
      </w:r>
      <w:r w:rsidRPr="006E1A2C">
        <w:rPr>
          <w:rFonts w:ascii="Times New Roman" w:hAnsi="Times New Roman"/>
          <w:color w:val="000000"/>
          <w:sz w:val="24"/>
          <w:szCs w:val="24"/>
          <w:lang w:val="sk-SK"/>
        </w:rPr>
        <w:t xml:space="preserve"> poberateľov možno očakávať negatívny vplyv na úrovni </w:t>
      </w:r>
      <w:r w:rsidRPr="006E1A2C">
        <w:rPr>
          <w:rFonts w:ascii="Times New Roman" w:hAnsi="Times New Roman"/>
          <w:bCs/>
          <w:color w:val="000000"/>
          <w:sz w:val="24"/>
          <w:szCs w:val="24"/>
          <w:lang w:val="sk-SK"/>
        </w:rPr>
        <w:t>11 584,53</w:t>
      </w:r>
      <w:r w:rsidRPr="006E1A2C">
        <w:rPr>
          <w:rFonts w:ascii="Times New Roman" w:hAnsi="Times New Roman"/>
          <w:color w:val="000000"/>
          <w:sz w:val="24"/>
          <w:szCs w:val="24"/>
          <w:lang w:val="sk-SK"/>
        </w:rPr>
        <w:t xml:space="preserve"> eur v roku 2016, </w:t>
      </w:r>
      <w:r w:rsidRPr="006E1A2C">
        <w:rPr>
          <w:rFonts w:ascii="Times New Roman" w:hAnsi="Times New Roman"/>
          <w:bCs/>
          <w:color w:val="000000"/>
          <w:sz w:val="24"/>
          <w:szCs w:val="24"/>
          <w:lang w:val="sk-SK"/>
        </w:rPr>
        <w:t>29 378,36</w:t>
      </w:r>
      <w:r w:rsidRPr="006E1A2C">
        <w:rPr>
          <w:rFonts w:ascii="Times New Roman" w:hAnsi="Times New Roman"/>
          <w:color w:val="000000"/>
          <w:sz w:val="24"/>
          <w:szCs w:val="24"/>
          <w:lang w:val="sk-SK"/>
        </w:rPr>
        <w:t xml:space="preserve"> eur v roku 2017 a </w:t>
      </w:r>
      <w:r w:rsidRPr="006E1A2C">
        <w:rPr>
          <w:rFonts w:ascii="Times New Roman" w:hAnsi="Times New Roman"/>
          <w:bCs/>
          <w:color w:val="000000"/>
          <w:sz w:val="24"/>
          <w:szCs w:val="24"/>
          <w:lang w:val="sk-SK"/>
        </w:rPr>
        <w:t xml:space="preserve">52 933,44 </w:t>
      </w:r>
      <w:r w:rsidRPr="006E1A2C">
        <w:rPr>
          <w:rFonts w:ascii="Times New Roman" w:hAnsi="Times New Roman"/>
          <w:color w:val="000000"/>
          <w:sz w:val="24"/>
          <w:szCs w:val="24"/>
          <w:lang w:val="sk-SK"/>
        </w:rPr>
        <w:t xml:space="preserve">eur v roku 2018. Zamestnávatelia podľa svojej </w:t>
      </w:r>
      <w:r w:rsidR="00B85035">
        <w:rPr>
          <w:rFonts w:ascii="Times New Roman" w:hAnsi="Times New Roman"/>
          <w:color w:val="000000"/>
          <w:sz w:val="24"/>
          <w:szCs w:val="24"/>
          <w:lang w:val="sk-SK"/>
        </w:rPr>
        <w:t>evidencie uvádzajú, že v roku 2016 sa zvýši</w:t>
      </w:r>
      <w:r w:rsidRPr="006E1A2C">
        <w:rPr>
          <w:rFonts w:ascii="Times New Roman" w:hAnsi="Times New Roman"/>
          <w:color w:val="000000"/>
          <w:sz w:val="24"/>
          <w:szCs w:val="24"/>
          <w:lang w:val="sk-SK"/>
        </w:rPr>
        <w:t xml:space="preserve"> počet</w:t>
      </w:r>
      <w:r w:rsidR="00B85035">
        <w:rPr>
          <w:rFonts w:ascii="Times New Roman" w:hAnsi="Times New Roman"/>
          <w:color w:val="000000"/>
          <w:sz w:val="24"/>
          <w:szCs w:val="24"/>
          <w:lang w:val="sk-SK"/>
        </w:rPr>
        <w:t xml:space="preserve"> (súčasných)</w:t>
      </w:r>
      <w:r w:rsidRPr="006E1A2C">
        <w:rPr>
          <w:rFonts w:ascii="Times New Roman" w:hAnsi="Times New Roman"/>
          <w:color w:val="000000"/>
          <w:sz w:val="24"/>
          <w:szCs w:val="24"/>
          <w:lang w:val="sk-SK"/>
        </w:rPr>
        <w:t xml:space="preserve"> poberateľov</w:t>
      </w:r>
      <w:r w:rsidR="00B85035">
        <w:rPr>
          <w:rFonts w:ascii="Times New Roman" w:hAnsi="Times New Roman"/>
          <w:color w:val="000000"/>
          <w:sz w:val="24"/>
          <w:szCs w:val="24"/>
          <w:lang w:val="sk-SK"/>
        </w:rPr>
        <w:t>,</w:t>
      </w:r>
      <w:r w:rsidRPr="006E1A2C">
        <w:rPr>
          <w:rFonts w:ascii="Times New Roman" w:hAnsi="Times New Roman"/>
          <w:color w:val="000000"/>
          <w:sz w:val="24"/>
          <w:szCs w:val="24"/>
          <w:lang w:val="sk-SK"/>
        </w:rPr>
        <w:t xml:space="preserve"> na ktorých sa bude uplatňovať vzorec pre výpočet sumy zvýšenia osobitného príspevku podľa § 5 ods. 4 písm. a) (suma zvýšenia rovnajúca sa jednej pätnástine z 350 eur) o 4 osoby, v r</w:t>
      </w:r>
      <w:r w:rsidR="00EF0F88">
        <w:rPr>
          <w:rFonts w:ascii="Times New Roman" w:hAnsi="Times New Roman"/>
          <w:color w:val="000000"/>
          <w:sz w:val="24"/>
          <w:szCs w:val="24"/>
          <w:lang w:val="sk-SK"/>
        </w:rPr>
        <w:t>oku 2017 sa zvýši počet poberateľov osobitného príspevku o 2 osoby a v roku 2018 o 5 osôb; zároveň dôjde k zvýšeniu počtu poberateľov</w:t>
      </w:r>
      <w:r w:rsidRPr="006E1A2C">
        <w:rPr>
          <w:rFonts w:ascii="Times New Roman" w:hAnsi="Times New Roman"/>
          <w:color w:val="000000"/>
          <w:sz w:val="24"/>
          <w:szCs w:val="24"/>
          <w:lang w:val="sk-SK"/>
        </w:rPr>
        <w:t xml:space="preserve"> o 68 v roku 2016, v roku 2017 o 22 osôb a v roku 2018 o 20 osôb, na ktoré sa bude uplatňovať vzorec pre výpočet sumy zvýšenia osobitného príspevku podľa § 5 ods. 4 písm. b)  (suma zvýšenia rovnajúca sa jednej dvadsatine z 350 eur). Vplyv návrhu zákona (vrátane valorizácie)  na tieto budúce nároky (budúcich poberateľov) možno očakávať  pri vzorci podľa § 5 ods. 4 písm. a) na úrovni </w:t>
      </w:r>
      <w:r w:rsidRPr="006E1A2C">
        <w:rPr>
          <w:rFonts w:ascii="Times New Roman" w:hAnsi="Times New Roman"/>
          <w:bCs/>
          <w:color w:val="000000"/>
          <w:sz w:val="24"/>
          <w:szCs w:val="24"/>
          <w:lang w:val="sk-SK"/>
        </w:rPr>
        <w:t>9 004,80</w:t>
      </w:r>
      <w:r w:rsidRPr="006E1A2C">
        <w:rPr>
          <w:rFonts w:ascii="Times New Roman" w:hAnsi="Times New Roman"/>
          <w:color w:val="000000"/>
          <w:sz w:val="24"/>
          <w:szCs w:val="24"/>
          <w:lang w:val="sk-SK"/>
        </w:rPr>
        <w:t xml:space="preserve"> eur v roku 2016, </w:t>
      </w:r>
      <w:r w:rsidRPr="006E1A2C">
        <w:rPr>
          <w:rFonts w:ascii="Times New Roman" w:hAnsi="Times New Roman"/>
          <w:bCs/>
          <w:color w:val="000000"/>
          <w:sz w:val="24"/>
          <w:szCs w:val="24"/>
          <w:lang w:val="sk-SK"/>
        </w:rPr>
        <w:t>14 232,31</w:t>
      </w:r>
      <w:r w:rsidRPr="006E1A2C">
        <w:rPr>
          <w:rFonts w:ascii="Times New Roman" w:hAnsi="Times New Roman"/>
          <w:color w:val="000000"/>
          <w:sz w:val="24"/>
          <w:szCs w:val="24"/>
          <w:lang w:val="sk-SK"/>
        </w:rPr>
        <w:t xml:space="preserve"> eur v roku 2017 a </w:t>
      </w:r>
      <w:r w:rsidRPr="006E1A2C">
        <w:rPr>
          <w:rFonts w:ascii="Times New Roman" w:hAnsi="Times New Roman"/>
          <w:bCs/>
          <w:color w:val="000000"/>
          <w:sz w:val="24"/>
          <w:szCs w:val="24"/>
          <w:lang w:val="sk-SK"/>
        </w:rPr>
        <w:t xml:space="preserve">36 758,46 </w:t>
      </w:r>
      <w:r w:rsidRPr="006E1A2C">
        <w:rPr>
          <w:rFonts w:ascii="Times New Roman" w:hAnsi="Times New Roman"/>
          <w:color w:val="000000"/>
          <w:sz w:val="24"/>
          <w:szCs w:val="24"/>
          <w:lang w:val="sk-SK"/>
        </w:rPr>
        <w:t xml:space="preserve">eur v roku 2018 a pri vzorci podľa § 5 ods. 4 písm. b) na úrovni </w:t>
      </w:r>
      <w:r w:rsidRPr="006E1A2C">
        <w:rPr>
          <w:rFonts w:ascii="Times New Roman" w:hAnsi="Times New Roman"/>
          <w:bCs/>
          <w:color w:val="000000"/>
          <w:sz w:val="24"/>
          <w:szCs w:val="24"/>
          <w:lang w:val="sk-SK"/>
        </w:rPr>
        <w:t>121 470,72</w:t>
      </w:r>
      <w:r w:rsidRPr="006E1A2C">
        <w:rPr>
          <w:rFonts w:ascii="Times New Roman" w:hAnsi="Times New Roman"/>
          <w:color w:val="000000"/>
          <w:sz w:val="24"/>
          <w:szCs w:val="24"/>
          <w:lang w:val="sk-SK"/>
        </w:rPr>
        <w:t xml:space="preserve"> eur v roku 2016, </w:t>
      </w:r>
      <w:r w:rsidRPr="006E1A2C">
        <w:rPr>
          <w:rFonts w:ascii="Times New Roman" w:hAnsi="Times New Roman"/>
          <w:bCs/>
          <w:color w:val="000000"/>
          <w:sz w:val="24"/>
          <w:szCs w:val="24"/>
          <w:lang w:val="sk-SK"/>
        </w:rPr>
        <w:t>181 404,20</w:t>
      </w:r>
      <w:r w:rsidRPr="006E1A2C">
        <w:rPr>
          <w:rFonts w:ascii="Times New Roman" w:hAnsi="Times New Roman"/>
          <w:color w:val="000000"/>
          <w:sz w:val="24"/>
          <w:szCs w:val="24"/>
          <w:lang w:val="sk-SK"/>
        </w:rPr>
        <w:t xml:space="preserve"> eur v roku 2017 a </w:t>
      </w:r>
      <w:r w:rsidRPr="006E1A2C">
        <w:rPr>
          <w:rFonts w:ascii="Times New Roman" w:hAnsi="Times New Roman"/>
          <w:bCs/>
          <w:color w:val="000000"/>
          <w:sz w:val="24"/>
          <w:szCs w:val="24"/>
          <w:lang w:val="sk-SK"/>
        </w:rPr>
        <w:t xml:space="preserve">254 798,39 </w:t>
      </w:r>
      <w:r w:rsidRPr="006E1A2C">
        <w:rPr>
          <w:rFonts w:ascii="Times New Roman" w:hAnsi="Times New Roman"/>
          <w:color w:val="000000"/>
          <w:sz w:val="24"/>
          <w:szCs w:val="24"/>
          <w:lang w:val="sk-SK"/>
        </w:rPr>
        <w:t>eur v roku 2018.</w:t>
      </w:r>
    </w:p>
    <w:p w:rsidR="006E1A2C" w:rsidRPr="006E1A2C" w:rsidP="006E1A2C">
      <w:pPr>
        <w:pStyle w:val="ListParagraph"/>
        <w:bidi w:val="0"/>
        <w:jc w:val="both"/>
        <w:rPr>
          <w:rFonts w:ascii="Times New Roman" w:hAnsi="Times New Roman"/>
        </w:rPr>
      </w:pPr>
    </w:p>
    <w:p w:rsidR="006E1A2C" w:rsidRPr="006E1A2C" w:rsidP="006E1A2C">
      <w:pPr>
        <w:autoSpaceDE w:val="0"/>
        <w:autoSpaceDN w:val="0"/>
        <w:bidi w:val="0"/>
        <w:jc w:val="both"/>
        <w:rPr>
          <w:rFonts w:ascii="Times New Roman" w:hAnsi="Times New Roman"/>
          <w:b/>
          <w:sz w:val="24"/>
          <w:szCs w:val="24"/>
          <w:lang w:val="sk-SK"/>
        </w:rPr>
      </w:pPr>
      <w:r w:rsidRPr="006E1A2C">
        <w:rPr>
          <w:rFonts w:ascii="Times New Roman" w:hAnsi="Times New Roman"/>
          <w:b/>
          <w:sz w:val="24"/>
          <w:szCs w:val="24"/>
          <w:lang w:val="sk-SK"/>
        </w:rPr>
        <w:t>Vplyv na jednotlivé kategórie príjmov a výdavkov rozpočtu verejnej správy</w:t>
      </w:r>
    </w:p>
    <w:p w:rsidR="006E1A2C" w:rsidRPr="006E1A2C" w:rsidP="006E1A2C">
      <w:pPr>
        <w:autoSpaceDE w:val="0"/>
        <w:autoSpaceDN w:val="0"/>
        <w:bidi w:val="0"/>
        <w:jc w:val="both"/>
        <w:rPr>
          <w:rFonts w:ascii="Times New Roman" w:hAnsi="Times New Roman"/>
          <w:sz w:val="24"/>
          <w:szCs w:val="24"/>
          <w:lang w:val="sk-SK"/>
        </w:rPr>
      </w:pPr>
      <w:r w:rsidRPr="006E1A2C">
        <w:rPr>
          <w:rFonts w:ascii="Times New Roman" w:hAnsi="Times New Roman"/>
          <w:i/>
          <w:sz w:val="24"/>
          <w:szCs w:val="24"/>
          <w:lang w:val="sk-SK"/>
        </w:rPr>
        <w:t>Výdavky štátneho rozpočtu</w:t>
      </w:r>
      <w:r w:rsidRPr="006E1A2C">
        <w:rPr>
          <w:rFonts w:ascii="Times New Roman" w:hAnsi="Times New Roman"/>
          <w:b/>
          <w:sz w:val="24"/>
          <w:szCs w:val="24"/>
          <w:lang w:val="sk-SK"/>
        </w:rPr>
        <w:t xml:space="preserve"> </w:t>
      </w:r>
      <w:r w:rsidRPr="006E1A2C">
        <w:rPr>
          <w:rFonts w:ascii="Times New Roman" w:hAnsi="Times New Roman"/>
          <w:sz w:val="24"/>
          <w:szCs w:val="24"/>
          <w:lang w:val="sk-SK"/>
        </w:rPr>
        <w:t>–  predpokladá sa zvýšenie výdavkov rozpočtovej kapitoly Ministerstva hospodárstva Slovenskej republiky určených na výplatu osobitného príspevku.</w:t>
      </w:r>
    </w:p>
    <w:p w:rsidR="006E1A2C" w:rsidRPr="006E1A2C" w:rsidP="006E1A2C">
      <w:pPr>
        <w:bidi w:val="0"/>
        <w:rPr>
          <w:rFonts w:ascii="Times New Roman" w:hAnsi="Times New Roman"/>
          <w:sz w:val="24"/>
          <w:szCs w:val="24"/>
          <w:lang w:val="sk-SK"/>
        </w:rPr>
      </w:pPr>
    </w:p>
    <w:p w:rsidR="006E1A2C" w:rsidP="006E1A2C">
      <w:pPr>
        <w:bidi w:val="0"/>
        <w:rPr>
          <w:rFonts w:ascii="Times New Roman" w:hAnsi="Times New Roman"/>
          <w:sz w:val="24"/>
          <w:szCs w:val="24"/>
          <w:lang w:val="sk-SK"/>
        </w:rPr>
      </w:pPr>
    </w:p>
    <w:p w:rsidR="00A739F3" w:rsidP="006E1A2C">
      <w:pPr>
        <w:bidi w:val="0"/>
        <w:rPr>
          <w:rFonts w:ascii="Times New Roman" w:hAnsi="Times New Roman"/>
          <w:sz w:val="24"/>
          <w:szCs w:val="24"/>
          <w:lang w:val="sk-SK"/>
        </w:rPr>
      </w:pPr>
    </w:p>
    <w:p w:rsidR="00A739F3" w:rsidP="006E1A2C">
      <w:pPr>
        <w:bidi w:val="0"/>
        <w:rPr>
          <w:rFonts w:ascii="Times New Roman" w:hAnsi="Times New Roman"/>
          <w:sz w:val="24"/>
          <w:szCs w:val="24"/>
          <w:lang w:val="sk-SK"/>
        </w:rPr>
      </w:pPr>
    </w:p>
    <w:p w:rsidR="00A739F3" w:rsidRPr="006E1A2C" w:rsidP="006E1A2C">
      <w:pPr>
        <w:bidi w:val="0"/>
        <w:rPr>
          <w:rFonts w:ascii="Times New Roman" w:hAnsi="Times New Roman"/>
          <w:sz w:val="24"/>
          <w:szCs w:val="24"/>
          <w:lang w:val="sk-SK"/>
        </w:rPr>
      </w:pPr>
    </w:p>
    <w:tbl>
      <w:tblPr>
        <w:tblStyle w:val="TableNormal"/>
        <w:tblW w:w="9224" w:type="dxa"/>
        <w:tblInd w:w="55" w:type="dxa"/>
        <w:tblCellMar>
          <w:left w:w="70" w:type="dxa"/>
          <w:right w:w="70" w:type="dxa"/>
        </w:tblCellMar>
        <w:tblLook w:val="04A0"/>
      </w:tblPr>
      <w:tblGrid>
        <w:gridCol w:w="582"/>
        <w:gridCol w:w="3544"/>
        <w:gridCol w:w="851"/>
        <w:gridCol w:w="1417"/>
        <w:gridCol w:w="1415"/>
        <w:gridCol w:w="1415"/>
      </w:tblGrid>
      <w:tr>
        <w:tblPrEx>
          <w:tblW w:w="9224" w:type="dxa"/>
          <w:tblInd w:w="55" w:type="dxa"/>
          <w:tblCellMar>
            <w:left w:w="70" w:type="dxa"/>
            <w:right w:w="70" w:type="dxa"/>
          </w:tblCellMar>
          <w:tblLook w:val="04A0"/>
        </w:tblPrEx>
        <w:trPr>
          <w:trHeight w:val="315"/>
        </w:trPr>
        <w:tc>
          <w:tcPr>
            <w:tcW w:w="582" w:type="dxa"/>
            <w:tcBorders>
              <w:top w:val="single" w:sz="4" w:space="0" w:color="auto"/>
              <w:left w:val="single" w:sz="4" w:space="0" w:color="auto"/>
              <w:bottom w:val="nil"/>
              <w:right w:val="nil"/>
            </w:tcBorders>
            <w:shd w:val="clear" w:color="000000" w:fill="000000"/>
            <w:noWrap/>
            <w:textDirection w:val="lrTb"/>
            <w:vAlign w:val="bottom"/>
            <w:hideMark/>
          </w:tcPr>
          <w:p w:rsidR="006E1A2C" w:rsidRPr="006E1A2C" w:rsidP="005D00CB">
            <w:pPr>
              <w:bidi w:val="0"/>
              <w:rPr>
                <w:rFonts w:ascii="Times New Roman" w:hAnsi="Times New Roman"/>
                <w:b/>
                <w:bCs/>
                <w:color w:val="FFFFFF"/>
                <w:sz w:val="24"/>
                <w:szCs w:val="24"/>
                <w:lang w:val="sk-SK"/>
              </w:rPr>
            </w:pPr>
            <w:r w:rsidRPr="006E1A2C">
              <w:rPr>
                <w:rFonts w:ascii="Times New Roman" w:hAnsi="Times New Roman"/>
                <w:b/>
                <w:bCs/>
                <w:color w:val="FFFFFF"/>
                <w:sz w:val="24"/>
                <w:szCs w:val="24"/>
                <w:lang w:val="sk-SK"/>
              </w:rPr>
              <w:t> </w:t>
            </w:r>
          </w:p>
        </w:tc>
        <w:tc>
          <w:tcPr>
            <w:tcW w:w="3544" w:type="dxa"/>
            <w:tcBorders>
              <w:top w:val="single" w:sz="4" w:space="0" w:color="auto"/>
              <w:left w:val="nil"/>
              <w:bottom w:val="nil"/>
              <w:right w:val="nil"/>
            </w:tcBorders>
            <w:shd w:val="clear" w:color="000000" w:fill="000000"/>
            <w:noWrap/>
            <w:textDirection w:val="lrTb"/>
            <w:vAlign w:val="bottom"/>
            <w:hideMark/>
          </w:tcPr>
          <w:p w:rsidR="006E1A2C" w:rsidRPr="006E1A2C" w:rsidP="005D00CB">
            <w:pPr>
              <w:bidi w:val="0"/>
              <w:rPr>
                <w:rFonts w:ascii="Times New Roman" w:hAnsi="Times New Roman"/>
                <w:b/>
                <w:bCs/>
                <w:color w:val="FFFFFF"/>
                <w:sz w:val="24"/>
                <w:szCs w:val="24"/>
                <w:lang w:val="sk-SK"/>
              </w:rPr>
            </w:pPr>
            <w:r w:rsidRPr="006E1A2C">
              <w:rPr>
                <w:rFonts w:ascii="Times New Roman" w:hAnsi="Times New Roman"/>
                <w:b/>
                <w:bCs/>
                <w:color w:val="FFFFFF"/>
                <w:sz w:val="24"/>
                <w:szCs w:val="24"/>
                <w:lang w:val="sk-SK"/>
              </w:rPr>
              <w:t> </w:t>
            </w:r>
          </w:p>
        </w:tc>
        <w:tc>
          <w:tcPr>
            <w:tcW w:w="5098" w:type="dxa"/>
            <w:gridSpan w:val="4"/>
            <w:tcBorders>
              <w:top w:val="single" w:sz="4" w:space="0" w:color="auto"/>
              <w:left w:val="nil"/>
              <w:bottom w:val="nil"/>
              <w:right w:val="nil"/>
            </w:tcBorders>
            <w:shd w:val="clear" w:color="000000" w:fill="000000"/>
            <w:noWrap/>
            <w:textDirection w:val="lrTb"/>
            <w:vAlign w:val="bottom"/>
            <w:hideMark/>
          </w:tcPr>
          <w:p w:rsidR="006E1A2C" w:rsidRPr="006E1A2C" w:rsidP="005D00CB">
            <w:pPr>
              <w:bidi w:val="0"/>
              <w:jc w:val="center"/>
              <w:rPr>
                <w:rFonts w:ascii="Times New Roman" w:hAnsi="Times New Roman"/>
                <w:b/>
                <w:bCs/>
                <w:color w:val="FFFFFF"/>
                <w:sz w:val="24"/>
                <w:szCs w:val="24"/>
                <w:lang w:val="sk-SK"/>
              </w:rPr>
            </w:pPr>
            <w:r w:rsidRPr="006E1A2C">
              <w:rPr>
                <w:rFonts w:ascii="Times New Roman" w:hAnsi="Times New Roman"/>
                <w:b/>
                <w:bCs/>
                <w:color w:val="FFFFFF"/>
                <w:sz w:val="24"/>
                <w:szCs w:val="24"/>
                <w:lang w:val="sk-SK"/>
              </w:rPr>
              <w:t xml:space="preserve">Vplyv na rozpočet verejnej správy </w:t>
            </w:r>
          </w:p>
        </w:tc>
      </w:tr>
      <w:tr>
        <w:tblPrEx>
          <w:tblW w:w="9224" w:type="dxa"/>
          <w:tblInd w:w="55" w:type="dxa"/>
          <w:tblCellMar>
            <w:left w:w="70" w:type="dxa"/>
            <w:right w:w="70" w:type="dxa"/>
          </w:tblCellMar>
          <w:tblLook w:val="04A0"/>
        </w:tblPrEx>
        <w:trPr>
          <w:trHeight w:val="315"/>
        </w:trPr>
        <w:tc>
          <w:tcPr>
            <w:tcW w:w="582" w:type="dxa"/>
            <w:tcBorders>
              <w:top w:val="nil"/>
              <w:left w:val="single" w:sz="4" w:space="0" w:color="auto"/>
              <w:bottom w:val="nil"/>
              <w:right w:val="nil"/>
            </w:tcBorders>
            <w:shd w:val="clear" w:color="000000" w:fill="000000"/>
            <w:noWrap/>
            <w:textDirection w:val="lrTb"/>
            <w:vAlign w:val="bottom"/>
            <w:hideMark/>
          </w:tcPr>
          <w:p w:rsidR="006E1A2C" w:rsidRPr="006E1A2C" w:rsidP="005D00CB">
            <w:pPr>
              <w:bidi w:val="0"/>
              <w:rPr>
                <w:rFonts w:ascii="Times New Roman" w:hAnsi="Times New Roman"/>
                <w:b/>
                <w:bCs/>
                <w:color w:val="FFFFFF"/>
                <w:sz w:val="24"/>
                <w:szCs w:val="24"/>
                <w:lang w:val="sk-SK"/>
              </w:rPr>
            </w:pPr>
            <w:r w:rsidRPr="006E1A2C">
              <w:rPr>
                <w:rFonts w:ascii="Times New Roman" w:hAnsi="Times New Roman"/>
                <w:b/>
                <w:bCs/>
                <w:color w:val="FFFFFF"/>
                <w:sz w:val="24"/>
                <w:szCs w:val="24"/>
                <w:lang w:val="sk-SK"/>
              </w:rPr>
              <w:t> </w:t>
            </w:r>
          </w:p>
        </w:tc>
        <w:tc>
          <w:tcPr>
            <w:tcW w:w="3544" w:type="dxa"/>
            <w:tcBorders>
              <w:top w:val="nil"/>
              <w:left w:val="nil"/>
              <w:bottom w:val="nil"/>
              <w:right w:val="nil"/>
            </w:tcBorders>
            <w:shd w:val="clear" w:color="000000" w:fill="000000"/>
            <w:noWrap/>
            <w:textDirection w:val="lrTb"/>
            <w:vAlign w:val="bottom"/>
            <w:hideMark/>
          </w:tcPr>
          <w:p w:rsidR="006E1A2C" w:rsidRPr="006E1A2C" w:rsidP="005D00CB">
            <w:pPr>
              <w:bidi w:val="0"/>
              <w:rPr>
                <w:rFonts w:ascii="Times New Roman" w:hAnsi="Times New Roman"/>
                <w:b/>
                <w:bCs/>
                <w:color w:val="FFFFFF"/>
                <w:sz w:val="24"/>
                <w:szCs w:val="24"/>
                <w:u w:val="single"/>
                <w:lang w:val="sk-SK"/>
              </w:rPr>
            </w:pPr>
            <w:r w:rsidRPr="006E1A2C">
              <w:rPr>
                <w:rFonts w:ascii="Times New Roman" w:hAnsi="Times New Roman"/>
                <w:b/>
                <w:bCs/>
                <w:color w:val="FFFFFF"/>
                <w:sz w:val="24"/>
                <w:szCs w:val="24"/>
                <w:u w:val="single"/>
                <w:lang w:val="sk-SK"/>
              </w:rPr>
              <w:t>Rozpočet verejnej správy - výdavky (v eur)</w:t>
            </w:r>
          </w:p>
        </w:tc>
        <w:tc>
          <w:tcPr>
            <w:tcW w:w="851" w:type="dxa"/>
            <w:tcBorders>
              <w:top w:val="nil"/>
              <w:left w:val="nil"/>
              <w:bottom w:val="nil"/>
              <w:right w:val="nil"/>
            </w:tcBorders>
            <w:shd w:val="clear" w:color="000000" w:fill="000000"/>
            <w:noWrap/>
            <w:textDirection w:val="lrTb"/>
            <w:vAlign w:val="bottom"/>
            <w:hideMark/>
          </w:tcPr>
          <w:p w:rsidR="006E1A2C" w:rsidRPr="006E1A2C" w:rsidP="005D00CB">
            <w:pPr>
              <w:bidi w:val="0"/>
              <w:jc w:val="center"/>
              <w:rPr>
                <w:rFonts w:ascii="Times New Roman" w:hAnsi="Times New Roman"/>
                <w:b/>
                <w:bCs/>
                <w:color w:val="FFFFFF"/>
                <w:sz w:val="24"/>
                <w:szCs w:val="24"/>
                <w:lang w:val="sk-SK"/>
              </w:rPr>
            </w:pPr>
            <w:r w:rsidRPr="006E1A2C">
              <w:rPr>
                <w:rFonts w:ascii="Times New Roman" w:hAnsi="Times New Roman"/>
                <w:b/>
                <w:bCs/>
                <w:color w:val="FFFFFF"/>
                <w:sz w:val="24"/>
                <w:szCs w:val="24"/>
                <w:lang w:val="sk-SK"/>
              </w:rPr>
              <w:t>2015</w:t>
            </w:r>
          </w:p>
        </w:tc>
        <w:tc>
          <w:tcPr>
            <w:tcW w:w="1417" w:type="dxa"/>
            <w:tcBorders>
              <w:top w:val="nil"/>
              <w:left w:val="nil"/>
              <w:bottom w:val="nil"/>
              <w:right w:val="nil"/>
            </w:tcBorders>
            <w:shd w:val="clear" w:color="000000" w:fill="000000"/>
            <w:noWrap/>
            <w:textDirection w:val="lrTb"/>
            <w:vAlign w:val="bottom"/>
            <w:hideMark/>
          </w:tcPr>
          <w:p w:rsidR="006E1A2C" w:rsidRPr="006E1A2C" w:rsidP="005D00CB">
            <w:pPr>
              <w:bidi w:val="0"/>
              <w:jc w:val="center"/>
              <w:rPr>
                <w:rFonts w:ascii="Times New Roman" w:hAnsi="Times New Roman"/>
                <w:b/>
                <w:bCs/>
                <w:color w:val="FFFFFF"/>
                <w:sz w:val="24"/>
                <w:szCs w:val="24"/>
                <w:lang w:val="sk-SK"/>
              </w:rPr>
            </w:pPr>
            <w:r w:rsidRPr="006E1A2C">
              <w:rPr>
                <w:rFonts w:ascii="Times New Roman" w:hAnsi="Times New Roman"/>
                <w:b/>
                <w:bCs/>
                <w:color w:val="FFFFFF"/>
                <w:sz w:val="24"/>
                <w:szCs w:val="24"/>
                <w:lang w:val="sk-SK"/>
              </w:rPr>
              <w:t>2016</w:t>
            </w:r>
          </w:p>
        </w:tc>
        <w:tc>
          <w:tcPr>
            <w:tcW w:w="1415" w:type="dxa"/>
            <w:tcBorders>
              <w:top w:val="nil"/>
              <w:left w:val="nil"/>
              <w:bottom w:val="nil"/>
              <w:right w:val="nil"/>
            </w:tcBorders>
            <w:shd w:val="clear" w:color="000000" w:fill="000000"/>
            <w:noWrap/>
            <w:textDirection w:val="lrTb"/>
            <w:vAlign w:val="bottom"/>
            <w:hideMark/>
          </w:tcPr>
          <w:p w:rsidR="006E1A2C" w:rsidRPr="006E1A2C" w:rsidP="005D00CB">
            <w:pPr>
              <w:bidi w:val="0"/>
              <w:jc w:val="center"/>
              <w:rPr>
                <w:rFonts w:ascii="Times New Roman" w:hAnsi="Times New Roman"/>
                <w:b/>
                <w:bCs/>
                <w:color w:val="FFFFFF"/>
                <w:sz w:val="24"/>
                <w:szCs w:val="24"/>
                <w:lang w:val="sk-SK"/>
              </w:rPr>
            </w:pPr>
            <w:r w:rsidRPr="006E1A2C">
              <w:rPr>
                <w:rFonts w:ascii="Times New Roman" w:hAnsi="Times New Roman"/>
                <w:b/>
                <w:bCs/>
                <w:color w:val="FFFFFF"/>
                <w:sz w:val="24"/>
                <w:szCs w:val="24"/>
                <w:lang w:val="sk-SK"/>
              </w:rPr>
              <w:t>2017</w:t>
            </w:r>
          </w:p>
        </w:tc>
        <w:tc>
          <w:tcPr>
            <w:tcW w:w="1415" w:type="dxa"/>
            <w:tcBorders>
              <w:top w:val="nil"/>
              <w:left w:val="nil"/>
              <w:bottom w:val="nil"/>
              <w:right w:val="nil"/>
            </w:tcBorders>
            <w:shd w:val="clear" w:color="000000" w:fill="000000"/>
            <w:noWrap/>
            <w:textDirection w:val="lrTb"/>
            <w:vAlign w:val="bottom"/>
            <w:hideMark/>
          </w:tcPr>
          <w:p w:rsidR="006E1A2C" w:rsidRPr="006E1A2C" w:rsidP="005D00CB">
            <w:pPr>
              <w:bidi w:val="0"/>
              <w:jc w:val="center"/>
              <w:rPr>
                <w:rFonts w:ascii="Times New Roman" w:hAnsi="Times New Roman"/>
                <w:b/>
                <w:bCs/>
                <w:color w:val="FFFFFF"/>
                <w:sz w:val="24"/>
                <w:szCs w:val="24"/>
                <w:lang w:val="sk-SK"/>
              </w:rPr>
            </w:pPr>
            <w:r w:rsidRPr="006E1A2C">
              <w:rPr>
                <w:rFonts w:ascii="Times New Roman" w:hAnsi="Times New Roman"/>
                <w:b/>
                <w:bCs/>
                <w:color w:val="FFFFFF"/>
                <w:sz w:val="24"/>
                <w:szCs w:val="24"/>
                <w:lang w:val="sk-SK"/>
              </w:rPr>
              <w:t>2018</w:t>
            </w:r>
          </w:p>
        </w:tc>
      </w:tr>
      <w:tr>
        <w:tblPrEx>
          <w:tblW w:w="9224" w:type="dxa"/>
          <w:tblInd w:w="55" w:type="dxa"/>
          <w:tblCellMar>
            <w:left w:w="70" w:type="dxa"/>
            <w:right w:w="70" w:type="dxa"/>
          </w:tblCellMar>
          <w:tblLook w:val="04A0"/>
        </w:tblPrEx>
        <w:trPr>
          <w:trHeight w:val="315"/>
        </w:trPr>
        <w:tc>
          <w:tcPr>
            <w:tcW w:w="582" w:type="dxa"/>
            <w:tcBorders>
              <w:top w:val="single" w:sz="4" w:space="0" w:color="auto"/>
              <w:left w:val="single" w:sz="4" w:space="0" w:color="auto"/>
              <w:bottom w:val="single" w:sz="4" w:space="0" w:color="auto"/>
              <w:right w:val="single" w:sz="4" w:space="0" w:color="auto"/>
            </w:tcBorders>
            <w:noWrap/>
            <w:textDirection w:val="lrTb"/>
            <w:vAlign w:val="center"/>
            <w:hideMark/>
          </w:tcPr>
          <w:p w:rsidR="006E1A2C" w:rsidRPr="006E1A2C" w:rsidP="005D00CB">
            <w:pPr>
              <w:bidi w:val="0"/>
              <w:jc w:val="center"/>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600</w:t>
            </w:r>
          </w:p>
        </w:tc>
        <w:tc>
          <w:tcPr>
            <w:tcW w:w="3544" w:type="dxa"/>
            <w:tcBorders>
              <w:top w:val="single" w:sz="4" w:space="0" w:color="auto"/>
              <w:left w:val="nil"/>
              <w:bottom w:val="single" w:sz="4" w:space="0" w:color="auto"/>
              <w:right w:val="single" w:sz="4" w:space="0" w:color="auto"/>
            </w:tcBorders>
            <w:noWrap/>
            <w:textDirection w:val="lrTb"/>
            <w:vAlign w:val="bottom"/>
            <w:hideMark/>
          </w:tcPr>
          <w:p w:rsidR="006E1A2C" w:rsidRPr="006E1A2C" w:rsidP="005D00CB">
            <w:pPr>
              <w:bidi w:val="0"/>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Bežné výdavky (výdavok štátneho rozpočtu – kapitola MH SR)</w:t>
            </w:r>
          </w:p>
        </w:tc>
        <w:tc>
          <w:tcPr>
            <w:tcW w:w="851" w:type="dxa"/>
            <w:tcBorders>
              <w:top w:val="single" w:sz="4" w:space="0" w:color="auto"/>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b/>
                <w:bCs/>
                <w:i/>
                <w:color w:val="000000"/>
                <w:sz w:val="24"/>
                <w:szCs w:val="24"/>
                <w:lang w:val="sk-SK"/>
              </w:rPr>
            </w:pPr>
            <w:r w:rsidRPr="006E1A2C">
              <w:rPr>
                <w:rFonts w:ascii="Times New Roman" w:hAnsi="Times New Roman"/>
                <w:b/>
                <w:bCs/>
                <w:i/>
                <w:color w:val="000000"/>
                <w:sz w:val="24"/>
                <w:szCs w:val="24"/>
                <w:lang w:val="sk-SK"/>
              </w:rPr>
              <w:t>0</w:t>
            </w:r>
          </w:p>
        </w:tc>
        <w:tc>
          <w:tcPr>
            <w:tcW w:w="1417" w:type="dxa"/>
            <w:tcBorders>
              <w:top w:val="single" w:sz="4" w:space="0" w:color="auto"/>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157 641,71</w:t>
            </w:r>
          </w:p>
        </w:tc>
        <w:tc>
          <w:tcPr>
            <w:tcW w:w="1415" w:type="dxa"/>
            <w:tcBorders>
              <w:top w:val="single" w:sz="4" w:space="0" w:color="auto"/>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244 483,87</w:t>
            </w:r>
          </w:p>
        </w:tc>
        <w:tc>
          <w:tcPr>
            <w:tcW w:w="1415" w:type="dxa"/>
            <w:tcBorders>
              <w:top w:val="single" w:sz="4" w:space="0" w:color="auto"/>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b/>
                <w:bCs/>
                <w:color w:val="000000"/>
                <w:sz w:val="24"/>
                <w:szCs w:val="24"/>
                <w:lang w:val="sk-SK"/>
              </w:rPr>
            </w:pPr>
            <w:r w:rsidRPr="006E1A2C">
              <w:rPr>
                <w:rFonts w:ascii="Times New Roman" w:hAnsi="Times New Roman"/>
                <w:b/>
                <w:bCs/>
                <w:color w:val="000000"/>
                <w:sz w:val="24"/>
                <w:szCs w:val="24"/>
                <w:lang w:val="sk-SK"/>
              </w:rPr>
              <w:t>369 105,25</w:t>
            </w:r>
          </w:p>
        </w:tc>
      </w:tr>
      <w:tr>
        <w:tblPrEx>
          <w:tblW w:w="9224" w:type="dxa"/>
          <w:tblInd w:w="55" w:type="dxa"/>
          <w:tblCellMar>
            <w:left w:w="70" w:type="dxa"/>
            <w:right w:w="70" w:type="dxa"/>
          </w:tblCellMar>
          <w:tblLook w:val="04A0"/>
        </w:tblPrEx>
        <w:trPr>
          <w:trHeight w:val="315"/>
        </w:trPr>
        <w:tc>
          <w:tcPr>
            <w:tcW w:w="582" w:type="dxa"/>
            <w:tcBorders>
              <w:top w:val="nil"/>
              <w:left w:val="single" w:sz="4" w:space="0" w:color="auto"/>
              <w:bottom w:val="single" w:sz="4" w:space="0" w:color="auto"/>
              <w:right w:val="single" w:sz="4" w:space="0" w:color="auto"/>
            </w:tcBorders>
            <w:noWrap/>
            <w:textDirection w:val="lrTb"/>
            <w:vAlign w:val="center"/>
            <w:hideMark/>
          </w:tcPr>
          <w:p w:rsidR="006E1A2C" w:rsidRPr="006E1A2C" w:rsidP="005D00CB">
            <w:pPr>
              <w:bidi w:val="0"/>
              <w:jc w:val="center"/>
              <w:rPr>
                <w:rFonts w:ascii="Times New Roman" w:hAnsi="Times New Roman"/>
                <w:iCs/>
                <w:color w:val="000000"/>
                <w:sz w:val="24"/>
                <w:szCs w:val="24"/>
                <w:lang w:val="sk-SK"/>
              </w:rPr>
            </w:pPr>
            <w:r w:rsidRPr="006E1A2C">
              <w:rPr>
                <w:rFonts w:ascii="Times New Roman" w:hAnsi="Times New Roman"/>
                <w:iCs/>
                <w:color w:val="000000"/>
                <w:sz w:val="24"/>
                <w:szCs w:val="24"/>
                <w:lang w:val="sk-SK"/>
              </w:rPr>
              <w:t>630</w:t>
            </w:r>
          </w:p>
        </w:tc>
        <w:tc>
          <w:tcPr>
            <w:tcW w:w="3544" w:type="dxa"/>
            <w:tcBorders>
              <w:top w:val="nil"/>
              <w:left w:val="nil"/>
              <w:bottom w:val="single" w:sz="4" w:space="0" w:color="auto"/>
              <w:right w:val="single" w:sz="4" w:space="0" w:color="auto"/>
            </w:tcBorders>
            <w:noWrap/>
            <w:textDirection w:val="lrTb"/>
            <w:vAlign w:val="bottom"/>
            <w:hideMark/>
          </w:tcPr>
          <w:p w:rsidR="006E1A2C" w:rsidRPr="006E1A2C" w:rsidP="005D00CB">
            <w:pPr>
              <w:bidi w:val="0"/>
              <w:rPr>
                <w:rFonts w:ascii="Times New Roman" w:hAnsi="Times New Roman"/>
                <w:i/>
                <w:iCs/>
                <w:color w:val="000000"/>
                <w:sz w:val="24"/>
                <w:szCs w:val="24"/>
                <w:lang w:val="sk-SK"/>
              </w:rPr>
            </w:pPr>
            <w:r w:rsidRPr="006E1A2C">
              <w:rPr>
                <w:rFonts w:ascii="Times New Roman" w:hAnsi="Times New Roman"/>
                <w:i/>
                <w:iCs/>
                <w:color w:val="000000"/>
                <w:sz w:val="24"/>
                <w:szCs w:val="24"/>
                <w:lang w:val="sk-SK"/>
              </w:rPr>
              <w:t>Tovary a služby</w:t>
            </w:r>
          </w:p>
        </w:tc>
        <w:tc>
          <w:tcPr>
            <w:tcW w:w="851"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i/>
                <w:iCs/>
                <w:color w:val="000000"/>
                <w:sz w:val="24"/>
                <w:szCs w:val="24"/>
                <w:lang w:val="sk-SK"/>
              </w:rPr>
            </w:pPr>
            <w:r w:rsidRPr="006E1A2C">
              <w:rPr>
                <w:rFonts w:ascii="Times New Roman" w:hAnsi="Times New Roman"/>
                <w:i/>
                <w:iCs/>
                <w:color w:val="000000"/>
                <w:sz w:val="24"/>
                <w:szCs w:val="24"/>
                <w:lang w:val="sk-SK"/>
              </w:rPr>
              <w:t>0</w:t>
            </w:r>
          </w:p>
        </w:tc>
        <w:tc>
          <w:tcPr>
            <w:tcW w:w="1417"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iCs/>
                <w:color w:val="000000"/>
                <w:sz w:val="24"/>
                <w:szCs w:val="24"/>
                <w:lang w:val="sk-SK"/>
              </w:rPr>
            </w:pPr>
            <w:r w:rsidRPr="006E1A2C">
              <w:rPr>
                <w:rFonts w:ascii="Times New Roman" w:hAnsi="Times New Roman"/>
                <w:iCs/>
                <w:color w:val="000000"/>
                <w:sz w:val="24"/>
                <w:szCs w:val="24"/>
                <w:lang w:val="sk-SK"/>
              </w:rPr>
              <w:t>0</w:t>
            </w:r>
          </w:p>
        </w:tc>
        <w:tc>
          <w:tcPr>
            <w:tcW w:w="1415"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iCs/>
                <w:color w:val="000000"/>
                <w:sz w:val="24"/>
                <w:szCs w:val="24"/>
                <w:lang w:val="sk-SK"/>
              </w:rPr>
            </w:pPr>
            <w:r w:rsidRPr="006E1A2C">
              <w:rPr>
                <w:rFonts w:ascii="Times New Roman" w:hAnsi="Times New Roman"/>
                <w:iCs/>
                <w:color w:val="000000"/>
                <w:sz w:val="24"/>
                <w:szCs w:val="24"/>
                <w:lang w:val="sk-SK"/>
              </w:rPr>
              <w:t>0</w:t>
            </w:r>
          </w:p>
        </w:tc>
        <w:tc>
          <w:tcPr>
            <w:tcW w:w="1415"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iCs/>
                <w:color w:val="000000"/>
                <w:sz w:val="24"/>
                <w:szCs w:val="24"/>
                <w:lang w:val="sk-SK"/>
              </w:rPr>
            </w:pPr>
            <w:r w:rsidRPr="006E1A2C">
              <w:rPr>
                <w:rFonts w:ascii="Times New Roman" w:hAnsi="Times New Roman"/>
                <w:iCs/>
                <w:color w:val="000000"/>
                <w:sz w:val="24"/>
                <w:szCs w:val="24"/>
                <w:lang w:val="sk-SK"/>
              </w:rPr>
              <w:t>0</w:t>
            </w:r>
          </w:p>
        </w:tc>
      </w:tr>
      <w:tr>
        <w:tblPrEx>
          <w:tblW w:w="9224" w:type="dxa"/>
          <w:tblInd w:w="55" w:type="dxa"/>
          <w:tblCellMar>
            <w:left w:w="70" w:type="dxa"/>
            <w:right w:w="70" w:type="dxa"/>
          </w:tblCellMar>
          <w:tblLook w:val="04A0"/>
        </w:tblPrEx>
        <w:trPr>
          <w:trHeight w:val="315"/>
        </w:trPr>
        <w:tc>
          <w:tcPr>
            <w:tcW w:w="582" w:type="dxa"/>
            <w:tcBorders>
              <w:top w:val="nil"/>
              <w:left w:val="single" w:sz="4" w:space="0" w:color="auto"/>
              <w:bottom w:val="single" w:sz="4" w:space="0" w:color="auto"/>
              <w:right w:val="single" w:sz="4" w:space="0" w:color="auto"/>
            </w:tcBorders>
            <w:noWrap/>
            <w:textDirection w:val="lrTb"/>
            <w:vAlign w:val="center"/>
            <w:hideMark/>
          </w:tcPr>
          <w:p w:rsidR="006E1A2C" w:rsidRPr="006E1A2C" w:rsidP="005D00CB">
            <w:pPr>
              <w:bidi w:val="0"/>
              <w:jc w:val="center"/>
              <w:rPr>
                <w:rFonts w:ascii="Times New Roman" w:hAnsi="Times New Roman"/>
                <w:iCs/>
                <w:color w:val="000000"/>
                <w:sz w:val="24"/>
                <w:szCs w:val="24"/>
                <w:lang w:val="sk-SK"/>
              </w:rPr>
            </w:pPr>
            <w:r w:rsidRPr="006E1A2C">
              <w:rPr>
                <w:rFonts w:ascii="Times New Roman" w:hAnsi="Times New Roman"/>
                <w:iCs/>
                <w:color w:val="000000"/>
                <w:sz w:val="24"/>
                <w:szCs w:val="24"/>
                <w:lang w:val="sk-SK"/>
              </w:rPr>
              <w:t>640</w:t>
            </w:r>
          </w:p>
        </w:tc>
        <w:tc>
          <w:tcPr>
            <w:tcW w:w="3544" w:type="dxa"/>
            <w:tcBorders>
              <w:top w:val="nil"/>
              <w:left w:val="nil"/>
              <w:bottom w:val="single" w:sz="4" w:space="0" w:color="auto"/>
              <w:right w:val="single" w:sz="4" w:space="0" w:color="auto"/>
            </w:tcBorders>
            <w:noWrap/>
            <w:textDirection w:val="lrTb"/>
            <w:vAlign w:val="bottom"/>
            <w:hideMark/>
          </w:tcPr>
          <w:p w:rsidR="006E1A2C" w:rsidRPr="006E1A2C" w:rsidP="005D00CB">
            <w:pPr>
              <w:bidi w:val="0"/>
              <w:rPr>
                <w:rFonts w:ascii="Times New Roman" w:hAnsi="Times New Roman"/>
                <w:i/>
                <w:iCs/>
                <w:color w:val="000000"/>
                <w:sz w:val="24"/>
                <w:szCs w:val="24"/>
                <w:lang w:val="sk-SK"/>
              </w:rPr>
            </w:pPr>
            <w:r w:rsidRPr="006E1A2C">
              <w:rPr>
                <w:rFonts w:ascii="Times New Roman" w:hAnsi="Times New Roman"/>
                <w:i/>
                <w:iCs/>
                <w:color w:val="000000"/>
                <w:sz w:val="24"/>
                <w:szCs w:val="24"/>
                <w:lang w:val="sk-SK"/>
              </w:rPr>
              <w:t>Bežné transfery</w:t>
            </w:r>
          </w:p>
        </w:tc>
        <w:tc>
          <w:tcPr>
            <w:tcW w:w="851"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i/>
                <w:iCs/>
                <w:color w:val="000000"/>
                <w:sz w:val="24"/>
                <w:szCs w:val="24"/>
                <w:lang w:val="sk-SK"/>
              </w:rPr>
            </w:pPr>
            <w:r w:rsidRPr="006E1A2C">
              <w:rPr>
                <w:rFonts w:ascii="Times New Roman" w:hAnsi="Times New Roman"/>
                <w:i/>
                <w:iCs/>
                <w:color w:val="000000"/>
                <w:sz w:val="24"/>
                <w:szCs w:val="24"/>
                <w:lang w:val="sk-SK"/>
              </w:rPr>
              <w:t>0</w:t>
            </w:r>
          </w:p>
        </w:tc>
        <w:tc>
          <w:tcPr>
            <w:tcW w:w="1417"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157 641,71</w:t>
            </w:r>
          </w:p>
        </w:tc>
        <w:tc>
          <w:tcPr>
            <w:tcW w:w="1415"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244 483,87</w:t>
            </w:r>
          </w:p>
        </w:tc>
        <w:tc>
          <w:tcPr>
            <w:tcW w:w="1415"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369 105,25</w:t>
            </w:r>
          </w:p>
        </w:tc>
      </w:tr>
      <w:tr>
        <w:tblPrEx>
          <w:tblW w:w="9224" w:type="dxa"/>
          <w:tblInd w:w="55" w:type="dxa"/>
          <w:tblCellMar>
            <w:left w:w="70" w:type="dxa"/>
            <w:right w:w="70" w:type="dxa"/>
          </w:tblCellMar>
          <w:tblLook w:val="04A0"/>
        </w:tblPrEx>
        <w:trPr>
          <w:trHeight w:val="315"/>
        </w:trPr>
        <w:tc>
          <w:tcPr>
            <w:tcW w:w="582" w:type="dxa"/>
            <w:tcBorders>
              <w:top w:val="nil"/>
              <w:left w:val="single" w:sz="4" w:space="0" w:color="auto"/>
              <w:bottom w:val="single" w:sz="4" w:space="0" w:color="auto"/>
              <w:right w:val="single" w:sz="4" w:space="0" w:color="auto"/>
            </w:tcBorders>
            <w:noWrap/>
            <w:textDirection w:val="lrTb"/>
            <w:vAlign w:val="center"/>
            <w:hideMark/>
          </w:tcPr>
          <w:p w:rsidR="006E1A2C" w:rsidRPr="006E1A2C" w:rsidP="005D00CB">
            <w:pPr>
              <w:bidi w:val="0"/>
              <w:jc w:val="center"/>
              <w:rPr>
                <w:rFonts w:ascii="Times New Roman" w:hAnsi="Times New Roman"/>
                <w:color w:val="000000"/>
                <w:sz w:val="24"/>
                <w:szCs w:val="24"/>
                <w:lang w:val="sk-SK"/>
              </w:rPr>
            </w:pPr>
            <w:r w:rsidRPr="006E1A2C">
              <w:rPr>
                <w:rFonts w:ascii="Times New Roman" w:hAnsi="Times New Roman"/>
                <w:color w:val="000000"/>
                <w:sz w:val="24"/>
                <w:szCs w:val="24"/>
                <w:lang w:val="sk-SK"/>
              </w:rPr>
              <w:t>641</w:t>
            </w:r>
          </w:p>
        </w:tc>
        <w:tc>
          <w:tcPr>
            <w:tcW w:w="3544" w:type="dxa"/>
            <w:tcBorders>
              <w:top w:val="nil"/>
              <w:left w:val="nil"/>
              <w:bottom w:val="single" w:sz="4" w:space="0" w:color="auto"/>
              <w:right w:val="single" w:sz="4" w:space="0" w:color="auto"/>
            </w:tcBorders>
            <w:noWrap/>
            <w:textDirection w:val="lrTb"/>
            <w:vAlign w:val="bottom"/>
            <w:hideMark/>
          </w:tcPr>
          <w:p w:rsidR="006E1A2C" w:rsidRPr="006E1A2C" w:rsidP="005D00CB">
            <w:pPr>
              <w:bidi w:val="0"/>
              <w:rPr>
                <w:rFonts w:ascii="Times New Roman" w:hAnsi="Times New Roman"/>
                <w:color w:val="000000"/>
                <w:sz w:val="24"/>
                <w:szCs w:val="24"/>
                <w:lang w:val="sk-SK"/>
              </w:rPr>
            </w:pPr>
            <w:r w:rsidRPr="006E1A2C">
              <w:rPr>
                <w:rFonts w:ascii="Times New Roman" w:hAnsi="Times New Roman"/>
                <w:color w:val="000000"/>
                <w:sz w:val="24"/>
                <w:szCs w:val="24"/>
                <w:lang w:val="sk-SK"/>
              </w:rPr>
              <w:t>Transfery v rámci verejnej správy</w:t>
            </w:r>
          </w:p>
        </w:tc>
        <w:tc>
          <w:tcPr>
            <w:tcW w:w="851"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i/>
                <w:color w:val="000000"/>
                <w:sz w:val="24"/>
                <w:szCs w:val="24"/>
                <w:lang w:val="sk-SK"/>
              </w:rPr>
            </w:pPr>
            <w:r w:rsidRPr="006E1A2C">
              <w:rPr>
                <w:rFonts w:ascii="Times New Roman" w:hAnsi="Times New Roman"/>
                <w:i/>
                <w:color w:val="000000"/>
                <w:sz w:val="24"/>
                <w:szCs w:val="24"/>
                <w:lang w:val="sk-SK"/>
              </w:rPr>
              <w:t>0</w:t>
            </w:r>
          </w:p>
        </w:tc>
        <w:tc>
          <w:tcPr>
            <w:tcW w:w="1417"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color w:val="000000"/>
                <w:sz w:val="24"/>
                <w:szCs w:val="24"/>
                <w:lang w:val="sk-SK"/>
              </w:rPr>
            </w:pPr>
            <w:r w:rsidRPr="006E1A2C">
              <w:rPr>
                <w:rFonts w:ascii="Times New Roman" w:hAnsi="Times New Roman"/>
                <w:color w:val="000000"/>
                <w:sz w:val="24"/>
                <w:szCs w:val="24"/>
                <w:lang w:val="sk-SK"/>
              </w:rPr>
              <w:t>0</w:t>
            </w:r>
          </w:p>
        </w:tc>
        <w:tc>
          <w:tcPr>
            <w:tcW w:w="1415"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color w:val="000000"/>
                <w:sz w:val="24"/>
                <w:szCs w:val="24"/>
                <w:lang w:val="sk-SK"/>
              </w:rPr>
            </w:pPr>
            <w:r w:rsidRPr="006E1A2C">
              <w:rPr>
                <w:rFonts w:ascii="Times New Roman" w:hAnsi="Times New Roman"/>
                <w:color w:val="000000"/>
                <w:sz w:val="24"/>
                <w:szCs w:val="24"/>
                <w:lang w:val="sk-SK"/>
              </w:rPr>
              <w:t>0</w:t>
            </w:r>
          </w:p>
        </w:tc>
        <w:tc>
          <w:tcPr>
            <w:tcW w:w="1415"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iCs/>
                <w:color w:val="000000"/>
                <w:sz w:val="24"/>
                <w:szCs w:val="24"/>
                <w:lang w:val="sk-SK"/>
              </w:rPr>
            </w:pPr>
            <w:r w:rsidRPr="006E1A2C">
              <w:rPr>
                <w:rFonts w:ascii="Times New Roman" w:hAnsi="Times New Roman"/>
                <w:iCs/>
                <w:color w:val="000000"/>
                <w:sz w:val="24"/>
                <w:szCs w:val="24"/>
                <w:lang w:val="sk-SK"/>
              </w:rPr>
              <w:t>0</w:t>
            </w:r>
          </w:p>
        </w:tc>
      </w:tr>
      <w:tr>
        <w:tblPrEx>
          <w:tblW w:w="9224" w:type="dxa"/>
          <w:tblInd w:w="55" w:type="dxa"/>
          <w:tblCellMar>
            <w:left w:w="70" w:type="dxa"/>
            <w:right w:w="70" w:type="dxa"/>
          </w:tblCellMar>
          <w:tblLook w:val="04A0"/>
        </w:tblPrEx>
        <w:trPr>
          <w:trHeight w:val="525"/>
        </w:trPr>
        <w:tc>
          <w:tcPr>
            <w:tcW w:w="582" w:type="dxa"/>
            <w:tcBorders>
              <w:top w:val="nil"/>
              <w:left w:val="single" w:sz="4" w:space="0" w:color="auto"/>
              <w:bottom w:val="single" w:sz="4" w:space="0" w:color="auto"/>
              <w:right w:val="single" w:sz="4" w:space="0" w:color="auto"/>
            </w:tcBorders>
            <w:noWrap/>
            <w:textDirection w:val="lrTb"/>
            <w:vAlign w:val="center"/>
            <w:hideMark/>
          </w:tcPr>
          <w:p w:rsidR="006E1A2C" w:rsidRPr="006E1A2C" w:rsidP="005D00CB">
            <w:pPr>
              <w:bidi w:val="0"/>
              <w:jc w:val="center"/>
              <w:rPr>
                <w:rFonts w:ascii="Times New Roman" w:hAnsi="Times New Roman"/>
                <w:color w:val="000000"/>
                <w:sz w:val="24"/>
                <w:szCs w:val="24"/>
                <w:lang w:val="sk-SK"/>
              </w:rPr>
            </w:pPr>
            <w:r w:rsidRPr="006E1A2C">
              <w:rPr>
                <w:rFonts w:ascii="Times New Roman" w:hAnsi="Times New Roman"/>
                <w:color w:val="000000"/>
                <w:sz w:val="24"/>
                <w:szCs w:val="24"/>
                <w:lang w:val="sk-SK"/>
              </w:rPr>
              <w:t>642</w:t>
            </w:r>
          </w:p>
        </w:tc>
        <w:tc>
          <w:tcPr>
            <w:tcW w:w="3544" w:type="dxa"/>
            <w:tcBorders>
              <w:top w:val="nil"/>
              <w:left w:val="nil"/>
              <w:bottom w:val="single" w:sz="4" w:space="0" w:color="auto"/>
              <w:right w:val="single" w:sz="4" w:space="0" w:color="auto"/>
            </w:tcBorders>
            <w:textDirection w:val="lrTb"/>
            <w:vAlign w:val="bottom"/>
            <w:hideMark/>
          </w:tcPr>
          <w:p w:rsidR="006E1A2C" w:rsidRPr="006E1A2C" w:rsidP="005D00CB">
            <w:pPr>
              <w:bidi w:val="0"/>
              <w:rPr>
                <w:rFonts w:ascii="Times New Roman" w:hAnsi="Times New Roman"/>
                <w:color w:val="000000"/>
                <w:sz w:val="24"/>
                <w:szCs w:val="24"/>
                <w:lang w:val="sk-SK"/>
              </w:rPr>
            </w:pPr>
            <w:r w:rsidRPr="006E1A2C">
              <w:rPr>
                <w:rFonts w:ascii="Times New Roman" w:hAnsi="Times New Roman"/>
                <w:color w:val="000000"/>
                <w:sz w:val="24"/>
                <w:szCs w:val="24"/>
                <w:lang w:val="sk-SK"/>
              </w:rPr>
              <w:t>Transfery jednotlivcom a neziskovým právnickým osobám</w:t>
            </w:r>
          </w:p>
        </w:tc>
        <w:tc>
          <w:tcPr>
            <w:tcW w:w="851"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i/>
                <w:color w:val="000000"/>
                <w:sz w:val="24"/>
                <w:szCs w:val="24"/>
                <w:lang w:val="sk-SK"/>
              </w:rPr>
            </w:pPr>
            <w:r w:rsidRPr="006E1A2C">
              <w:rPr>
                <w:rFonts w:ascii="Times New Roman" w:hAnsi="Times New Roman"/>
                <w:i/>
                <w:color w:val="000000"/>
                <w:sz w:val="24"/>
                <w:szCs w:val="24"/>
                <w:lang w:val="sk-SK"/>
              </w:rPr>
              <w:t>0</w:t>
            </w:r>
          </w:p>
        </w:tc>
        <w:tc>
          <w:tcPr>
            <w:tcW w:w="1417"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157 641,71</w:t>
            </w:r>
          </w:p>
        </w:tc>
        <w:tc>
          <w:tcPr>
            <w:tcW w:w="1415"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244 483,87</w:t>
            </w:r>
          </w:p>
        </w:tc>
        <w:tc>
          <w:tcPr>
            <w:tcW w:w="1415" w:type="dxa"/>
            <w:tcBorders>
              <w:top w:val="nil"/>
              <w:left w:val="nil"/>
              <w:bottom w:val="single" w:sz="4" w:space="0" w:color="auto"/>
              <w:right w:val="single" w:sz="4" w:space="0" w:color="auto"/>
            </w:tcBorders>
            <w:noWrap/>
            <w:textDirection w:val="lrTb"/>
            <w:vAlign w:val="bottom"/>
            <w:hideMark/>
          </w:tcPr>
          <w:p w:rsidR="006E1A2C" w:rsidRPr="006E1A2C" w:rsidP="005D00CB">
            <w:pPr>
              <w:bidi w:val="0"/>
              <w:jc w:val="right"/>
              <w:rPr>
                <w:rFonts w:ascii="Times New Roman" w:hAnsi="Times New Roman"/>
                <w:bCs/>
                <w:color w:val="000000"/>
                <w:sz w:val="24"/>
                <w:szCs w:val="24"/>
                <w:lang w:val="sk-SK"/>
              </w:rPr>
            </w:pPr>
            <w:r w:rsidRPr="006E1A2C">
              <w:rPr>
                <w:rFonts w:ascii="Times New Roman" w:hAnsi="Times New Roman"/>
                <w:bCs/>
                <w:color w:val="000000"/>
                <w:sz w:val="24"/>
                <w:szCs w:val="24"/>
                <w:lang w:val="sk-SK"/>
              </w:rPr>
              <w:t>369 105,25</w:t>
            </w:r>
          </w:p>
        </w:tc>
      </w:tr>
    </w:tbl>
    <w:p w:rsidR="006E1A2C" w:rsidRPr="006E1A2C" w:rsidP="006E1A2C">
      <w:pPr>
        <w:bidi w:val="0"/>
        <w:rPr>
          <w:rFonts w:ascii="Times New Roman" w:hAnsi="Times New Roman"/>
          <w:sz w:val="24"/>
          <w:szCs w:val="24"/>
          <w:lang w:val="sk-SK"/>
        </w:rPr>
      </w:pPr>
    </w:p>
    <w:p w:rsidR="001D022C" w:rsidRPr="006E1A2C" w:rsidP="001D022C">
      <w:pPr>
        <w:bidi w:val="0"/>
        <w:rPr>
          <w:rFonts w:ascii="Times New Roman" w:hAnsi="Times New Roman"/>
          <w:b/>
          <w:sz w:val="24"/>
          <w:szCs w:val="24"/>
          <w:lang w:val="sk-SK"/>
        </w:rPr>
      </w:pPr>
      <w:bookmarkStart w:id="0" w:name="_GoBack"/>
      <w:bookmarkEnd w:id="0"/>
      <w:r w:rsidRPr="006E1A2C">
        <w:rPr>
          <w:rFonts w:ascii="Times New Roman" w:hAnsi="Times New Roman"/>
          <w:b/>
          <w:sz w:val="24"/>
          <w:szCs w:val="24"/>
          <w:lang w:val="sk-SK"/>
        </w:rPr>
        <w:t>Sociálne vplyvy -  vplyvy na hospodárenie obyvateľstva, sociálnu exklúziu, rovnosť príležitostí a rodovú rovnosť  a na zamestnanosť</w:t>
      </w:r>
    </w:p>
    <w:p w:rsidR="001D022C" w:rsidRPr="006E1A2C" w:rsidP="001D022C">
      <w:pPr>
        <w:bidi w:val="0"/>
        <w:rPr>
          <w:rFonts w:ascii="Times New Roman" w:hAnsi="Times New Roman"/>
          <w:b/>
          <w:bCs/>
          <w:sz w:val="24"/>
          <w:szCs w:val="24"/>
          <w:lang w:val="sk-SK"/>
        </w:rPr>
      </w:pPr>
    </w:p>
    <w:tbl>
      <w:tblPr>
        <w:tblStyle w:val="TableNormal"/>
        <w:tblW w:w="9015" w:type="dxa"/>
        <w:jc w:val="center"/>
        <w:tblCellMar>
          <w:left w:w="70" w:type="dxa"/>
          <w:right w:w="70" w:type="dxa"/>
        </w:tblCellMar>
        <w:tblLook w:val="04A0"/>
      </w:tblPr>
      <w:tblGrid>
        <w:gridCol w:w="2502"/>
        <w:gridCol w:w="6513"/>
      </w:tblGrid>
      <w:tr>
        <w:tblPrEx>
          <w:tblW w:w="9015" w:type="dxa"/>
          <w:jc w:val="center"/>
          <w:tblCellMar>
            <w:left w:w="70" w:type="dxa"/>
            <w:right w:w="70" w:type="dxa"/>
          </w:tblCellMar>
          <w:tblLook w:val="04A0"/>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hideMark/>
          </w:tcPr>
          <w:p w:rsidR="001D022C" w:rsidRPr="006E1A2C">
            <w:pPr>
              <w:bidi w:val="0"/>
              <w:jc w:val="center"/>
              <w:rPr>
                <w:rFonts w:ascii="Times New Roman" w:hAnsi="Times New Roman"/>
                <w:b/>
                <w:bCs/>
                <w:color w:val="FFFFFF"/>
                <w:sz w:val="24"/>
                <w:szCs w:val="24"/>
                <w:lang w:val="sk-SK"/>
              </w:rPr>
            </w:pPr>
            <w:r w:rsidRPr="006E1A2C">
              <w:rPr>
                <w:rFonts w:ascii="Times New Roman" w:hAnsi="Times New Roman"/>
                <w:b/>
                <w:bCs/>
                <w:color w:val="FFFFFF"/>
                <w:sz w:val="24"/>
                <w:szCs w:val="24"/>
                <w:lang w:val="sk-SK"/>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Look w:val="04A0"/>
        </w:tblPrEx>
        <w:trPr>
          <w:trHeight w:val="1530"/>
          <w:jc w:val="center"/>
        </w:trPr>
        <w:tc>
          <w:tcPr>
            <w:tcW w:w="1671" w:type="dxa"/>
            <w:tcBorders>
              <w:top w:val="single" w:sz="4" w:space="0" w:color="auto"/>
              <w:left w:val="single" w:sz="4" w:space="0" w:color="auto"/>
              <w:bottom w:val="single" w:sz="4" w:space="0" w:color="auto"/>
              <w:right w:val="single" w:sz="4" w:space="0" w:color="auto"/>
            </w:tcBorders>
            <w:textDirection w:val="lrTb"/>
            <w:vAlign w:val="top"/>
            <w:hideMark/>
          </w:tcPr>
          <w:p w:rsidR="001D022C" w:rsidRPr="006E1A2C">
            <w:pPr>
              <w:bidi w:val="0"/>
              <w:jc w:val="both"/>
              <w:rPr>
                <w:rFonts w:ascii="Times New Roman" w:hAnsi="Times New Roman"/>
                <w:sz w:val="24"/>
                <w:szCs w:val="24"/>
                <w:lang w:val="sk-SK"/>
              </w:rPr>
            </w:pPr>
            <w:r w:rsidRPr="006E1A2C">
              <w:rPr>
                <w:rFonts w:ascii="Times New Roman" w:hAnsi="Times New Roman"/>
                <w:b/>
                <w:sz w:val="24"/>
                <w:szCs w:val="24"/>
                <w:lang w:val="sk-SK"/>
              </w:rPr>
              <w:t>4.1.</w:t>
            </w:r>
            <w:r w:rsidRPr="006E1A2C">
              <w:rPr>
                <w:rFonts w:ascii="Times New Roman" w:hAnsi="Times New Roman"/>
                <w:sz w:val="24"/>
                <w:szCs w:val="24"/>
                <w:lang w:val="sk-SK"/>
              </w:rPr>
              <w:t xml:space="preserve"> Identifikujte vplyv na hospodárenie   domácností a špecifikujte ovplyvnené skupiny domácností, ktoré budú pozitívne/negatívne ovplyvnené.  </w:t>
            </w:r>
          </w:p>
        </w:tc>
        <w:tc>
          <w:tcPr>
            <w:tcW w:w="7344" w:type="dxa"/>
            <w:tcBorders>
              <w:top w:val="single" w:sz="4" w:space="0" w:color="auto"/>
              <w:left w:val="nil"/>
              <w:bottom w:val="single" w:sz="4" w:space="0" w:color="auto"/>
              <w:right w:val="single" w:sz="4" w:space="0" w:color="auto"/>
            </w:tcBorders>
            <w:textDirection w:val="lrTb"/>
            <w:vAlign w:val="top"/>
            <w:hideMark/>
          </w:tcPr>
          <w:p w:rsidR="003A3800" w:rsidRPr="0002331F" w:rsidP="009B0F0B">
            <w:pPr>
              <w:pStyle w:val="ListParagraph"/>
              <w:bidi w:val="0"/>
              <w:ind w:left="0"/>
              <w:jc w:val="both"/>
              <w:rPr>
                <w:rFonts w:ascii="Times New Roman" w:hAnsi="Times New Roman"/>
              </w:rPr>
            </w:pPr>
            <w:r w:rsidRPr="0002331F">
              <w:rPr>
                <w:rFonts w:ascii="Times New Roman" w:hAnsi="Times New Roman"/>
              </w:rPr>
              <w:t xml:space="preserve">Návrh zákona prináša zlepšenie sociálnej situácie oprávneného okruhu osôb – poberateľov osobitného príspevku </w:t>
            </w:r>
            <w:r w:rsidRPr="0002331F" w:rsidR="0002331F">
              <w:rPr>
                <w:rFonts w:ascii="Times New Roman" w:hAnsi="Times New Roman"/>
              </w:rPr>
              <w:t xml:space="preserve">(súčasných aj budúcich) nasledovnými </w:t>
            </w:r>
            <w:r w:rsidR="0002331F">
              <w:rPr>
                <w:rFonts w:ascii="Times New Roman" w:hAnsi="Times New Roman"/>
              </w:rPr>
              <w:t>návrhmi</w:t>
            </w:r>
            <w:r w:rsidRPr="0002331F" w:rsidR="0002331F">
              <w:rPr>
                <w:rFonts w:ascii="Times New Roman" w:hAnsi="Times New Roman"/>
              </w:rPr>
              <w:t>:</w:t>
            </w:r>
          </w:p>
          <w:p w:rsidR="0002331F" w:rsidRPr="0002331F" w:rsidP="009B0F0B">
            <w:pPr>
              <w:pStyle w:val="ListParagraph"/>
              <w:numPr>
                <w:numId w:val="10"/>
              </w:numPr>
              <w:bidi w:val="0"/>
              <w:jc w:val="both"/>
              <w:rPr>
                <w:rFonts w:ascii="Times New Roman" w:hAnsi="Times New Roman"/>
              </w:rPr>
            </w:pPr>
            <w:r w:rsidRPr="006E1A2C" w:rsidR="00C4436F">
              <w:rPr>
                <w:rFonts w:ascii="Times New Roman" w:hAnsi="Times New Roman"/>
              </w:rPr>
              <w:t xml:space="preserve">Navrhuje sa zohľadnenie celej doby výkonu zamestnania v baníctve so stálym pracoviskom v podzemí </w:t>
            </w:r>
            <w:r w:rsidRPr="0002331F" w:rsidR="00C4436F">
              <w:rPr>
                <w:rFonts w:ascii="Times New Roman" w:hAnsi="Times New Roman"/>
                <w:color w:val="000000"/>
              </w:rPr>
              <w:t>v hlbinných baniach na území Slovenskej republiky</w:t>
            </w:r>
            <w:r w:rsidRPr="006E1A2C" w:rsidR="00C4436F">
              <w:rPr>
                <w:rFonts w:ascii="Times New Roman" w:hAnsi="Times New Roman"/>
              </w:rPr>
              <w:t>, a to zvýšením</w:t>
            </w:r>
            <w:r w:rsidR="00C4436F">
              <w:rPr>
                <w:rFonts w:ascii="Times New Roman" w:hAnsi="Times New Roman"/>
              </w:rPr>
              <w:t xml:space="preserve"> zákonom ustanovenej „základnej“</w:t>
            </w:r>
            <w:r w:rsidRPr="006E1A2C" w:rsidR="00C4436F">
              <w:rPr>
                <w:rFonts w:ascii="Times New Roman" w:hAnsi="Times New Roman"/>
              </w:rPr>
              <w:t xml:space="preserve"> sumy osobitného príspevku</w:t>
            </w:r>
            <w:r w:rsidR="00C4436F">
              <w:rPr>
                <w:rFonts w:ascii="Times New Roman" w:hAnsi="Times New Roman"/>
              </w:rPr>
              <w:t xml:space="preserve"> ( 350 eur)</w:t>
            </w:r>
            <w:r w:rsidRPr="006E1A2C" w:rsidR="00C4436F">
              <w:rPr>
                <w:rFonts w:ascii="Times New Roman" w:hAnsi="Times New Roman"/>
              </w:rPr>
              <w:t xml:space="preserve"> za obdobie  zamestnania prevyšujúce minimálnu dobu </w:t>
            </w:r>
            <w:r w:rsidR="00C4436F">
              <w:rPr>
                <w:rFonts w:ascii="Times New Roman" w:hAnsi="Times New Roman"/>
              </w:rPr>
              <w:t xml:space="preserve"> zamestnania </w:t>
            </w:r>
            <w:r w:rsidRPr="006E1A2C" w:rsidR="00C4436F">
              <w:rPr>
                <w:rFonts w:ascii="Times New Roman" w:hAnsi="Times New Roman"/>
              </w:rPr>
              <w:t>potrebnú na vznik nároku na osobitný príspevok v „základnej“ výške 350 eur. V </w:t>
            </w:r>
            <w:r>
              <w:rPr>
                <w:rFonts w:ascii="Times New Roman" w:hAnsi="Times New Roman"/>
              </w:rPr>
              <w:t>tomto</w:t>
            </w:r>
            <w:r w:rsidRPr="006E1A2C" w:rsidR="00C4436F">
              <w:rPr>
                <w:rFonts w:ascii="Times New Roman" w:hAnsi="Times New Roman"/>
              </w:rPr>
              <w:t xml:space="preserve"> zvýšení</w:t>
            </w:r>
            <w:r>
              <w:rPr>
                <w:rFonts w:ascii="Times New Roman" w:hAnsi="Times New Roman"/>
              </w:rPr>
              <w:t xml:space="preserve"> </w:t>
            </w:r>
            <w:r w:rsidRPr="006E1A2C" w:rsidR="00C4436F">
              <w:rPr>
                <w:rFonts w:ascii="Times New Roman" w:hAnsi="Times New Roman"/>
              </w:rPr>
              <w:t>sa výhodnejšie zohľadňuje obdobie zamestnania presahujúce minimálnu dobu potrebnú na vznik nároku na osobitný príspevok vykonávané</w:t>
            </w:r>
            <w:r w:rsidRPr="0002331F" w:rsidR="00C4436F">
              <w:rPr>
                <w:rFonts w:ascii="Times New Roman" w:hAnsi="Times New Roman"/>
                <w:color w:val="000000"/>
              </w:rPr>
              <w:t xml:space="preserve"> vo vybraných zamestnaniach (rubač, lámač, razič alebo hĺbič) v porovnaní s ostatnými </w:t>
            </w:r>
            <w:r w:rsidRPr="006E1A2C" w:rsidR="00C4436F">
              <w:rPr>
                <w:rFonts w:ascii="Times New Roman" w:hAnsi="Times New Roman"/>
              </w:rPr>
              <w:t xml:space="preserve">zamestnaniami v baníctve so stálym pracoviskom v podzemí </w:t>
            </w:r>
            <w:r w:rsidRPr="0002331F" w:rsidR="00C4436F">
              <w:rPr>
                <w:rFonts w:ascii="Times New Roman" w:hAnsi="Times New Roman"/>
                <w:color w:val="000000"/>
              </w:rPr>
              <w:t>v hlbinných baniach na území S</w:t>
            </w:r>
            <w:r w:rsidRPr="0002331F">
              <w:rPr>
                <w:rFonts w:ascii="Times New Roman" w:hAnsi="Times New Roman"/>
                <w:color w:val="000000"/>
              </w:rPr>
              <w:t xml:space="preserve">lovenskej republiky. </w:t>
            </w:r>
          </w:p>
          <w:p w:rsidR="00C4436F" w:rsidRPr="006E1A2C" w:rsidP="009B0F0B">
            <w:pPr>
              <w:pStyle w:val="ListParagraph"/>
              <w:numPr>
                <w:numId w:val="10"/>
              </w:numPr>
              <w:bidi w:val="0"/>
              <w:jc w:val="both"/>
              <w:rPr>
                <w:rFonts w:ascii="Times New Roman" w:hAnsi="Times New Roman"/>
              </w:rPr>
            </w:pPr>
            <w:r w:rsidRPr="006E1A2C">
              <w:rPr>
                <w:rFonts w:ascii="Times New Roman" w:hAnsi="Times New Roman"/>
              </w:rPr>
              <w:t>Navrhuje sa zavedenie každoročnej valorizácie sumy osobitného príspevku  v závislosti od indexu medziročného rastu priemernej mesačnej nominálnej mzdy zamestnanca v hospodárstve Slovenskej republiky.</w:t>
            </w:r>
          </w:p>
          <w:p w:rsidR="00C4436F" w:rsidRPr="003A3800" w:rsidP="009B0F0B">
            <w:pPr>
              <w:pStyle w:val="ListParagraph"/>
              <w:bidi w:val="0"/>
              <w:ind w:left="0"/>
              <w:jc w:val="both"/>
              <w:rPr>
                <w:rFonts w:ascii="Times New Roman" w:hAnsi="Times New Roman"/>
                <w:color w:val="000000"/>
              </w:rPr>
            </w:pPr>
          </w:p>
          <w:p w:rsidR="001D022C" w:rsidRPr="006E1A2C" w:rsidP="009B0F0B">
            <w:pPr>
              <w:pStyle w:val="ListParagraph"/>
              <w:tabs>
                <w:tab w:val="left" w:pos="1140"/>
              </w:tabs>
              <w:bidi w:val="0"/>
              <w:jc w:val="both"/>
              <w:rPr>
                <w:rFonts w:ascii="Times New Roman" w:hAnsi="Times New Roman"/>
                <w:b/>
              </w:rPr>
            </w:pPr>
            <w:r w:rsidRPr="006E1A2C">
              <w:rPr>
                <w:rFonts w:ascii="Times New Roman" w:hAnsi="Times New Roman"/>
                <w:b/>
              </w:rPr>
              <w:tab/>
            </w:r>
          </w:p>
        </w:tc>
      </w:tr>
      <w:tr>
        <w:tblPrEx>
          <w:tblW w:w="9015" w:type="dxa"/>
          <w:jc w:val="center"/>
          <w:tblCellMar>
            <w:left w:w="70" w:type="dxa"/>
            <w:right w:w="70" w:type="dxa"/>
          </w:tblCellMar>
          <w:tblLook w:val="04A0"/>
        </w:tblPrEx>
        <w:trPr>
          <w:cantSplit/>
          <w:trHeight w:val="528"/>
          <w:jc w:val="center"/>
        </w:trPr>
        <w:tc>
          <w:tcPr>
            <w:tcW w:w="1671" w:type="dxa"/>
            <w:tcBorders>
              <w:top w:val="single" w:sz="4" w:space="0" w:color="auto"/>
              <w:left w:val="single" w:sz="4" w:space="0" w:color="auto"/>
              <w:bottom w:val="nil"/>
              <w:right w:val="single" w:sz="4" w:space="0" w:color="auto"/>
            </w:tcBorders>
            <w:textDirection w:val="lrTb"/>
            <w:vAlign w:val="top"/>
            <w:hideMark/>
          </w:tcPr>
          <w:p w:rsidR="001D022C" w:rsidRPr="006E1A2C">
            <w:pPr>
              <w:bidi w:val="0"/>
              <w:jc w:val="both"/>
              <w:rPr>
                <w:rFonts w:ascii="Times New Roman" w:hAnsi="Times New Roman"/>
                <w:i/>
                <w:sz w:val="24"/>
                <w:szCs w:val="24"/>
                <w:lang w:val="sk-SK"/>
              </w:rPr>
            </w:pPr>
            <w:r w:rsidRPr="006E1A2C">
              <w:rPr>
                <w:rFonts w:ascii="Times New Roman" w:hAnsi="Times New Roman"/>
                <w:i/>
                <w:sz w:val="24"/>
                <w:szCs w:val="24"/>
                <w:lang w:val="sk-SK"/>
              </w:rPr>
              <w:t xml:space="preserve">Kvantifikujte: </w:t>
            </w:r>
          </w:p>
        </w:tc>
        <w:tc>
          <w:tcPr>
            <w:tcW w:w="7344" w:type="dxa"/>
            <w:vMerge w:val="restart"/>
            <w:tcBorders>
              <w:top w:val="single" w:sz="4" w:space="0" w:color="auto"/>
              <w:left w:val="nil"/>
              <w:bottom w:val="single" w:sz="4" w:space="0" w:color="auto"/>
              <w:right w:val="single" w:sz="4" w:space="0" w:color="auto"/>
            </w:tcBorders>
            <w:textDirection w:val="lrTb"/>
            <w:vAlign w:val="top"/>
            <w:hideMark/>
          </w:tcPr>
          <w:p w:rsidR="009B0F0B" w:rsidRPr="00FA11AA" w:rsidP="00FA11AA">
            <w:pPr>
              <w:pStyle w:val="ListParagraph"/>
              <w:bidi w:val="0"/>
              <w:ind w:left="720"/>
              <w:jc w:val="both"/>
              <w:rPr>
                <w:rFonts w:ascii="Times New Roman" w:hAnsi="Times New Roman"/>
              </w:rPr>
            </w:pPr>
            <w:r w:rsidRPr="006E1A2C" w:rsidR="005215E8">
              <w:rPr>
                <w:rFonts w:ascii="Times New Roman" w:hAnsi="Times New Roman"/>
              </w:rPr>
              <w:t xml:space="preserve">Podľa údajov </w:t>
            </w:r>
            <w:r w:rsidRPr="00FA11AA" w:rsidR="005215E8">
              <w:rPr>
                <w:rFonts w:ascii="Times New Roman" w:hAnsi="Times New Roman"/>
              </w:rPr>
              <w:t xml:space="preserve">Rudné bane š.p. Banská Bystrica bude osobitný príspevok </w:t>
            </w:r>
            <w:r w:rsidRPr="00FA11AA">
              <w:rPr>
                <w:rFonts w:ascii="Times New Roman" w:hAnsi="Times New Roman"/>
              </w:rPr>
              <w:t>na základe</w:t>
            </w:r>
            <w:r w:rsidRPr="00FA11AA" w:rsidR="005215E8">
              <w:rPr>
                <w:rFonts w:ascii="Times New Roman" w:hAnsi="Times New Roman"/>
              </w:rPr>
              <w:t xml:space="preserve"> novej právne</w:t>
            </w:r>
            <w:r w:rsidRPr="00FA11AA">
              <w:rPr>
                <w:rFonts w:ascii="Times New Roman" w:hAnsi="Times New Roman"/>
              </w:rPr>
              <w:t>j úpravy zvýšený 22 súčasným poberateľom</w:t>
            </w:r>
            <w:r w:rsidRPr="00FA11AA" w:rsidR="005215E8">
              <w:rPr>
                <w:rFonts w:ascii="Times New Roman" w:hAnsi="Times New Roman"/>
              </w:rPr>
              <w:t xml:space="preserve"> </w:t>
            </w:r>
            <w:r w:rsidRPr="00FA11AA" w:rsidR="00D712CE">
              <w:rPr>
                <w:rFonts w:ascii="Times New Roman" w:hAnsi="Times New Roman"/>
              </w:rPr>
              <w:t>s celkovým vplyvom</w:t>
            </w:r>
            <w:r w:rsidRPr="00FA11AA" w:rsidR="005215E8">
              <w:rPr>
                <w:rFonts w:ascii="Times New Roman" w:hAnsi="Times New Roman"/>
              </w:rPr>
              <w:t xml:space="preserve"> na úrovni 15 581,66 eur v roku 2016, 19 469 eur v roku 2017 a 24 614,97 eur v roku 2018</w:t>
            </w:r>
            <w:r w:rsidRPr="00FA11AA">
              <w:rPr>
                <w:rFonts w:ascii="Times New Roman" w:hAnsi="Times New Roman"/>
              </w:rPr>
              <w:t xml:space="preserve"> (vrátane valorizácie osobitného príspevku)</w:t>
            </w:r>
            <w:r w:rsidRPr="00FA11AA" w:rsidR="005215E8">
              <w:rPr>
                <w:rFonts w:ascii="Times New Roman" w:hAnsi="Times New Roman"/>
              </w:rPr>
              <w:t xml:space="preserve">. </w:t>
            </w:r>
          </w:p>
          <w:p w:rsidR="009B0F0B" w:rsidRPr="00FA11AA" w:rsidP="00FA11AA">
            <w:pPr>
              <w:pStyle w:val="ListParagraph"/>
              <w:bidi w:val="0"/>
              <w:ind w:left="720"/>
              <w:jc w:val="both"/>
              <w:rPr>
                <w:rFonts w:ascii="Times New Roman" w:hAnsi="Times New Roman"/>
              </w:rPr>
            </w:pPr>
            <w:r w:rsidRPr="00FA11AA">
              <w:rPr>
                <w:rFonts w:ascii="Times New Roman" w:hAnsi="Times New Roman"/>
              </w:rPr>
              <w:t xml:space="preserve">K vplyvu identifikovanému v bode 1 - Za 365 dní v náročnejšom zamestnaní ako rubač, lámač, razič alebo hĺbič patrí suma zvýšenia  rovnajúca sa jednej pätnástine z 350 eur a za 365 dní v ostaných zamestnaniach </w:t>
            </w:r>
            <w:r w:rsidRPr="006E1A2C">
              <w:rPr>
                <w:rFonts w:ascii="Times New Roman" w:hAnsi="Times New Roman"/>
              </w:rPr>
              <w:t xml:space="preserve">so stálym pracoviskom v podzemí v hlbinných baniach na území Slovenskej republiky patrí </w:t>
            </w:r>
            <w:r w:rsidRPr="00FA11AA">
              <w:rPr>
                <w:rFonts w:ascii="Times New Roman" w:hAnsi="Times New Roman"/>
              </w:rPr>
              <w:t>suma zvýšenia rovnajúca sa jednej dvadsatine z 350 eur.</w:t>
            </w:r>
          </w:p>
          <w:p w:rsidR="0002331F" w:rsidRPr="00FA11AA" w:rsidP="00FA11AA">
            <w:pPr>
              <w:pStyle w:val="ListParagraph"/>
              <w:bidi w:val="0"/>
              <w:ind w:left="720"/>
              <w:jc w:val="both"/>
              <w:rPr>
                <w:rFonts w:ascii="Times New Roman" w:hAnsi="Times New Roman"/>
              </w:rPr>
            </w:pPr>
            <w:r w:rsidRPr="00FA11AA" w:rsidR="009B0F0B">
              <w:rPr>
                <w:rFonts w:ascii="Times New Roman" w:hAnsi="Times New Roman"/>
              </w:rPr>
              <w:t>Podľa údajov od zamestnávateľov možno konštatovať</w:t>
            </w:r>
            <w:r w:rsidRPr="00FA11AA" w:rsidR="005215E8">
              <w:rPr>
                <w:rFonts w:ascii="Times New Roman" w:hAnsi="Times New Roman"/>
              </w:rPr>
              <w:t xml:space="preserve">, že v roku 2016 sa zvýši počet (súčasných) poberateľov, na ktorých sa bude uplatňovať vzorec pre výpočet sumy zvýšenia osobitného príspevku podľa § 5 ods. 4 písm. a) (suma zvýšenia rovnajúca sa jednej pätnástine z 350 eur) o 4 osoby, v roku 2017 sa zvýši počet poberateľov osobitného príspevku o 2 osoby a v roku 2018 o 5 osôb; zároveň dôjde k zvýšeniu počtu poberateľov o 68 v roku 2016, v roku 2017 o 22 osôb a v roku 2018 o 20 osôb, na ktoré sa bude uplatňovať vzorec pre výpočet sumy zvýšenia osobitného príspevku podľa § 5 ods. 4 písm. b)  (suma zvýšenia rovnajúca sa jednej dvadsatine z 350 eur). </w:t>
            </w:r>
          </w:p>
          <w:p w:rsidR="00FA11AA" w:rsidP="00FA11AA">
            <w:pPr>
              <w:pStyle w:val="ListParagraph"/>
              <w:bidi w:val="0"/>
              <w:ind w:left="720"/>
              <w:jc w:val="both"/>
              <w:rPr>
                <w:rFonts w:ascii="Times New Roman" w:hAnsi="Times New Roman"/>
              </w:rPr>
            </w:pPr>
          </w:p>
          <w:p w:rsidR="00D712CE" w:rsidP="00FA11AA">
            <w:pPr>
              <w:pStyle w:val="ListParagraph"/>
              <w:bidi w:val="0"/>
              <w:ind w:left="720"/>
              <w:jc w:val="both"/>
              <w:rPr>
                <w:rFonts w:ascii="Times New Roman" w:hAnsi="Times New Roman"/>
              </w:rPr>
            </w:pPr>
            <w:r>
              <w:rPr>
                <w:rFonts w:ascii="Times New Roman" w:hAnsi="Times New Roman"/>
              </w:rPr>
              <w:t xml:space="preserve">Na základe </w:t>
            </w:r>
            <w:r w:rsidRPr="006E1A2C">
              <w:rPr>
                <w:rFonts w:ascii="Times New Roman" w:hAnsi="Times New Roman"/>
              </w:rPr>
              <w:t>makroekonomickej prognózy Ministerstva financií Slovenskej republiky z júna 2015</w:t>
            </w:r>
            <w:r>
              <w:rPr>
                <w:rFonts w:ascii="Times New Roman" w:hAnsi="Times New Roman"/>
              </w:rPr>
              <w:t xml:space="preserve"> bude osobitný príspevok  podľa navrhovanej valorizácie zvýšený o 2,4 % v roku 2016, o 3,6 % v roku 2017 a 4,6 % v roku 2018</w:t>
            </w:r>
            <w:r w:rsidRPr="006E1A2C">
              <w:rPr>
                <w:rFonts w:ascii="Times New Roman" w:hAnsi="Times New Roman"/>
              </w:rPr>
              <w:t>.</w:t>
            </w:r>
          </w:p>
          <w:p w:rsidR="00D712CE" w:rsidP="00FA11AA">
            <w:pPr>
              <w:pStyle w:val="ListParagraph"/>
              <w:bidi w:val="0"/>
              <w:ind w:left="720"/>
              <w:jc w:val="both"/>
              <w:rPr>
                <w:rFonts w:ascii="Times New Roman" w:hAnsi="Times New Roman"/>
              </w:rPr>
            </w:pPr>
            <w:r w:rsidRPr="00FA11AA">
              <w:rPr>
                <w:rFonts w:ascii="Times New Roman" w:hAnsi="Times New Roman"/>
              </w:rPr>
              <w:t xml:space="preserve">Podľa </w:t>
            </w:r>
            <w:r w:rsidRPr="006E1A2C">
              <w:rPr>
                <w:rFonts w:ascii="Times New Roman" w:hAnsi="Times New Roman"/>
              </w:rPr>
              <w:t xml:space="preserve">údajov </w:t>
            </w:r>
            <w:r w:rsidRPr="00FA11AA">
              <w:rPr>
                <w:rFonts w:ascii="Times New Roman" w:hAnsi="Times New Roman"/>
              </w:rPr>
              <w:t>Rudné bane š.p. Banská Bystrica o súčasných poberateľoch osobitného príspevku, ktorí  už nie sú ekonomicky aktívni v baníckom povolaní v podzemí</w:t>
            </w:r>
            <w:r w:rsidRPr="006E1A2C">
              <w:rPr>
                <w:rFonts w:ascii="Times New Roman" w:hAnsi="Times New Roman"/>
              </w:rPr>
              <w:t xml:space="preserve"> poberá 94 osôb osobitný príspevok vo výške 350 eur, 170 osôb osobitný príspevok vo výške 80 eur, 21 osôb vo výške 63,07 eur a 2 osoby poberajú osobitný príspevok vo výške 49,79 eur.</w:t>
            </w:r>
          </w:p>
          <w:p w:rsidR="00D712CE" w:rsidRPr="006E1A2C" w:rsidP="00FA11AA">
            <w:pPr>
              <w:pStyle w:val="ListParagraph"/>
              <w:bidi w:val="0"/>
              <w:ind w:left="0"/>
              <w:jc w:val="both"/>
              <w:rPr>
                <w:rFonts w:ascii="Times New Roman" w:hAnsi="Times New Roman"/>
                <w:color w:val="000000"/>
              </w:rPr>
            </w:pPr>
          </w:p>
          <w:p w:rsidR="001D022C" w:rsidRPr="006E1A2C" w:rsidP="009B0F0B">
            <w:pPr>
              <w:pStyle w:val="ListParagraph"/>
              <w:tabs>
                <w:tab w:val="left" w:pos="1140"/>
              </w:tabs>
              <w:bidi w:val="0"/>
              <w:ind w:left="720"/>
              <w:jc w:val="both"/>
              <w:rPr>
                <w:rFonts w:ascii="Times New Roman" w:hAnsi="Times New Roman"/>
              </w:rPr>
            </w:pPr>
          </w:p>
        </w:tc>
      </w:tr>
      <w:tr>
        <w:tblPrEx>
          <w:tblW w:w="9015" w:type="dxa"/>
          <w:jc w:val="center"/>
          <w:tblCellMar>
            <w:left w:w="70" w:type="dxa"/>
            <w:right w:w="70" w:type="dxa"/>
          </w:tblCellMar>
          <w:tblLook w:val="04A0"/>
        </w:tblPrEx>
        <w:trPr>
          <w:cantSplit/>
          <w:trHeight w:val="549"/>
          <w:jc w:val="center"/>
        </w:trPr>
        <w:tc>
          <w:tcPr>
            <w:tcW w:w="1671" w:type="dxa"/>
            <w:tcBorders>
              <w:top w:val="nil"/>
              <w:left w:val="single" w:sz="4" w:space="0" w:color="auto"/>
              <w:bottom w:val="nil"/>
              <w:right w:val="single" w:sz="4" w:space="0" w:color="auto"/>
            </w:tcBorders>
            <w:textDirection w:val="lrTb"/>
            <w:vAlign w:val="top"/>
            <w:hideMark/>
          </w:tcPr>
          <w:p w:rsidR="001D022C" w:rsidRPr="006E1A2C" w:rsidP="001D022C">
            <w:pPr>
              <w:widowControl/>
              <w:numPr>
                <w:numId w:val="3"/>
              </w:numPr>
              <w:tabs>
                <w:tab w:val="left" w:pos="328"/>
              </w:tabs>
              <w:bidi w:val="0"/>
              <w:adjustRightInd/>
              <w:spacing w:after="0" w:line="240" w:lineRule="auto"/>
              <w:ind w:left="328"/>
              <w:jc w:val="both"/>
              <w:rPr>
                <w:rFonts w:ascii="Times New Roman" w:hAnsi="Times New Roman"/>
                <w:i/>
                <w:sz w:val="24"/>
                <w:szCs w:val="24"/>
                <w:lang w:val="sk-SK"/>
              </w:rPr>
            </w:pPr>
            <w:r w:rsidRPr="006E1A2C">
              <w:rPr>
                <w:rFonts w:ascii="Times New Roman" w:hAnsi="Times New Roman"/>
                <w:i/>
                <w:sz w:val="24"/>
                <w:szCs w:val="24"/>
                <w:lang w:val="sk-SK"/>
              </w:rPr>
              <w:t>Rast alebo pokles príjmov/výdavkov            na priemerného obyvateľa</w:t>
            </w:r>
          </w:p>
        </w:tc>
        <w:tc>
          <w:tcPr>
            <w:tcW w:w="7344" w:type="dxa"/>
            <w:vMerge/>
            <w:tcBorders>
              <w:top w:val="single" w:sz="4" w:space="0" w:color="auto"/>
              <w:left w:val="nil"/>
              <w:bottom w:val="single" w:sz="4" w:space="0" w:color="auto"/>
              <w:right w:val="single" w:sz="4" w:space="0" w:color="auto"/>
            </w:tcBorders>
            <w:textDirection w:val="lrTb"/>
            <w:vAlign w:val="center"/>
            <w:hideMark/>
          </w:tcPr>
          <w:p w:rsidR="001D022C" w:rsidRPr="006E1A2C">
            <w:pPr>
              <w:bidi w:val="0"/>
              <w:rPr>
                <w:rFonts w:ascii="Times New Roman" w:hAnsi="Times New Roman"/>
                <w:sz w:val="24"/>
                <w:szCs w:val="24"/>
                <w:lang w:val="sk-SK"/>
              </w:rPr>
            </w:pPr>
          </w:p>
        </w:tc>
      </w:tr>
      <w:tr>
        <w:tblPrEx>
          <w:tblW w:w="9015" w:type="dxa"/>
          <w:jc w:val="center"/>
          <w:tblCellMar>
            <w:left w:w="70" w:type="dxa"/>
            <w:right w:w="70" w:type="dxa"/>
          </w:tblCellMar>
          <w:tblLook w:val="04A0"/>
        </w:tblPrEx>
        <w:trPr>
          <w:cantSplit/>
          <w:trHeight w:val="870"/>
          <w:jc w:val="center"/>
        </w:trPr>
        <w:tc>
          <w:tcPr>
            <w:tcW w:w="1671" w:type="dxa"/>
            <w:tcBorders>
              <w:top w:val="nil"/>
              <w:left w:val="single" w:sz="4" w:space="0" w:color="auto"/>
              <w:bottom w:val="nil"/>
              <w:right w:val="single" w:sz="4" w:space="0" w:color="auto"/>
            </w:tcBorders>
            <w:textDirection w:val="lrTb"/>
            <w:vAlign w:val="top"/>
            <w:hideMark/>
          </w:tcPr>
          <w:p w:rsidR="001D022C" w:rsidRPr="006E1A2C" w:rsidP="001D022C">
            <w:pPr>
              <w:widowControl/>
              <w:numPr>
                <w:numId w:val="3"/>
              </w:numPr>
              <w:tabs>
                <w:tab w:val="left" w:pos="328"/>
              </w:tabs>
              <w:bidi w:val="0"/>
              <w:adjustRightInd/>
              <w:spacing w:after="0" w:line="240" w:lineRule="auto"/>
              <w:ind w:left="328"/>
              <w:jc w:val="both"/>
              <w:rPr>
                <w:rFonts w:ascii="Times New Roman" w:hAnsi="Times New Roman"/>
                <w:i/>
                <w:sz w:val="24"/>
                <w:szCs w:val="24"/>
                <w:lang w:val="sk-SK"/>
              </w:rPr>
            </w:pPr>
            <w:r w:rsidRPr="006E1A2C">
              <w:rPr>
                <w:rFonts w:ascii="Times New Roman" w:hAnsi="Times New Roman"/>
                <w:i/>
                <w:sz w:val="24"/>
                <w:szCs w:val="24"/>
                <w:lang w:val="sk-SK"/>
              </w:rPr>
              <w:t>Rast alebo pokles príjmov/výdavkov                  za jednotlivé ovplyvnené  skupiny domácností</w:t>
            </w:r>
          </w:p>
          <w:p w:rsidR="001D022C" w:rsidRPr="006E1A2C" w:rsidP="001D022C">
            <w:pPr>
              <w:widowControl/>
              <w:numPr>
                <w:numId w:val="3"/>
              </w:numPr>
              <w:tabs>
                <w:tab w:val="left" w:pos="328"/>
              </w:tabs>
              <w:bidi w:val="0"/>
              <w:adjustRightInd/>
              <w:spacing w:after="0" w:line="240" w:lineRule="auto"/>
              <w:ind w:left="328"/>
              <w:jc w:val="both"/>
              <w:rPr>
                <w:rFonts w:ascii="Times New Roman" w:hAnsi="Times New Roman"/>
                <w:i/>
                <w:sz w:val="24"/>
                <w:szCs w:val="24"/>
                <w:lang w:val="sk-SK"/>
              </w:rPr>
            </w:pPr>
            <w:r w:rsidRPr="006E1A2C">
              <w:rPr>
                <w:rFonts w:ascii="Times New Roman" w:hAnsi="Times New Roman"/>
                <w:i/>
                <w:sz w:val="24"/>
                <w:szCs w:val="24"/>
                <w:lang w:val="sk-SK"/>
              </w:rPr>
              <w:t>Celkový počet obyvateľstva/domácností ovplyvnených predkladaným materiálom</w:t>
            </w:r>
          </w:p>
        </w:tc>
        <w:tc>
          <w:tcPr>
            <w:tcW w:w="7344" w:type="dxa"/>
            <w:vMerge/>
            <w:tcBorders>
              <w:top w:val="single" w:sz="4" w:space="0" w:color="auto"/>
              <w:left w:val="nil"/>
              <w:bottom w:val="single" w:sz="4" w:space="0" w:color="auto"/>
              <w:right w:val="single" w:sz="4" w:space="0" w:color="auto"/>
            </w:tcBorders>
            <w:textDirection w:val="lrTb"/>
            <w:vAlign w:val="center"/>
            <w:hideMark/>
          </w:tcPr>
          <w:p w:rsidR="001D022C" w:rsidRPr="006E1A2C">
            <w:pPr>
              <w:bidi w:val="0"/>
              <w:rPr>
                <w:rFonts w:ascii="Times New Roman" w:hAnsi="Times New Roman"/>
                <w:sz w:val="24"/>
                <w:szCs w:val="24"/>
                <w:lang w:val="sk-SK"/>
              </w:rPr>
            </w:pPr>
          </w:p>
        </w:tc>
      </w:tr>
      <w:tr>
        <w:tblPrEx>
          <w:tblW w:w="9015" w:type="dxa"/>
          <w:jc w:val="center"/>
          <w:tblCellMar>
            <w:left w:w="70" w:type="dxa"/>
            <w:right w:w="70" w:type="dxa"/>
          </w:tblCellMar>
          <w:tblLook w:val="04A0"/>
        </w:tblPrEx>
        <w:trPr>
          <w:cantSplit/>
          <w:trHeight w:val="128"/>
          <w:jc w:val="center"/>
        </w:trPr>
        <w:tc>
          <w:tcPr>
            <w:tcW w:w="1671" w:type="dxa"/>
            <w:tcBorders>
              <w:top w:val="nil"/>
              <w:left w:val="single" w:sz="4" w:space="0" w:color="auto"/>
              <w:bottom w:val="nil"/>
              <w:right w:val="single" w:sz="4" w:space="0" w:color="auto"/>
            </w:tcBorders>
            <w:textDirection w:val="lrTb"/>
            <w:vAlign w:val="top"/>
          </w:tcPr>
          <w:p w:rsidR="001D022C" w:rsidRPr="006E1A2C">
            <w:pPr>
              <w:bidi w:val="0"/>
              <w:ind w:firstLine="720" w:firstLineChars="300"/>
              <w:jc w:val="both"/>
              <w:rPr>
                <w:rFonts w:ascii="Times New Roman" w:hAnsi="Times New Roman"/>
                <w:sz w:val="24"/>
                <w:szCs w:val="24"/>
                <w:lang w:val="sk-SK"/>
              </w:rPr>
            </w:pPr>
          </w:p>
        </w:tc>
        <w:tc>
          <w:tcPr>
            <w:tcW w:w="7344" w:type="dxa"/>
            <w:vMerge/>
            <w:tcBorders>
              <w:top w:val="single" w:sz="4" w:space="0" w:color="auto"/>
              <w:left w:val="nil"/>
              <w:bottom w:val="single" w:sz="4" w:space="0" w:color="auto"/>
              <w:right w:val="single" w:sz="4" w:space="0" w:color="auto"/>
            </w:tcBorders>
            <w:textDirection w:val="lrTb"/>
            <w:vAlign w:val="center"/>
            <w:hideMark/>
          </w:tcPr>
          <w:p w:rsidR="001D022C" w:rsidRPr="006E1A2C">
            <w:pPr>
              <w:bidi w:val="0"/>
              <w:rPr>
                <w:rFonts w:ascii="Times New Roman" w:hAnsi="Times New Roman"/>
                <w:sz w:val="24"/>
                <w:szCs w:val="24"/>
                <w:lang w:val="sk-SK"/>
              </w:rPr>
            </w:pPr>
          </w:p>
        </w:tc>
      </w:tr>
      <w:tr>
        <w:tblPrEx>
          <w:tblW w:w="9015" w:type="dxa"/>
          <w:jc w:val="center"/>
          <w:tblCellMar>
            <w:left w:w="70" w:type="dxa"/>
            <w:right w:w="70" w:type="dxa"/>
          </w:tblCellMar>
          <w:tblLook w:val="04A0"/>
        </w:tblPrEx>
        <w:trPr>
          <w:trHeight w:val="1608"/>
          <w:jc w:val="center"/>
        </w:trPr>
        <w:tc>
          <w:tcPr>
            <w:tcW w:w="1671" w:type="dxa"/>
            <w:tcBorders>
              <w:top w:val="single" w:sz="4" w:space="0" w:color="auto"/>
              <w:left w:val="single" w:sz="4" w:space="0" w:color="auto"/>
              <w:bottom w:val="single" w:sz="4" w:space="0" w:color="auto"/>
              <w:right w:val="single" w:sz="4" w:space="0" w:color="auto"/>
            </w:tcBorders>
            <w:textDirection w:val="lrTb"/>
            <w:vAlign w:val="top"/>
            <w:hideMark/>
          </w:tcPr>
          <w:p w:rsidR="001D022C" w:rsidRPr="006E1A2C">
            <w:pPr>
              <w:bidi w:val="0"/>
              <w:jc w:val="both"/>
              <w:rPr>
                <w:rFonts w:ascii="Times New Roman" w:hAnsi="Times New Roman"/>
                <w:sz w:val="24"/>
                <w:szCs w:val="24"/>
                <w:lang w:val="sk-SK"/>
              </w:rPr>
            </w:pPr>
            <w:r w:rsidRPr="006E1A2C">
              <w:rPr>
                <w:rFonts w:ascii="Times New Roman" w:hAnsi="Times New Roman"/>
                <w:b/>
                <w:sz w:val="24"/>
                <w:szCs w:val="24"/>
                <w:lang w:val="sk-SK"/>
              </w:rPr>
              <w:t>4.2.</w:t>
            </w:r>
            <w:r w:rsidRPr="006E1A2C">
              <w:rPr>
                <w:rFonts w:ascii="Times New Roman" w:hAnsi="Times New Roman"/>
                <w:sz w:val="24"/>
                <w:szCs w:val="24"/>
                <w:lang w:val="sk-SK"/>
              </w:rPr>
              <w:t xml:space="preserve"> Zhodnoťte kvalitatívne (prípadne kvantitatívne) vplyvy na prístup k zdrojom, právam, tovarom a službám u jednotlivých ovplyvnených skupín obyvateľstva.</w:t>
            </w:r>
          </w:p>
        </w:tc>
        <w:tc>
          <w:tcPr>
            <w:tcW w:w="7344" w:type="dxa"/>
            <w:tcBorders>
              <w:top w:val="single" w:sz="4" w:space="0" w:color="auto"/>
              <w:left w:val="nil"/>
              <w:bottom w:val="single" w:sz="4" w:space="0" w:color="auto"/>
              <w:right w:val="single" w:sz="4" w:space="0" w:color="auto"/>
            </w:tcBorders>
            <w:textDirection w:val="lrTb"/>
            <w:vAlign w:val="top"/>
          </w:tcPr>
          <w:p w:rsidR="00C4436F" w:rsidRPr="006E1A2C" w:rsidP="0002331F">
            <w:pPr>
              <w:pStyle w:val="ListParagraph"/>
              <w:numPr>
                <w:numId w:val="9"/>
              </w:numPr>
              <w:bidi w:val="0"/>
              <w:jc w:val="both"/>
              <w:rPr>
                <w:rFonts w:ascii="Times New Roman" w:hAnsi="Times New Roman"/>
                <w:color w:val="000000"/>
              </w:rPr>
            </w:pPr>
            <w:r w:rsidRPr="006E1A2C">
              <w:rPr>
                <w:rFonts w:ascii="Times New Roman" w:hAnsi="Times New Roman"/>
                <w:color w:val="000000"/>
              </w:rPr>
              <w:t>V porovnaní s doterajšou právnou úpravou sa nemení</w:t>
            </w:r>
            <w:r>
              <w:rPr>
                <w:rFonts w:ascii="Times New Roman" w:hAnsi="Times New Roman"/>
                <w:color w:val="000000"/>
              </w:rPr>
              <w:t xml:space="preserve"> </w:t>
            </w:r>
            <w:r w:rsidRPr="006E1A2C">
              <w:rPr>
                <w:rFonts w:ascii="Times New Roman" w:hAnsi="Times New Roman"/>
                <w:color w:val="000000"/>
              </w:rPr>
              <w:t xml:space="preserve">minimálna doba zamestnania v baníctve so stálym pracoviskom v podzemí v hlbinných baniach na území Slovenskej republiky v trvaní 15 rokov, upúšťa sa však od toho, aby celé uvedené obdobie vykonával oprávnený prácu ako rubač, lámač, razič alebo hĺbič a postačuje minimálna doba v trvaní 10 rokov zamestnania v týchto vybraných zamestnaniach (rubač, lámač, razič alebo hĺbič).  </w:t>
            </w:r>
          </w:p>
          <w:p w:rsidR="003A3800" w:rsidRPr="00FA11AA" w:rsidP="00FA11AA">
            <w:pPr>
              <w:pStyle w:val="ListParagraph"/>
              <w:numPr>
                <w:numId w:val="9"/>
              </w:numPr>
              <w:bidi w:val="0"/>
              <w:jc w:val="both"/>
              <w:rPr>
                <w:rFonts w:ascii="Times New Roman" w:hAnsi="Times New Roman"/>
                <w:color w:val="000000"/>
              </w:rPr>
            </w:pPr>
            <w:r w:rsidRPr="00FA11AA" w:rsidR="00C4436F">
              <w:rPr>
                <w:rFonts w:ascii="Times New Roman" w:hAnsi="Times New Roman"/>
                <w:color w:val="000000"/>
              </w:rPr>
              <w:t>Keďže nárok na priznanie osobitného vzniká oprávneným osobám až dovŕšením veku 55 rokov (podľa súčasnej právnej úpravy, pričom navrhovaná úprava túto podmienku nemení), navrhuje sa  upustenie od</w:t>
            </w:r>
            <w:r w:rsidRPr="00FA11AA" w:rsidR="0002331F">
              <w:rPr>
                <w:rFonts w:ascii="Times New Roman" w:hAnsi="Times New Roman"/>
                <w:color w:val="000000"/>
              </w:rPr>
              <w:t xml:space="preserve"> </w:t>
            </w:r>
            <w:r w:rsidRPr="00FA11AA" w:rsidR="00C4436F">
              <w:rPr>
                <w:rFonts w:ascii="Times New Roman" w:hAnsi="Times New Roman"/>
                <w:color w:val="000000"/>
              </w:rPr>
              <w:t xml:space="preserve">podmienky vzniku </w:t>
            </w:r>
            <w:r w:rsidRPr="00FA11AA" w:rsidR="0002331F">
              <w:rPr>
                <w:rFonts w:ascii="Times New Roman" w:hAnsi="Times New Roman"/>
                <w:color w:val="000000"/>
              </w:rPr>
              <w:t xml:space="preserve">nároku na osobitný príspevok, ktorou je </w:t>
            </w:r>
            <w:r w:rsidRPr="00FA11AA" w:rsidR="00C4436F">
              <w:rPr>
                <w:rFonts w:ascii="Times New Roman" w:hAnsi="Times New Roman"/>
                <w:color w:val="000000"/>
              </w:rPr>
              <w:t xml:space="preserve">trvanie zamestnania v baníctve so stálym pracoviskom v podzemí v hlbinných baniach na území Slovenskej republiky pri dosiahnutí 50 rokov veku </w:t>
            </w:r>
            <w:r w:rsidRPr="00FA11AA" w:rsidR="0002331F">
              <w:rPr>
                <w:rFonts w:ascii="Times New Roman" w:hAnsi="Times New Roman"/>
                <w:color w:val="000000"/>
              </w:rPr>
              <w:t xml:space="preserve">z dôvodu, že </w:t>
            </w:r>
            <w:r w:rsidRPr="00FA11AA" w:rsidR="00032905">
              <w:rPr>
                <w:rFonts w:ascii="Times New Roman" w:hAnsi="Times New Roman"/>
                <w:color w:val="000000"/>
              </w:rPr>
              <w:t xml:space="preserve"> </w:t>
            </w:r>
            <w:r w:rsidRPr="00FA11AA" w:rsidR="0002331F">
              <w:rPr>
                <w:rFonts w:ascii="Times New Roman" w:hAnsi="Times New Roman"/>
                <w:color w:val="000000"/>
              </w:rPr>
              <w:t>o</w:t>
            </w:r>
            <w:r w:rsidRPr="00222635" w:rsidR="00032905">
              <w:rPr>
                <w:rFonts w:ascii="Times New Roman" w:hAnsi="Times New Roman"/>
              </w:rPr>
              <w:t xml:space="preserve">sobitný príspevok, ako štátna dávka, zabezpečuje oprávnené osoby, ktoré dlhodobo vykonávali zamestnanie so stálym pracoviskom v podzemí, po dovŕšení fyzického veku 55 rokov. Dlhodobý výkon tohto zamestnania je rozhodujúcim kritériom tejto dávky. Je reálny predpoklad, že dlhodobý výkon tohto fyzicky náročného zamestnania, za súčasného pôsobenia špecifických mikroklimatických podmienok, spôsobuje nadmerné opotrebenie organizmu, a to bez ohľadu na to, v akom veku sa toto zamestnanie vykonáva. Podmienka dovŕšenia 50 rokov veku počas výkonu  zamestnania so stálym pracoviskom v podzemí sa javí neodôvodnene najprísnejšia práve voči tým oprávneným, ktorí si banícke povolanie vybrali po ukončení štúdia, prípadne pred dosiahnutím veku  35 rokov.  Tieto skupiny oprávnených by podľa jestvujúcej právnej úpravy museli pre vznik nároku odpracovať prakticky 30 rokov, resp. takmer 30 rokov. Vzhľadom na uvedené sa navrhuje upustiť od  uvedenej podmienky.     </w:t>
            </w:r>
          </w:p>
          <w:p w:rsidR="001D022C" w:rsidRPr="003A3800" w:rsidP="00D02675">
            <w:pPr>
              <w:bidi w:val="0"/>
              <w:jc w:val="both"/>
              <w:rPr>
                <w:rFonts w:ascii="Times New Roman" w:hAnsi="Times New Roman"/>
                <w:b/>
                <w:sz w:val="24"/>
                <w:szCs w:val="24"/>
                <w:lang w:val="sk-SK"/>
              </w:rPr>
            </w:pPr>
          </w:p>
        </w:tc>
      </w:tr>
      <w:tr>
        <w:tblPrEx>
          <w:tblW w:w="9015" w:type="dxa"/>
          <w:jc w:val="center"/>
          <w:tblCellMar>
            <w:left w:w="70" w:type="dxa"/>
            <w:right w:w="70" w:type="dxa"/>
          </w:tblCellMar>
          <w:tblLook w:val="04A0"/>
        </w:tblPrEx>
        <w:trPr>
          <w:trHeight w:val="660"/>
          <w:jc w:val="center"/>
        </w:trPr>
        <w:tc>
          <w:tcPr>
            <w:tcW w:w="1671" w:type="dxa"/>
            <w:tcBorders>
              <w:top w:val="single" w:sz="4" w:space="0" w:color="auto"/>
              <w:left w:val="single" w:sz="4" w:space="0" w:color="auto"/>
              <w:bottom w:val="single" w:sz="4" w:space="0" w:color="auto"/>
              <w:right w:val="single" w:sz="4" w:space="0" w:color="auto"/>
            </w:tcBorders>
            <w:textDirection w:val="lrTb"/>
            <w:vAlign w:val="top"/>
          </w:tcPr>
          <w:p w:rsidR="001D022C" w:rsidRPr="006E1A2C">
            <w:pPr>
              <w:bidi w:val="0"/>
              <w:jc w:val="both"/>
              <w:rPr>
                <w:rFonts w:ascii="Times New Roman" w:hAnsi="Times New Roman"/>
                <w:sz w:val="24"/>
                <w:szCs w:val="24"/>
                <w:lang w:val="sk-SK"/>
              </w:rPr>
            </w:pPr>
            <w:r w:rsidRPr="006E1A2C">
              <w:rPr>
                <w:rFonts w:ascii="Times New Roman" w:hAnsi="Times New Roman"/>
                <w:b/>
                <w:sz w:val="24"/>
                <w:szCs w:val="24"/>
                <w:lang w:val="sk-SK"/>
              </w:rPr>
              <w:t>4.3.</w:t>
            </w:r>
            <w:r w:rsidRPr="006E1A2C">
              <w:rPr>
                <w:rFonts w:ascii="Times New Roman" w:hAnsi="Times New Roman"/>
                <w:sz w:val="24"/>
                <w:szCs w:val="24"/>
                <w:lang w:val="sk-SK"/>
              </w:rPr>
              <w:t xml:space="preserve">  Zhodnoťte vplyv na rovnosť príležitostí:</w:t>
            </w:r>
          </w:p>
          <w:p w:rsidR="001D022C" w:rsidRPr="006E1A2C">
            <w:pPr>
              <w:bidi w:val="0"/>
              <w:jc w:val="both"/>
              <w:rPr>
                <w:rFonts w:ascii="Times New Roman" w:hAnsi="Times New Roman"/>
                <w:sz w:val="24"/>
                <w:szCs w:val="24"/>
                <w:lang w:val="sk-SK"/>
              </w:rPr>
            </w:pPr>
            <w:r w:rsidRPr="006E1A2C">
              <w:rPr>
                <w:rFonts w:ascii="Times New Roman" w:hAnsi="Times New Roman"/>
                <w:sz w:val="24"/>
                <w:szCs w:val="24"/>
                <w:lang w:val="sk-SK"/>
              </w:rPr>
              <w:t>Zhodnoťte vplyv na rodovú rovnosť.</w:t>
            </w:r>
          </w:p>
          <w:p w:rsidR="001D022C" w:rsidRPr="006E1A2C">
            <w:pPr>
              <w:bidi w:val="0"/>
              <w:jc w:val="both"/>
              <w:rPr>
                <w:rFonts w:ascii="Times New Roman" w:hAnsi="Times New Roman"/>
                <w:sz w:val="24"/>
                <w:szCs w:val="24"/>
                <w:lang w:val="sk-SK"/>
              </w:rPr>
            </w:pPr>
          </w:p>
        </w:tc>
        <w:tc>
          <w:tcPr>
            <w:tcW w:w="7344" w:type="dxa"/>
            <w:tcBorders>
              <w:top w:val="nil"/>
              <w:left w:val="nil"/>
              <w:bottom w:val="single" w:sz="4" w:space="0" w:color="auto"/>
              <w:right w:val="single" w:sz="4" w:space="0" w:color="auto"/>
            </w:tcBorders>
            <w:textDirection w:val="lrTb"/>
            <w:vAlign w:val="top"/>
            <w:hideMark/>
          </w:tcPr>
          <w:p w:rsidR="001D022C" w:rsidRPr="006E1A2C">
            <w:pPr>
              <w:bidi w:val="0"/>
              <w:jc w:val="both"/>
              <w:rPr>
                <w:rFonts w:ascii="Times New Roman" w:hAnsi="Times New Roman"/>
                <w:sz w:val="24"/>
                <w:szCs w:val="24"/>
                <w:lang w:val="sk-SK"/>
              </w:rPr>
            </w:pPr>
            <w:r w:rsidR="003A3800">
              <w:rPr>
                <w:rFonts w:ascii="Times New Roman" w:hAnsi="Times New Roman"/>
                <w:sz w:val="24"/>
                <w:szCs w:val="24"/>
                <w:lang w:val="sk-SK"/>
              </w:rPr>
              <w:t>Bez vplyvu.</w:t>
            </w:r>
          </w:p>
        </w:tc>
      </w:tr>
      <w:tr>
        <w:tblPrEx>
          <w:tblW w:w="9015" w:type="dxa"/>
          <w:jc w:val="center"/>
          <w:tblCellMar>
            <w:left w:w="70" w:type="dxa"/>
            <w:right w:w="70" w:type="dxa"/>
          </w:tblCellMar>
          <w:tblLook w:val="04A0"/>
        </w:tblPrEx>
        <w:trPr>
          <w:trHeight w:val="2252"/>
          <w:jc w:val="center"/>
        </w:trPr>
        <w:tc>
          <w:tcPr>
            <w:tcW w:w="1671" w:type="dxa"/>
            <w:tcBorders>
              <w:top w:val="single" w:sz="4" w:space="0" w:color="auto"/>
              <w:left w:val="single" w:sz="4" w:space="0" w:color="auto"/>
              <w:bottom w:val="single" w:sz="4" w:space="0" w:color="auto"/>
              <w:right w:val="single" w:sz="4" w:space="0" w:color="auto"/>
            </w:tcBorders>
            <w:textDirection w:val="lrTb"/>
            <w:vAlign w:val="top"/>
          </w:tcPr>
          <w:p w:rsidR="001D022C" w:rsidRPr="006E1A2C">
            <w:pPr>
              <w:bidi w:val="0"/>
              <w:jc w:val="both"/>
              <w:rPr>
                <w:rFonts w:ascii="Times New Roman" w:hAnsi="Times New Roman"/>
                <w:sz w:val="24"/>
                <w:szCs w:val="24"/>
                <w:lang w:val="sk-SK"/>
              </w:rPr>
            </w:pPr>
            <w:r w:rsidRPr="006E1A2C">
              <w:rPr>
                <w:rFonts w:ascii="Times New Roman" w:hAnsi="Times New Roman"/>
                <w:b/>
                <w:sz w:val="24"/>
                <w:szCs w:val="24"/>
                <w:lang w:val="sk-SK"/>
              </w:rPr>
              <w:t xml:space="preserve">4.4. </w:t>
            </w:r>
            <w:r w:rsidRPr="006E1A2C">
              <w:rPr>
                <w:rFonts w:ascii="Times New Roman" w:hAnsi="Times New Roman"/>
                <w:sz w:val="24"/>
                <w:szCs w:val="24"/>
                <w:lang w:val="sk-SK"/>
              </w:rPr>
              <w:t>Zhodnoťte vplyvy na zamestnanosť.</w:t>
            </w:r>
          </w:p>
          <w:p w:rsidR="001D022C" w:rsidRPr="006E1A2C">
            <w:pPr>
              <w:bidi w:val="0"/>
              <w:jc w:val="both"/>
              <w:rPr>
                <w:rFonts w:ascii="Times New Roman" w:hAnsi="Times New Roman"/>
                <w:bCs/>
                <w:sz w:val="24"/>
                <w:szCs w:val="24"/>
                <w:lang w:val="sk-SK"/>
              </w:rPr>
            </w:pPr>
            <w:r w:rsidRPr="006E1A2C">
              <w:rPr>
                <w:rFonts w:ascii="Times New Roman" w:hAnsi="Times New Roman"/>
                <w:bCs/>
                <w:sz w:val="24"/>
                <w:szCs w:val="24"/>
                <w:lang w:val="sk-SK"/>
              </w:rPr>
              <w:t>Aké sú  vplyvy na zamestnanosť ?</w:t>
            </w:r>
          </w:p>
          <w:p w:rsidR="001D022C" w:rsidRPr="006E1A2C">
            <w:pPr>
              <w:bidi w:val="0"/>
              <w:jc w:val="both"/>
              <w:rPr>
                <w:rFonts w:ascii="Times New Roman" w:hAnsi="Times New Roman"/>
                <w:sz w:val="24"/>
                <w:szCs w:val="24"/>
                <w:lang w:val="sk-SK"/>
              </w:rPr>
            </w:pPr>
            <w:r w:rsidRPr="006E1A2C">
              <w:rPr>
                <w:rFonts w:ascii="Times New Roman" w:hAnsi="Times New Roman"/>
                <w:bCs/>
                <w:sz w:val="24"/>
                <w:szCs w:val="24"/>
                <w:lang w:val="sk-SK"/>
              </w:rPr>
              <w:t>Ktoré skupiny zamestnancov budú ohrozené schválením predkladaného materiálu ?</w:t>
            </w:r>
          </w:p>
          <w:p w:rsidR="001D022C" w:rsidRPr="006E1A2C">
            <w:pPr>
              <w:bidi w:val="0"/>
              <w:jc w:val="both"/>
              <w:rPr>
                <w:rFonts w:ascii="Times New Roman" w:hAnsi="Times New Roman"/>
                <w:bCs/>
                <w:sz w:val="24"/>
                <w:szCs w:val="24"/>
                <w:lang w:val="sk-SK"/>
              </w:rPr>
            </w:pPr>
            <w:r w:rsidRPr="006E1A2C">
              <w:rPr>
                <w:rFonts w:ascii="Times New Roman" w:hAnsi="Times New Roman"/>
                <w:bCs/>
                <w:sz w:val="24"/>
                <w:szCs w:val="24"/>
                <w:lang w:val="sk-SK"/>
              </w:rPr>
              <w:t>Hrozí v prípade schválenia predkladaného materiálu hromadné prepúšťanie ?</w:t>
            </w:r>
          </w:p>
        </w:tc>
        <w:tc>
          <w:tcPr>
            <w:tcW w:w="7344" w:type="dxa"/>
            <w:tcBorders>
              <w:top w:val="single" w:sz="4" w:space="0" w:color="auto"/>
              <w:left w:val="single" w:sz="4" w:space="0" w:color="auto"/>
              <w:bottom w:val="single" w:sz="4" w:space="0" w:color="auto"/>
              <w:right w:val="single" w:sz="4" w:space="0" w:color="auto"/>
            </w:tcBorders>
            <w:textDirection w:val="lrTb"/>
            <w:vAlign w:val="top"/>
          </w:tcPr>
          <w:p w:rsidR="001D022C" w:rsidRPr="006E1A2C">
            <w:pPr>
              <w:bidi w:val="0"/>
              <w:jc w:val="both"/>
              <w:rPr>
                <w:rFonts w:ascii="Times New Roman" w:hAnsi="Times New Roman"/>
                <w:sz w:val="24"/>
                <w:szCs w:val="24"/>
                <w:lang w:val="sk-SK"/>
              </w:rPr>
            </w:pPr>
            <w:r w:rsidRPr="006E1A2C">
              <w:rPr>
                <w:rFonts w:ascii="Times New Roman" w:hAnsi="Times New Roman"/>
                <w:sz w:val="24"/>
                <w:szCs w:val="24"/>
                <w:lang w:val="sk-SK"/>
              </w:rPr>
              <w:t> </w:t>
            </w:r>
            <w:r w:rsidR="003A3800">
              <w:rPr>
                <w:rFonts w:ascii="Times New Roman" w:hAnsi="Times New Roman"/>
                <w:sz w:val="24"/>
                <w:szCs w:val="24"/>
                <w:lang w:val="sk-SK"/>
              </w:rPr>
              <w:t>Bez vplyvu.</w:t>
            </w:r>
          </w:p>
          <w:p w:rsidR="001D022C" w:rsidRPr="006E1A2C" w:rsidP="003A3800">
            <w:pPr>
              <w:bidi w:val="0"/>
              <w:jc w:val="both"/>
              <w:rPr>
                <w:rFonts w:ascii="Times New Roman" w:hAnsi="Times New Roman"/>
                <w:sz w:val="24"/>
                <w:szCs w:val="24"/>
                <w:lang w:val="sk-SK"/>
              </w:rPr>
            </w:pPr>
          </w:p>
        </w:tc>
      </w:tr>
    </w:tbl>
    <w:p w:rsidR="001D022C" w:rsidRPr="006E1A2C" w:rsidP="001D022C">
      <w:pPr>
        <w:bidi w:val="0"/>
        <w:jc w:val="both"/>
        <w:rPr>
          <w:rFonts w:ascii="Times New Roman" w:hAnsi="Times New Roman"/>
          <w:b/>
          <w:sz w:val="24"/>
          <w:szCs w:val="24"/>
          <w:lang w:val="sk-SK"/>
        </w:rPr>
      </w:pPr>
    </w:p>
    <w:p w:rsidR="00593F1E" w:rsidRPr="006E1A2C" w:rsidP="009B0F0B">
      <w:pPr>
        <w:widowControl/>
        <w:bidi w:val="0"/>
        <w:spacing w:after="0"/>
        <w:jc w:val="both"/>
        <w:rPr>
          <w:rFonts w:ascii="Times New Roman" w:hAnsi="Times New Roman"/>
          <w:color w:val="000000"/>
          <w:sz w:val="24"/>
          <w:szCs w:val="24"/>
          <w:lang w:val="sk-SK"/>
        </w:rPr>
      </w:pPr>
    </w:p>
    <w:sectPr w:rsidSect="00F16484">
      <w:footerReference w:type="default" r:id="rId4"/>
      <w:pgSz w:w="12240" w:h="15840"/>
      <w:pgMar w:top="1440" w:right="1440" w:bottom="1440" w:left="1440" w:header="708" w:footer="708" w:gutter="0"/>
      <w:lnNumType w:distance="0"/>
      <w:cols w:space="708"/>
      <w:titlePg/>
      <w:bidi w:val="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484">
    <w:pPr>
      <w:pStyle w:val="Footer"/>
      <w:bidi w:val="0"/>
      <w:jc w:val="center"/>
    </w:pPr>
    <w:r>
      <w:fldChar w:fldCharType="begin"/>
    </w:r>
    <w:r>
      <w:instrText>PAGE   \* MERGEFORMAT</w:instrText>
    </w:r>
    <w:r>
      <w:fldChar w:fldCharType="separate"/>
    </w:r>
    <w:r w:rsidRPr="005E768D" w:rsidR="005E768D">
      <w:rPr>
        <w:noProof/>
        <w:lang w:val="sk-SK"/>
      </w:rPr>
      <w:t>10</w:t>
    </w:r>
    <w:r>
      <w:fldChar w:fldCharType="end"/>
    </w:r>
  </w:p>
  <w:p w:rsidR="00F1648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93B"/>
    <w:multiLevelType w:val="hybridMultilevel"/>
    <w:tmpl w:val="95C42EE6"/>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7F7616"/>
    <w:multiLevelType w:val="hybridMultilevel"/>
    <w:tmpl w:val="F184DAFC"/>
    <w:lvl w:ilvl="0">
      <w:start w:val="1"/>
      <w:numFmt w:val="bullet"/>
      <w:lvlText w:val=""/>
      <w:lvlJc w:val="left"/>
      <w:pPr>
        <w:ind w:left="764" w:hanging="360"/>
      </w:pPr>
      <w:rPr>
        <w:rFonts w:ascii="Symbol" w:hAnsi="Symbol" w:hint="default"/>
      </w:rPr>
    </w:lvl>
    <w:lvl w:ilvl="1">
      <w:start w:val="1"/>
      <w:numFmt w:val="bullet"/>
      <w:lvlText w:val="o"/>
      <w:lvlJc w:val="left"/>
      <w:pPr>
        <w:ind w:left="1484" w:hanging="360"/>
      </w:pPr>
      <w:rPr>
        <w:rFonts w:ascii="Courier New" w:hAnsi="Courier New" w:hint="default"/>
      </w:rPr>
    </w:lvl>
    <w:lvl w:ilvl="2">
      <w:start w:val="1"/>
      <w:numFmt w:val="bullet"/>
      <w:lvlText w:val=""/>
      <w:lvlJc w:val="left"/>
      <w:pPr>
        <w:ind w:left="2204" w:hanging="360"/>
      </w:pPr>
      <w:rPr>
        <w:rFonts w:ascii="Wingdings" w:hAnsi="Wingdings" w:hint="default"/>
      </w:rPr>
    </w:lvl>
    <w:lvl w:ilvl="3">
      <w:start w:val="1"/>
      <w:numFmt w:val="bullet"/>
      <w:lvlText w:val=""/>
      <w:lvlJc w:val="left"/>
      <w:pPr>
        <w:ind w:left="2924" w:hanging="360"/>
      </w:pPr>
      <w:rPr>
        <w:rFonts w:ascii="Symbol" w:hAnsi="Symbol" w:hint="default"/>
      </w:rPr>
    </w:lvl>
    <w:lvl w:ilvl="4">
      <w:start w:val="1"/>
      <w:numFmt w:val="bullet"/>
      <w:lvlText w:val="o"/>
      <w:lvlJc w:val="left"/>
      <w:pPr>
        <w:ind w:left="3644" w:hanging="360"/>
      </w:pPr>
      <w:rPr>
        <w:rFonts w:ascii="Courier New" w:hAnsi="Courier New" w:hint="default"/>
      </w:rPr>
    </w:lvl>
    <w:lvl w:ilvl="5">
      <w:start w:val="1"/>
      <w:numFmt w:val="bullet"/>
      <w:lvlText w:val=""/>
      <w:lvlJc w:val="left"/>
      <w:pPr>
        <w:ind w:left="4364" w:hanging="360"/>
      </w:pPr>
      <w:rPr>
        <w:rFonts w:ascii="Wingdings" w:hAnsi="Wingdings" w:hint="default"/>
      </w:rPr>
    </w:lvl>
    <w:lvl w:ilvl="6">
      <w:start w:val="1"/>
      <w:numFmt w:val="bullet"/>
      <w:lvlText w:val=""/>
      <w:lvlJc w:val="left"/>
      <w:pPr>
        <w:ind w:left="5084" w:hanging="360"/>
      </w:pPr>
      <w:rPr>
        <w:rFonts w:ascii="Symbol" w:hAnsi="Symbol" w:hint="default"/>
      </w:rPr>
    </w:lvl>
    <w:lvl w:ilvl="7">
      <w:start w:val="1"/>
      <w:numFmt w:val="bullet"/>
      <w:lvlText w:val="o"/>
      <w:lvlJc w:val="left"/>
      <w:pPr>
        <w:ind w:left="5804" w:hanging="360"/>
      </w:pPr>
      <w:rPr>
        <w:rFonts w:ascii="Courier New" w:hAnsi="Courier New" w:hint="default"/>
      </w:rPr>
    </w:lvl>
    <w:lvl w:ilvl="8">
      <w:start w:val="1"/>
      <w:numFmt w:val="bullet"/>
      <w:lvlText w:val=""/>
      <w:lvlJc w:val="left"/>
      <w:pPr>
        <w:ind w:left="6524" w:hanging="360"/>
      </w:pPr>
      <w:rPr>
        <w:rFonts w:ascii="Wingdings" w:hAnsi="Wingdings" w:hint="default"/>
      </w:rPr>
    </w:lvl>
  </w:abstractNum>
  <w:abstractNum w:abstractNumId="2">
    <w:nsid w:val="19B90998"/>
    <w:multiLevelType w:val="hybridMultilevel"/>
    <w:tmpl w:val="7A8E0D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9C17E46"/>
    <w:multiLevelType w:val="hybridMultilevel"/>
    <w:tmpl w:val="95C42EE6"/>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70E4BEE"/>
    <w:multiLevelType w:val="hybridMultilevel"/>
    <w:tmpl w:val="7A8E0D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E2D3E36"/>
    <w:multiLevelType w:val="hybridMultilevel"/>
    <w:tmpl w:val="7A8E0D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EBA5A57"/>
    <w:multiLevelType w:val="hybridMultilevel"/>
    <w:tmpl w:val="7A8E0D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5FF06D5"/>
    <w:multiLevelType w:val="hybridMultilevel"/>
    <w:tmpl w:val="17C67B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2"/>
  </w:num>
  <w:num w:numId="5">
    <w:abstractNumId w:val="7"/>
  </w:num>
  <w:num w:numId="6">
    <w:abstractNumId w:val="0"/>
  </w:num>
  <w:num w:numId="7">
    <w:abstractNumId w:val="1"/>
  </w:num>
  <w:num w:numId="8">
    <w:abstractNumId w:val="5"/>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BF17C2"/>
    <w:rsid w:val="0002331F"/>
    <w:rsid w:val="00032905"/>
    <w:rsid w:val="000428B7"/>
    <w:rsid w:val="000B75F6"/>
    <w:rsid w:val="001D022C"/>
    <w:rsid w:val="001D0549"/>
    <w:rsid w:val="00222635"/>
    <w:rsid w:val="00240146"/>
    <w:rsid w:val="002704AC"/>
    <w:rsid w:val="003A3800"/>
    <w:rsid w:val="00416F5E"/>
    <w:rsid w:val="0042620C"/>
    <w:rsid w:val="005003A0"/>
    <w:rsid w:val="005215E8"/>
    <w:rsid w:val="00593F1E"/>
    <w:rsid w:val="005D00CB"/>
    <w:rsid w:val="005E768D"/>
    <w:rsid w:val="00601E76"/>
    <w:rsid w:val="0067108C"/>
    <w:rsid w:val="006E1A2C"/>
    <w:rsid w:val="007A6250"/>
    <w:rsid w:val="007D2D78"/>
    <w:rsid w:val="007F2849"/>
    <w:rsid w:val="0097062D"/>
    <w:rsid w:val="009B0F0B"/>
    <w:rsid w:val="009C28AB"/>
    <w:rsid w:val="00A739F3"/>
    <w:rsid w:val="00B85035"/>
    <w:rsid w:val="00BF17C2"/>
    <w:rsid w:val="00C4436F"/>
    <w:rsid w:val="00CD12CE"/>
    <w:rsid w:val="00D02675"/>
    <w:rsid w:val="00D30502"/>
    <w:rsid w:val="00D712CE"/>
    <w:rsid w:val="00D71A8A"/>
    <w:rsid w:val="00EF0F88"/>
    <w:rsid w:val="00F16484"/>
    <w:rsid w:val="00F8069F"/>
    <w:rsid w:val="00F87F48"/>
    <w:rsid w:val="00FA11A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locked/>
    <w:rsid w:val="001D022C"/>
    <w:pPr>
      <w:widowControl/>
      <w:adjustRightInd/>
      <w:spacing w:after="0" w:line="240" w:lineRule="auto"/>
      <w:ind w:left="708"/>
      <w:jc w:val="left"/>
    </w:pPr>
    <w:rPr>
      <w:rFonts w:ascii="Times New Roman" w:hAnsi="Times New Roman"/>
      <w:sz w:val="24"/>
      <w:szCs w:val="24"/>
      <w:lang w:val="sk-SK" w:eastAsia="sk-SK"/>
    </w:rPr>
  </w:style>
  <w:style w:type="paragraph" w:styleId="NormalWeb">
    <w:name w:val="Normal (Web)"/>
    <w:aliases w:val="webb"/>
    <w:basedOn w:val="Normal"/>
    <w:uiPriority w:val="99"/>
    <w:rsid w:val="006E1A2C"/>
    <w:pPr>
      <w:widowControl/>
      <w:adjustRightInd/>
      <w:spacing w:before="100" w:beforeAutospacing="1" w:after="100" w:afterAutospacing="1" w:line="240" w:lineRule="auto"/>
      <w:jc w:val="left"/>
    </w:pPr>
    <w:rPr>
      <w:rFonts w:ascii="Times New Roman" w:hAnsi="Times New Roman"/>
      <w:sz w:val="24"/>
      <w:szCs w:val="24"/>
      <w:lang w:val="sk-SK" w:eastAsia="sk-SK"/>
    </w:rPr>
  </w:style>
  <w:style w:type="paragraph" w:styleId="Header">
    <w:name w:val="header"/>
    <w:basedOn w:val="Normal"/>
    <w:link w:val="HeaderChar"/>
    <w:uiPriority w:val="99"/>
    <w:unhideWhenUsed/>
    <w:rsid w:val="00F16484"/>
    <w:pPr>
      <w:tabs>
        <w:tab w:val="center" w:pos="4536"/>
        <w:tab w:val="right" w:pos="9072"/>
      </w:tabs>
      <w:jc w:val="left"/>
    </w:pPr>
    <w:rPr>
      <w:sz w:val="20"/>
      <w:szCs w:val="20"/>
    </w:rPr>
  </w:style>
  <w:style w:type="character" w:customStyle="1" w:styleId="HeaderChar">
    <w:name w:val="Header Char"/>
    <w:link w:val="Header"/>
    <w:uiPriority w:val="99"/>
    <w:locked/>
    <w:rsid w:val="00F16484"/>
    <w:rPr>
      <w:lang w:val="en-US" w:eastAsia="en-US"/>
    </w:rPr>
  </w:style>
  <w:style w:type="paragraph" w:styleId="Footer">
    <w:name w:val="footer"/>
    <w:basedOn w:val="Normal"/>
    <w:link w:val="FooterChar"/>
    <w:uiPriority w:val="99"/>
    <w:unhideWhenUsed/>
    <w:rsid w:val="00F16484"/>
    <w:pPr>
      <w:tabs>
        <w:tab w:val="center" w:pos="4536"/>
        <w:tab w:val="right" w:pos="9072"/>
      </w:tabs>
      <w:jc w:val="left"/>
    </w:pPr>
    <w:rPr>
      <w:sz w:val="20"/>
      <w:szCs w:val="20"/>
    </w:rPr>
  </w:style>
  <w:style w:type="character" w:customStyle="1" w:styleId="FooterChar">
    <w:name w:val="Footer Char"/>
    <w:link w:val="Footer"/>
    <w:uiPriority w:val="99"/>
    <w:locked/>
    <w:rsid w:val="00F16484"/>
    <w:rPr>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2780</Words>
  <Characters>15850</Characters>
  <Application>Microsoft Office Word</Application>
  <DocSecurity>0</DocSecurity>
  <Lines>0</Lines>
  <Paragraphs>0</Paragraphs>
  <ScaleCrop>false</ScaleCrop>
  <Company>Hewlett-Packard Company</Company>
  <LinksUpToDate>false</LinksUpToDate>
  <CharactersWithSpaces>18593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Rudavska Simona</dc:creator>
  <cp:lastModifiedBy>Gašparíková, Jarmila</cp:lastModifiedBy>
  <cp:revision>2</cp:revision>
  <dcterms:created xsi:type="dcterms:W3CDTF">2015-08-28T12:00:00Z</dcterms:created>
  <dcterms:modified xsi:type="dcterms:W3CDTF">2015-08-28T12:00:00Z</dcterms:modified>
</cp:coreProperties>
</file>