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409C" w:rsidRPr="0094314A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94314A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98409C" w:rsidRPr="0094314A">
      <w:pPr>
        <w:bidi w:val="0"/>
        <w:jc w:val="center"/>
        <w:rPr>
          <w:rFonts w:ascii="Times New Roman" w:hAnsi="Times New Roman"/>
          <w:b/>
          <w:lang w:val="sk-SK"/>
        </w:rPr>
      </w:pPr>
      <w:r w:rsidRPr="0094314A">
        <w:rPr>
          <w:rFonts w:ascii="Times New Roman" w:hAnsi="Times New Roman"/>
          <w:b/>
          <w:lang w:val="sk-SK"/>
        </w:rPr>
        <w:t>právneho predpisu s právom Európskej únie </w:t>
      </w:r>
    </w:p>
    <w:p w:rsidR="0098409C" w:rsidRPr="0094314A">
      <w:pPr>
        <w:bidi w:val="0"/>
        <w:rPr>
          <w:rFonts w:ascii="Times New Roman" w:hAnsi="Times New Roman"/>
          <w:lang w:val="sk-SK"/>
        </w:rPr>
      </w:pPr>
    </w:p>
    <w:p w:rsidR="0098409C" w:rsidRPr="0094314A">
      <w:pPr>
        <w:bidi w:val="0"/>
        <w:rPr>
          <w:rFonts w:ascii="Times New Roman" w:hAnsi="Times New Roman"/>
          <w:lang w:val="sk-SK"/>
        </w:rPr>
      </w:pPr>
    </w:p>
    <w:p w:rsidR="0098409C" w:rsidRPr="0094314A">
      <w:pPr>
        <w:bidi w:val="0"/>
        <w:rPr>
          <w:rFonts w:ascii="Times New Roman" w:hAnsi="Times New Roman"/>
          <w:lang w:val="sk-SK"/>
        </w:rPr>
      </w:pPr>
    </w:p>
    <w:p w:rsidR="00EF2368" w:rsidP="00EF2368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lang w:val="sk-SK"/>
        </w:rPr>
        <w:t>1</w:t>
      </w:r>
      <w:r w:rsidRPr="0094314A" w:rsidR="0098409C">
        <w:rPr>
          <w:rFonts w:ascii="Times New Roman" w:hAnsi="Times New Roman"/>
          <w:b/>
          <w:lang w:val="sk-SK"/>
        </w:rPr>
        <w:t>.</w:t>
        <w:tab/>
      </w:r>
      <w:r>
        <w:rPr>
          <w:rFonts w:ascii="Times New Roman" w:hAnsi="Times New Roman"/>
          <w:b/>
        </w:rPr>
        <w:t xml:space="preserve">Predkladateľ </w:t>
      </w:r>
      <w:r w:rsidR="001562D3">
        <w:rPr>
          <w:rFonts w:ascii="Times New Roman" w:hAnsi="Times New Roman"/>
          <w:b/>
          <w:lang w:val="sk-SK"/>
        </w:rPr>
        <w:t xml:space="preserve">návrhu </w:t>
      </w:r>
      <w:r>
        <w:rPr>
          <w:rFonts w:ascii="Times New Roman" w:hAnsi="Times New Roman"/>
          <w:b/>
        </w:rPr>
        <w:t>zákona:</w:t>
      </w:r>
    </w:p>
    <w:p w:rsidR="00EF2368" w:rsidP="00EF2368">
      <w:pPr>
        <w:bidi w:val="0"/>
        <w:ind w:firstLine="425"/>
        <w:jc w:val="both"/>
        <w:rPr>
          <w:rFonts w:ascii="Times New Roman" w:hAnsi="Times New Roman"/>
          <w:lang w:val="sk-SK"/>
        </w:rPr>
      </w:pPr>
    </w:p>
    <w:p w:rsidR="00EF2368" w:rsidP="00EF2368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republiky.</w:t>
      </w:r>
    </w:p>
    <w:p w:rsidR="00EF2368" w:rsidP="00EF2368">
      <w:pPr>
        <w:bidi w:val="0"/>
        <w:jc w:val="both"/>
        <w:rPr>
          <w:rFonts w:ascii="Times New Roman" w:hAnsi="Times New Roman"/>
          <w:b/>
        </w:rPr>
      </w:pPr>
    </w:p>
    <w:p w:rsidR="00EF2368" w:rsidP="00EF2368">
      <w:pPr>
        <w:widowControl/>
        <w:numPr>
          <w:numId w:val="11"/>
        </w:numPr>
        <w:autoSpaceDE/>
        <w:autoSpaceDN/>
        <w:bidi w:val="0"/>
        <w:adjustRightInd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zákona:</w:t>
      </w:r>
    </w:p>
    <w:p w:rsidR="00EF2368" w:rsidP="00EF2368">
      <w:pPr>
        <w:bidi w:val="0"/>
        <w:ind w:left="425"/>
        <w:jc w:val="both"/>
        <w:rPr>
          <w:rFonts w:ascii="Times New Roman" w:hAnsi="Times New Roman"/>
          <w:lang w:val="sk-SK"/>
        </w:rPr>
      </w:pPr>
      <w:r w:rsidRPr="0094314A">
        <w:rPr>
          <w:rFonts w:ascii="Times New Roman" w:hAnsi="Times New Roman"/>
          <w:lang w:val="sk-SK"/>
        </w:rPr>
        <w:t>Návrh zákona, ktorým sa mení a dopĺňa zákon č. 153/2001 Z. z. o prokuratúre v znení neskorších predpisov</w:t>
      </w:r>
      <w:r>
        <w:rPr>
          <w:rFonts w:ascii="Times New Roman" w:hAnsi="Times New Roman"/>
          <w:lang w:val="sk-SK"/>
        </w:rPr>
        <w:t xml:space="preserve"> a o zmene a doplnení niektorých zákonov</w:t>
      </w:r>
      <w:r w:rsidR="00F0234C">
        <w:rPr>
          <w:rFonts w:ascii="Times New Roman" w:hAnsi="Times New Roman"/>
          <w:lang w:val="sk-SK"/>
        </w:rPr>
        <w:t>.</w:t>
      </w:r>
    </w:p>
    <w:p w:rsidR="00EF2368" w:rsidRPr="0094314A" w:rsidP="00EF2368">
      <w:pPr>
        <w:bidi w:val="0"/>
        <w:ind w:left="425"/>
        <w:jc w:val="both"/>
        <w:rPr>
          <w:rFonts w:ascii="Times New Roman" w:hAnsi="Times New Roman"/>
          <w:b/>
          <w:lang w:val="sk-SK"/>
        </w:rPr>
      </w:pPr>
    </w:p>
    <w:p w:rsidR="00EF2368" w:rsidP="00EF2368">
      <w:pPr>
        <w:widowControl/>
        <w:numPr>
          <w:numId w:val="11"/>
        </w:numPr>
        <w:autoSpaceDE/>
        <w:autoSpaceDN/>
        <w:bidi w:val="0"/>
        <w:adjustRightInd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Problematika </w:t>
      </w:r>
      <w:r w:rsidR="001562D3">
        <w:rPr>
          <w:rFonts w:ascii="Times New Roman" w:hAnsi="Times New Roman"/>
          <w:b/>
          <w:lang w:val="sk-SK"/>
        </w:rPr>
        <w:t xml:space="preserve">návrhu </w:t>
      </w:r>
      <w:r>
        <w:rPr>
          <w:rFonts w:ascii="Times New Roman" w:hAnsi="Times New Roman"/>
          <w:b/>
        </w:rPr>
        <w:t xml:space="preserve">zákona: </w:t>
      </w:r>
    </w:p>
    <w:p w:rsidR="00EF2368" w:rsidP="004B281F">
      <w:pPr>
        <w:pStyle w:val="BodyText"/>
        <w:numPr>
          <w:ilvl w:val="1"/>
          <w:numId w:val="11"/>
        </w:numPr>
        <w:tabs>
          <w:tab w:val="left" w:pos="540"/>
        </w:tabs>
        <w:bidi w:val="0"/>
        <w:ind w:hanging="76"/>
        <w:rPr>
          <w:rFonts w:ascii="Times New Roman" w:hAnsi="Times New Roman"/>
        </w:rPr>
      </w:pPr>
      <w:r w:rsidRPr="007678B8">
        <w:rPr>
          <w:rFonts w:ascii="Times New Roman" w:hAnsi="Times New Roman"/>
          <w:b/>
        </w:rPr>
        <w:t>je upravená v práve Európskej únie</w:t>
      </w:r>
      <w:r>
        <w:rPr>
          <w:rFonts w:ascii="Times New Roman" w:hAnsi="Times New Roman"/>
        </w:rPr>
        <w:t>:</w:t>
      </w:r>
    </w:p>
    <w:p w:rsidR="00EF2368" w:rsidRPr="007678B8" w:rsidP="00F0234C">
      <w:pPr>
        <w:pStyle w:val="BodyText"/>
        <w:bidi w:val="0"/>
        <w:spacing w:before="120"/>
        <w:ind w:firstLine="230"/>
        <w:rPr>
          <w:rFonts w:ascii="Times New Roman" w:hAnsi="Times New Roman"/>
          <w:u w:val="single"/>
        </w:rPr>
      </w:pPr>
      <w:r w:rsidRPr="004B281F" w:rsidR="004B281F">
        <w:rPr>
          <w:rFonts w:ascii="Times New Roman" w:hAnsi="Times New Roman"/>
        </w:rPr>
        <w:t xml:space="preserve"> </w:t>
      </w:r>
      <w:r w:rsidRPr="007678B8">
        <w:rPr>
          <w:rFonts w:ascii="Times New Roman" w:hAnsi="Times New Roman"/>
          <w:u w:val="single"/>
        </w:rPr>
        <w:t xml:space="preserve">Primárne právo: </w:t>
      </w:r>
    </w:p>
    <w:p w:rsidR="007678B8" w:rsidP="00EF2368">
      <w:pPr>
        <w:pStyle w:val="BodyText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14 Lisabonskej zmluvy, ktorou sa mení a dopĺňa Zmluva o  Európskej únii a Zmluva </w:t>
      </w:r>
      <w:r w:rsidR="001562D3">
        <w:rPr>
          <w:rFonts w:ascii="Times New Roman" w:hAnsi="Times New Roman"/>
        </w:rPr>
        <w:t xml:space="preserve">o Európskom </w:t>
      </w:r>
      <w:r>
        <w:rPr>
          <w:rFonts w:ascii="Times New Roman" w:hAnsi="Times New Roman"/>
        </w:rPr>
        <w:t>spoločenstve,</w:t>
      </w:r>
    </w:p>
    <w:p w:rsidR="00EF2368" w:rsidP="00EF2368">
      <w:pPr>
        <w:pStyle w:val="BodyText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21, 23 Charty základných práv Európskej únie</w:t>
      </w:r>
      <w:r w:rsidR="007678B8">
        <w:rPr>
          <w:rFonts w:ascii="Times New Roman" w:hAnsi="Times New Roman"/>
        </w:rPr>
        <w:t>.</w:t>
      </w:r>
    </w:p>
    <w:p w:rsidR="007678B8" w:rsidP="00EF2368">
      <w:pPr>
        <w:pStyle w:val="BodyTextIndent"/>
        <w:bidi w:val="0"/>
        <w:spacing w:after="120"/>
        <w:ind w:left="369"/>
        <w:rPr>
          <w:rFonts w:ascii="Times New Roman" w:hAnsi="Times New Roman"/>
          <w:bCs w:val="0"/>
          <w:iCs/>
          <w:u w:val="single"/>
        </w:rPr>
      </w:pPr>
    </w:p>
    <w:p w:rsidR="00EF2368" w:rsidP="001562D3">
      <w:pPr>
        <w:pStyle w:val="BodyTextIndent"/>
        <w:bidi w:val="0"/>
        <w:spacing w:after="120"/>
        <w:ind w:left="284"/>
        <w:jc w:val="both"/>
        <w:rPr>
          <w:rFonts w:ascii="Times New Roman" w:hAnsi="Times New Roman"/>
        </w:rPr>
      </w:pPr>
      <w:r w:rsidRPr="007678B8">
        <w:rPr>
          <w:rFonts w:ascii="Times New Roman" w:hAnsi="Times New Roman"/>
          <w:bCs w:val="0"/>
          <w:iCs/>
          <w:u w:val="single"/>
        </w:rPr>
        <w:t>Sekundárne právo</w:t>
      </w:r>
      <w:r>
        <w:rPr>
          <w:rFonts w:ascii="Times New Roman" w:hAnsi="Times New Roman"/>
          <w:b/>
          <w:bCs w:val="0"/>
          <w:i/>
          <w:iCs/>
        </w:rPr>
        <w:t xml:space="preserve"> </w:t>
      </w:r>
      <w:r>
        <w:rPr>
          <w:rFonts w:ascii="Times New Roman" w:hAnsi="Times New Roman"/>
        </w:rPr>
        <w:t xml:space="preserve">(prijaté po nadobudnutí platnosti Lisabonskej zmluvy, ktorou sa mení </w:t>
      </w:r>
      <w:r w:rsidR="001562D3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>Zmluva o  Európskej únii a Zmluva o Európskom spoločenstve - po 30. novembri 2009):</w:t>
      </w:r>
    </w:p>
    <w:p w:rsidR="00EF2368" w:rsidRPr="007678B8" w:rsidP="00EF2368">
      <w:pPr>
        <w:widowControl/>
        <w:numPr>
          <w:numId w:val="4"/>
        </w:numPr>
        <w:bidi w:val="0"/>
        <w:spacing w:before="120" w:after="120"/>
        <w:ind w:left="426" w:firstLine="0"/>
        <w:jc w:val="both"/>
        <w:rPr>
          <w:rFonts w:ascii="Times New Roman" w:hAnsi="Times New Roman"/>
          <w:bCs/>
          <w:iCs/>
        </w:rPr>
      </w:pPr>
      <w:r w:rsidRPr="007678B8">
        <w:rPr>
          <w:rFonts w:ascii="Times New Roman" w:hAnsi="Times New Roman"/>
          <w:bCs/>
          <w:iCs/>
        </w:rPr>
        <w:t>legislatívne akty:</w:t>
      </w:r>
    </w:p>
    <w:p w:rsidR="007678B8" w:rsidRPr="007678B8" w:rsidP="007678B8">
      <w:pPr>
        <w:widowControl/>
        <w:bidi w:val="0"/>
        <w:spacing w:before="120" w:after="120"/>
        <w:ind w:left="426"/>
        <w:jc w:val="both"/>
        <w:rPr>
          <w:rFonts w:ascii="Times New Roman" w:hAnsi="Times New Roman"/>
          <w:bCs/>
          <w:iCs/>
        </w:rPr>
      </w:pPr>
    </w:p>
    <w:p w:rsidR="007678B8" w:rsidRPr="007678B8" w:rsidP="00EF2368">
      <w:pPr>
        <w:pStyle w:val="BodyText"/>
        <w:numPr>
          <w:numId w:val="4"/>
        </w:numPr>
        <w:bidi w:val="0"/>
        <w:spacing w:after="240"/>
        <w:ind w:left="709" w:hanging="283"/>
        <w:jc w:val="both"/>
        <w:rPr>
          <w:rFonts w:ascii="Times New Roman" w:hAnsi="Times New Roman"/>
        </w:rPr>
      </w:pPr>
      <w:r w:rsidRPr="007678B8" w:rsidR="00EF2368">
        <w:rPr>
          <w:rStyle w:val="Emphasis"/>
          <w:i w:val="0"/>
          <w:iCs/>
        </w:rPr>
        <w:t>nelegislatívne akty</w:t>
      </w:r>
      <w:r>
        <w:rPr>
          <w:rFonts w:ascii="Times New Roman" w:hAnsi="Times New Roman"/>
          <w:bCs/>
          <w:iCs/>
        </w:rPr>
        <w:t>:</w:t>
      </w:r>
    </w:p>
    <w:p w:rsidR="007678B8" w:rsidP="007678B8">
      <w:pPr>
        <w:pStyle w:val="ListParagraph"/>
        <w:bidi w:val="0"/>
        <w:rPr>
          <w:rFonts w:ascii="Times New Roman" w:hAnsi="Times New Roman"/>
        </w:rPr>
      </w:pPr>
    </w:p>
    <w:p w:rsidR="00EF2368" w:rsidRPr="007678B8" w:rsidP="00F0234C">
      <w:pPr>
        <w:pStyle w:val="BodyText"/>
        <w:bidi w:val="0"/>
        <w:spacing w:after="240"/>
        <w:ind w:left="284"/>
        <w:jc w:val="both"/>
        <w:rPr>
          <w:rStyle w:val="Emphasis"/>
          <w:i w:val="0"/>
          <w:u w:val="single"/>
        </w:rPr>
      </w:pPr>
      <w:r w:rsidRPr="007678B8" w:rsidR="007678B8">
        <w:rPr>
          <w:rFonts w:ascii="Times New Roman" w:hAnsi="Times New Roman"/>
          <w:u w:val="single"/>
        </w:rPr>
        <w:t>Sekundárne právo</w:t>
      </w:r>
      <w:r w:rsidR="007678B8">
        <w:rPr>
          <w:rFonts w:ascii="Times New Roman" w:hAnsi="Times New Roman"/>
        </w:rPr>
        <w:t xml:space="preserve"> (prijaté pred nadobudnutím platnosti Lisabonskej zmluvy, ktorou sa mení </w:t>
      </w:r>
      <w:r w:rsidR="001562D3">
        <w:rPr>
          <w:rFonts w:ascii="Times New Roman" w:hAnsi="Times New Roman"/>
        </w:rPr>
        <w:t xml:space="preserve">a dopĺňa </w:t>
      </w:r>
      <w:r w:rsidR="007678B8">
        <w:rPr>
          <w:rFonts w:ascii="Times New Roman" w:hAnsi="Times New Roman"/>
        </w:rPr>
        <w:t>Zmluva o  Európskej únii a Zmluva o Európskom spoločenstve)</w:t>
      </w:r>
      <w:r>
        <w:rPr>
          <w:rStyle w:val="Emphasis"/>
          <w:i w:val="0"/>
          <w:iCs/>
        </w:rPr>
        <w:t>:</w:t>
      </w:r>
    </w:p>
    <w:p w:rsidR="007678B8" w:rsidRPr="007678B8" w:rsidP="007678B8">
      <w:pPr>
        <w:widowControl/>
        <w:numPr>
          <w:numId w:val="2"/>
        </w:numPr>
        <w:bidi w:val="0"/>
        <w:spacing w:before="120" w:after="12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  <w:lang w:val="sk-SK"/>
        </w:rPr>
        <w:t xml:space="preserve">smernica Rady 2000/43/ES z 29. </w:t>
      </w:r>
      <w:r w:rsidR="00D94CBA">
        <w:rPr>
          <w:rFonts w:ascii="Times New Roman" w:hAnsi="Times New Roman"/>
          <w:bCs/>
          <w:iCs/>
          <w:lang w:val="sk-SK"/>
        </w:rPr>
        <w:t>j</w:t>
      </w:r>
      <w:r>
        <w:rPr>
          <w:rFonts w:ascii="Times New Roman" w:hAnsi="Times New Roman"/>
          <w:bCs/>
          <w:iCs/>
          <w:lang w:val="sk-SK"/>
        </w:rPr>
        <w:t>úna 2000, ktorou sa zavádza zásada rovnakého zaobchádzania s osobami bez ohľadu na rasový alebo etnický pôvod,</w:t>
      </w:r>
    </w:p>
    <w:p w:rsidR="007678B8" w:rsidRPr="007678B8" w:rsidP="007678B8">
      <w:pPr>
        <w:widowControl/>
        <w:numPr>
          <w:numId w:val="2"/>
        </w:numPr>
        <w:bidi w:val="0"/>
        <w:spacing w:before="120" w:after="12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  <w:lang w:val="sk-SK"/>
        </w:rPr>
        <w:t xml:space="preserve">smernica </w:t>
      </w:r>
      <w:r w:rsidR="00D94CBA">
        <w:rPr>
          <w:rFonts w:ascii="Times New Roman" w:hAnsi="Times New Roman"/>
          <w:bCs/>
          <w:iCs/>
          <w:lang w:val="sk-SK"/>
        </w:rPr>
        <w:t>R</w:t>
      </w:r>
      <w:r>
        <w:rPr>
          <w:rFonts w:ascii="Times New Roman" w:hAnsi="Times New Roman"/>
          <w:bCs/>
          <w:iCs/>
          <w:lang w:val="sk-SK"/>
        </w:rPr>
        <w:t>ady 2000/78/ES z 27. novembra 2000, ktorá ustanovuje všeobecný rámec pre rovnaké zaobchádzanie v zamestnaní a povolaní,</w:t>
      </w:r>
    </w:p>
    <w:p w:rsidR="007678B8" w:rsidRPr="007678B8" w:rsidP="007678B8">
      <w:pPr>
        <w:widowControl/>
        <w:numPr>
          <w:numId w:val="2"/>
        </w:numPr>
        <w:bidi w:val="0"/>
        <w:spacing w:before="120" w:after="12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  <w:lang w:val="sk-SK"/>
        </w:rPr>
        <w:t xml:space="preserve">smernica Európskeho parlamentu a Rady 2006/54/ES z 5. </w:t>
      </w:r>
      <w:r w:rsidR="00D94CBA">
        <w:rPr>
          <w:rFonts w:ascii="Times New Roman" w:hAnsi="Times New Roman"/>
          <w:bCs/>
          <w:iCs/>
          <w:lang w:val="sk-SK"/>
        </w:rPr>
        <w:t>j</w:t>
      </w:r>
      <w:r>
        <w:rPr>
          <w:rFonts w:ascii="Times New Roman" w:hAnsi="Times New Roman"/>
          <w:bCs/>
          <w:iCs/>
          <w:lang w:val="sk-SK"/>
        </w:rPr>
        <w:t>úla 2006 o vykonávaní zásady rovnosti príležitostí a rovnakého zaobchádzania s mužmi a ženami vo veciach zamestnanosti</w:t>
      </w:r>
      <w:r w:rsidR="001562D3">
        <w:rPr>
          <w:rFonts w:ascii="Times New Roman" w:hAnsi="Times New Roman"/>
          <w:bCs/>
          <w:iCs/>
          <w:lang w:val="sk-SK"/>
        </w:rPr>
        <w:t>.</w:t>
      </w:r>
      <w:r>
        <w:rPr>
          <w:rFonts w:ascii="Times New Roman" w:hAnsi="Times New Roman"/>
          <w:bCs/>
          <w:iCs/>
          <w:lang w:val="sk-SK"/>
        </w:rPr>
        <w:t xml:space="preserve">   </w:t>
      </w:r>
    </w:p>
    <w:p w:rsidR="007678B8" w:rsidP="007678B8">
      <w:pPr>
        <w:pStyle w:val="BodyText"/>
        <w:bidi w:val="0"/>
        <w:spacing w:after="240"/>
        <w:ind w:left="709"/>
        <w:jc w:val="both"/>
        <w:rPr>
          <w:rStyle w:val="Emphasis"/>
          <w:i w:val="0"/>
          <w:u w:val="single"/>
        </w:rPr>
      </w:pPr>
    </w:p>
    <w:p w:rsidR="00EF2368" w:rsidRPr="007678B8" w:rsidP="00F0234C">
      <w:pPr>
        <w:pStyle w:val="BodyText"/>
        <w:numPr>
          <w:ilvl w:val="1"/>
          <w:numId w:val="11"/>
        </w:numPr>
        <w:bidi w:val="0"/>
        <w:ind w:left="397" w:firstLine="29"/>
        <w:jc w:val="both"/>
        <w:rPr>
          <w:rFonts w:ascii="Times New Roman" w:hAnsi="Times New Roman"/>
          <w:b/>
        </w:rPr>
      </w:pPr>
      <w:r w:rsidRPr="007678B8">
        <w:rPr>
          <w:rFonts w:ascii="Times New Roman" w:hAnsi="Times New Roman"/>
          <w:b/>
        </w:rPr>
        <w:t>je obsiahnutá v judikatúre Súdneho dvora Európskej únie:</w:t>
      </w:r>
    </w:p>
    <w:p w:rsidR="00EF2368" w:rsidRPr="00BF6B7B" w:rsidP="00EF2368">
      <w:pPr>
        <w:pStyle w:val="Zkladntext"/>
        <w:widowControl/>
        <w:numPr>
          <w:numId w:val="9"/>
        </w:numPr>
        <w:bidi w:val="0"/>
        <w:snapToGrid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</w:t>
      </w:r>
      <w:r w:rsidR="00BF6B7B">
        <w:rPr>
          <w:rFonts w:ascii="Times New Roman" w:hAnsi="Times New Roman"/>
          <w:szCs w:val="24"/>
        </w:rPr>
        <w:t>sudok</w:t>
      </w:r>
      <w:r>
        <w:rPr>
          <w:rFonts w:ascii="Times New Roman" w:hAnsi="Times New Roman"/>
          <w:szCs w:val="24"/>
        </w:rPr>
        <w:t xml:space="preserve"> Súdneho dvora vo veci </w:t>
      </w:r>
      <w:r w:rsidR="00BF6B7B">
        <w:rPr>
          <w:rFonts w:ascii="Times New Roman" w:hAnsi="Times New Roman"/>
        </w:rPr>
        <w:t>C</w:t>
      </w:r>
      <w:r w:rsidR="00BF6B7B">
        <w:rPr>
          <w:rFonts w:ascii="Times New Roman" w:hAnsi="Times New Roman"/>
        </w:rPr>
        <w:noBreakHyphen/>
        <w:t>595/12</w:t>
      </w:r>
      <w:r w:rsidRPr="00BF6B7B" w:rsidR="00BF6B7B">
        <w:rPr>
          <w:rFonts w:ascii="Times New Roman" w:hAnsi="Times New Roman"/>
          <w:b/>
          <w:bCs/>
        </w:rPr>
        <w:t xml:space="preserve"> </w:t>
      </w:r>
      <w:r w:rsidRPr="00BF6B7B" w:rsidR="00BF6B7B">
        <w:rPr>
          <w:rFonts w:ascii="Times New Roman" w:hAnsi="Times New Roman"/>
          <w:bCs/>
        </w:rPr>
        <w:t>zo 6. marca 2014</w:t>
      </w:r>
      <w:r w:rsidR="00BF6B7B">
        <w:rPr>
          <w:rFonts w:ascii="Times New Roman" w:hAnsi="Times New Roman"/>
          <w:b/>
          <w:bCs/>
        </w:rPr>
        <w:t xml:space="preserve"> </w:t>
      </w:r>
      <w:r w:rsidRPr="00BF6B7B" w:rsidR="00BF6B7B">
        <w:rPr>
          <w:rFonts w:ascii="Times New Roman" w:hAnsi="Times New Roman"/>
          <w:bCs/>
        </w:rPr>
        <w:t>(Loredana Napo</w:t>
      </w:r>
      <w:r w:rsidR="00BF6B7B">
        <w:rPr>
          <w:rFonts w:ascii="Times New Roman" w:hAnsi="Times New Roman"/>
          <w:bCs/>
        </w:rPr>
        <w:t>li</w:t>
      </w:r>
      <w:r w:rsidRPr="00BF6B7B" w:rsidR="00BF6B7B">
        <w:rPr>
          <w:rFonts w:ascii="Times New Roman" w:hAnsi="Times New Roman"/>
          <w:bCs/>
        </w:rPr>
        <w:t xml:space="preserve"> v. Ministero della Giustizia – Dipartimento dell’Amministrazione penitenziaria)</w:t>
      </w:r>
      <w:r w:rsidR="00BF6B7B">
        <w:rPr>
          <w:rFonts w:ascii="Times New Roman" w:hAnsi="Times New Roman"/>
          <w:bCs/>
        </w:rPr>
        <w:t>,</w:t>
      </w:r>
    </w:p>
    <w:p w:rsidR="00BF6B7B" w:rsidRPr="00BF6B7B" w:rsidP="00EF2368">
      <w:pPr>
        <w:pStyle w:val="Zkladntext"/>
        <w:widowControl/>
        <w:numPr>
          <w:numId w:val="9"/>
        </w:numPr>
        <w:bidi w:val="0"/>
        <w:snapToGrid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rozsudok Súdneho dvora vo veci C-285/98 z 11. januára 2000 (Tanja Kreil v. Spolková republika Nemecko),</w:t>
      </w:r>
    </w:p>
    <w:p w:rsidR="00BF6B7B" w:rsidRPr="00BF6B7B" w:rsidP="00EF2368">
      <w:pPr>
        <w:pStyle w:val="Zkladntext"/>
        <w:widowControl/>
        <w:numPr>
          <w:numId w:val="9"/>
        </w:numPr>
        <w:bidi w:val="0"/>
        <w:snapToGrid/>
        <w:spacing w:after="120"/>
        <w:jc w:val="both"/>
        <w:rPr>
          <w:rStyle w:val="Strong"/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Cs/>
        </w:rPr>
        <w:t>rozsudok Súdneho dvora vo veci C-506/06 z 27. novembra 2007 (</w:t>
      </w:r>
      <w:r w:rsidRPr="00BF6B7B">
        <w:rPr>
          <w:rStyle w:val="Strong"/>
          <w:rFonts w:ascii="Times New Roman" w:hAnsi="Times New Roman"/>
          <w:b w:val="0"/>
          <w:bCs/>
          <w:color w:val="auto"/>
          <w:szCs w:val="24"/>
        </w:rPr>
        <w:t>Sabine Mayr v</w:t>
      </w:r>
      <w:r>
        <w:rPr>
          <w:rStyle w:val="Strong"/>
          <w:rFonts w:ascii="Times New Roman" w:hAnsi="Times New Roman"/>
          <w:b w:val="0"/>
          <w:bCs/>
          <w:color w:val="auto"/>
          <w:szCs w:val="24"/>
        </w:rPr>
        <w:t>.</w:t>
      </w:r>
      <w:r w:rsidRPr="00BF6B7B">
        <w:rPr>
          <w:rStyle w:val="Strong"/>
          <w:rFonts w:ascii="Times New Roman" w:hAnsi="Times New Roman"/>
          <w:b w:val="0"/>
          <w:bCs/>
          <w:color w:val="auto"/>
          <w:szCs w:val="24"/>
        </w:rPr>
        <w:t xml:space="preserve"> Bäckerei und Konditorei Gerhard Flöckner OHG</w:t>
      </w:r>
      <w:r w:rsidR="001562D3">
        <w:rPr>
          <w:rStyle w:val="Strong"/>
          <w:rFonts w:ascii="Times New Roman" w:hAnsi="Times New Roman"/>
          <w:b w:val="0"/>
          <w:bCs/>
          <w:color w:val="auto"/>
          <w:szCs w:val="24"/>
        </w:rPr>
        <w:t>)</w:t>
      </w:r>
      <w:r>
        <w:rPr>
          <w:rStyle w:val="Strong"/>
          <w:rFonts w:ascii="Times New Roman" w:hAnsi="Times New Roman"/>
          <w:b w:val="0"/>
          <w:bCs/>
          <w:color w:val="auto"/>
          <w:szCs w:val="24"/>
        </w:rPr>
        <w:t>.</w:t>
      </w:r>
    </w:p>
    <w:p w:rsidR="00EF2368" w:rsidP="00EF2368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EF2368" w:rsidP="00EF2368">
      <w:pPr>
        <w:widowControl/>
        <w:numPr>
          <w:numId w:val="11"/>
        </w:numPr>
        <w:autoSpaceDE/>
        <w:autoSpaceDN/>
        <w:bidi w:val="0"/>
        <w:adjustRightInd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Záväzky Slovenskej republiky vo vzťahu k Európskej únii:</w:t>
      </w:r>
    </w:p>
    <w:p w:rsidR="00EF2368" w:rsidP="00F0234C">
      <w:pPr>
        <w:pStyle w:val="BodyText"/>
        <w:numPr>
          <w:ilvl w:val="1"/>
          <w:numId w:val="11"/>
        </w:numPr>
        <w:tabs>
          <w:tab w:val="left" w:pos="851"/>
        </w:tabs>
        <w:bidi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Lehota na </w:t>
      </w:r>
      <w:r w:rsidR="00BF6B7B">
        <w:rPr>
          <w:rFonts w:ascii="Times New Roman" w:hAnsi="Times New Roman"/>
        </w:rPr>
        <w:t xml:space="preserve">prebratie smernice alebo </w:t>
      </w:r>
      <w:r>
        <w:rPr>
          <w:rFonts w:ascii="Times New Roman" w:hAnsi="Times New Roman"/>
        </w:rPr>
        <w:t xml:space="preserve">implementáciu nariadenia </w:t>
      </w:r>
      <w:r w:rsidR="00BF6B7B">
        <w:rPr>
          <w:rFonts w:ascii="Times New Roman" w:hAnsi="Times New Roman"/>
        </w:rPr>
        <w:t xml:space="preserve"> alebo rozhodnutia: bezpredmetné.</w:t>
      </w:r>
    </w:p>
    <w:p w:rsidR="00EF2368" w:rsidP="004B281F">
      <w:pPr>
        <w:widowControl/>
        <w:numPr>
          <w:ilvl w:val="1"/>
          <w:numId w:val="11"/>
        </w:numPr>
        <w:autoSpaceDE/>
        <w:autoSpaceDN/>
        <w:bidi w:val="0"/>
        <w:adjustRightInd/>
        <w:spacing w:after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281F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</w:rPr>
        <w:t xml:space="preserve"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 </w:t>
      </w:r>
    </w:p>
    <w:p w:rsidR="00EF2368" w:rsidP="00DA6290">
      <w:pPr>
        <w:widowControl/>
        <w:numPr>
          <w:ilvl w:val="1"/>
          <w:numId w:val="11"/>
        </w:numPr>
        <w:autoSpaceDE/>
        <w:autoSpaceDN/>
        <w:bidi w:val="0"/>
        <w:adjustRightInd/>
        <w:spacing w:after="120"/>
        <w:ind w:left="851" w:hanging="425"/>
        <w:jc w:val="both"/>
        <w:rPr>
          <w:rFonts w:ascii="Times New Roman" w:hAnsi="Times New Roman"/>
        </w:rPr>
      </w:pPr>
      <w:r w:rsidR="00DA6290">
        <w:rPr>
          <w:rFonts w:ascii="Times New Roman" w:hAnsi="Times New Roman"/>
          <w:lang w:val="sk-SK"/>
        </w:rPr>
        <w:t xml:space="preserve">   </w:t>
      </w:r>
      <w:r>
        <w:rPr>
          <w:rFonts w:ascii="Times New Roman" w:hAnsi="Times New Roman"/>
        </w:rPr>
        <w:t xml:space="preserve">Proti </w:t>
      </w:r>
      <w:r w:rsidR="001562D3">
        <w:rPr>
          <w:rFonts w:ascii="Times New Roman" w:hAnsi="Times New Roman"/>
          <w:lang w:val="sk-SK"/>
        </w:rPr>
        <w:t>Slovenskej republike</w:t>
      </w:r>
      <w:r>
        <w:rPr>
          <w:rFonts w:ascii="Times New Roman" w:hAnsi="Times New Roman"/>
        </w:rPr>
        <w:t xml:space="preserve"> nebolo začaté konanie o porušení Zmluvy o fungovaní Európskej únie podľa čl. 258 až 260 Zmluvy o fungovaní Európskej únie.</w:t>
      </w:r>
    </w:p>
    <w:p w:rsidR="00EF2368" w:rsidP="004B281F">
      <w:pPr>
        <w:widowControl/>
        <w:numPr>
          <w:ilvl w:val="1"/>
          <w:numId w:val="11"/>
        </w:numPr>
        <w:autoSpaceDE/>
        <w:autoSpaceDN/>
        <w:bidi w:val="0"/>
        <w:adjustRightInd/>
        <w:spacing w:after="120"/>
        <w:ind w:firstLine="66"/>
        <w:jc w:val="both"/>
        <w:rPr>
          <w:rFonts w:ascii="Times New Roman" w:hAnsi="Times New Roman"/>
        </w:rPr>
      </w:pPr>
      <w:r w:rsidR="00DA6290">
        <w:rPr>
          <w:rFonts w:ascii="Times New Roman" w:hAnsi="Times New Roman"/>
          <w:lang w:val="sk-SK"/>
        </w:rPr>
        <w:t xml:space="preserve">   </w:t>
      </w:r>
      <w:r>
        <w:rPr>
          <w:rFonts w:ascii="Times New Roman" w:hAnsi="Times New Roman"/>
        </w:rPr>
        <w:t>Bezpredmetné.</w:t>
      </w:r>
    </w:p>
    <w:p w:rsidR="00EF2368" w:rsidP="00EF2368">
      <w:pPr>
        <w:bidi w:val="0"/>
        <w:spacing w:after="120"/>
        <w:jc w:val="both"/>
        <w:rPr>
          <w:rFonts w:ascii="Times New Roman" w:hAnsi="Times New Roman"/>
        </w:rPr>
      </w:pPr>
    </w:p>
    <w:p w:rsidR="00EF2368" w:rsidP="00EF2368">
      <w:pPr>
        <w:widowControl/>
        <w:numPr>
          <w:numId w:val="11"/>
        </w:numPr>
        <w:autoSpaceDE/>
        <w:autoSpaceDN/>
        <w:bidi w:val="0"/>
        <w:adjustRightInd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Stupeň zlučiteľnosti návrhu zákona s právom Európskej únie:</w:t>
      </w:r>
    </w:p>
    <w:p w:rsidR="00EF2368" w:rsidP="00F0234C">
      <w:pPr>
        <w:bidi w:val="0"/>
        <w:spacing w:after="120"/>
        <w:ind w:left="360" w:firstLine="34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</w:rPr>
        <w:t xml:space="preserve"> Úplný.</w:t>
      </w:r>
    </w:p>
    <w:p w:rsidR="00BF6B7B" w:rsidRPr="00BF6B7B" w:rsidP="00BF6B7B">
      <w:pPr>
        <w:bidi w:val="0"/>
        <w:spacing w:after="120"/>
        <w:ind w:left="360"/>
        <w:jc w:val="both"/>
        <w:rPr>
          <w:rFonts w:ascii="Times New Roman" w:hAnsi="Times New Roman"/>
          <w:bCs/>
          <w:lang w:val="sk-SK"/>
        </w:rPr>
      </w:pPr>
    </w:p>
    <w:p w:rsidR="00EF2368" w:rsidP="00EF2368">
      <w:pPr>
        <w:widowControl/>
        <w:numPr>
          <w:numId w:val="11"/>
        </w:numPr>
        <w:autoSpaceDE/>
        <w:autoSpaceDN/>
        <w:bidi w:val="0"/>
        <w:adjustRightInd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Gestor a spolupracujúce rezorty: </w:t>
      </w:r>
    </w:p>
    <w:p w:rsidR="0098409C" w:rsidRPr="0094314A">
      <w:pPr>
        <w:bidi w:val="0"/>
        <w:ind w:left="360"/>
        <w:rPr>
          <w:rFonts w:ascii="Times New Roman" w:hAnsi="Times New Roman"/>
          <w:lang w:val="sk-SK"/>
        </w:rPr>
      </w:pPr>
    </w:p>
    <w:p w:rsidR="0098409C" w:rsidRPr="0094314A">
      <w:pPr>
        <w:bidi w:val="0"/>
        <w:rPr>
          <w:rFonts w:ascii="Times New Roman" w:hAnsi="Times New Roman"/>
          <w:b/>
          <w:lang w:val="sk-SK"/>
        </w:rPr>
      </w:pPr>
    </w:p>
    <w:p w:rsidR="0098409C" w:rsidRPr="0094314A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2E6"/>
    <w:multiLevelType w:val="hybridMultilevel"/>
    <w:tmpl w:val="7D5A5E1A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786" w:hanging="360"/>
      </w:pPr>
      <w:rPr>
        <w:rFonts w:cs="Arial Narrow"/>
        <w:rtl w:val="0"/>
        <w:cs w:val="0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A56A78AC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73DEB"/>
    <w:multiLevelType w:val="hybridMultilevel"/>
    <w:tmpl w:val="4BF68AAA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4">
    <w:nsid w:val="31BD4E0D"/>
    <w:multiLevelType w:val="hybridMultilevel"/>
    <w:tmpl w:val="FDD8F9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5">
    <w:nsid w:val="445B0808"/>
    <w:multiLevelType w:val="hybridMultilevel"/>
    <w:tmpl w:val="9E0A815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/>
        <w:rtl w:val="0"/>
        <w:cs w:val="0"/>
      </w:rPr>
    </w:lvl>
  </w:abstractNum>
  <w:abstractNum w:abstractNumId="8">
    <w:nsid w:val="60E757C9"/>
    <w:multiLevelType w:val="hybridMultilevel"/>
    <w:tmpl w:val="26805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</w:abstractNum>
  <w:abstractNum w:abstractNumId="10">
    <w:nsid w:val="6F096F74"/>
    <w:multiLevelType w:val="hybridMultilevel"/>
    <w:tmpl w:val="78D4D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307A9"/>
    <w:rsid w:val="000F0602"/>
    <w:rsid w:val="001562D3"/>
    <w:rsid w:val="0018777E"/>
    <w:rsid w:val="004B281F"/>
    <w:rsid w:val="006D4654"/>
    <w:rsid w:val="007307A9"/>
    <w:rsid w:val="007678B8"/>
    <w:rsid w:val="007E42DA"/>
    <w:rsid w:val="0094314A"/>
    <w:rsid w:val="0098409C"/>
    <w:rsid w:val="00BF6B7B"/>
    <w:rsid w:val="00C01D1E"/>
    <w:rsid w:val="00CC4CA3"/>
    <w:rsid w:val="00D94CBA"/>
    <w:rsid w:val="00DA6290"/>
    <w:rsid w:val="00EF2368"/>
    <w:rsid w:val="00F023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F2368"/>
    <w:rPr>
      <w:rFonts w:cs="Times New Roman"/>
      <w:color w:val="9D7F0B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EF2368"/>
    <w:rPr>
      <w:rFonts w:ascii="Times New Roman" w:hAnsi="Times New Roman" w:cs="Times New Roman"/>
      <w:i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EF2368"/>
    <w:pPr>
      <w:widowControl/>
      <w:autoSpaceDE/>
      <w:autoSpaceDN/>
      <w:adjustRightInd/>
      <w:spacing w:after="120"/>
      <w:jc w:val="left"/>
    </w:pPr>
    <w:rPr>
      <w:lang w:val="sk-SK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F2368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F2368"/>
    <w:pPr>
      <w:widowControl/>
      <w:ind w:left="720"/>
      <w:jc w:val="left"/>
    </w:pPr>
    <w:rPr>
      <w:bCs/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F2368"/>
    <w:rPr>
      <w:rFonts w:cs="Times New Roman"/>
      <w:bCs/>
      <w:sz w:val="24"/>
      <w:szCs w:val="24"/>
      <w:rtl w:val="0"/>
      <w:cs w:val="0"/>
    </w:rPr>
  </w:style>
  <w:style w:type="paragraph" w:customStyle="1" w:styleId="Normlnywebov8">
    <w:name w:val="Normálny (webový)8"/>
    <w:basedOn w:val="Normal"/>
    <w:rsid w:val="00EF2368"/>
    <w:pPr>
      <w:widowControl/>
      <w:autoSpaceDE/>
      <w:autoSpaceDN/>
      <w:adjustRightInd/>
      <w:spacing w:before="75" w:after="75"/>
      <w:ind w:left="225" w:right="225"/>
      <w:jc w:val="left"/>
    </w:pPr>
    <w:rPr>
      <w:sz w:val="22"/>
      <w:szCs w:val="22"/>
      <w:lang w:val="sk-SK"/>
    </w:rPr>
  </w:style>
  <w:style w:type="paragraph" w:customStyle="1" w:styleId="Zkladntext">
    <w:name w:val="Základní text"/>
    <w:rsid w:val="00EF236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7678B8"/>
    <w:pPr>
      <w:ind w:left="708"/>
      <w:jc w:val="left"/>
    </w:pPr>
  </w:style>
  <w:style w:type="character" w:styleId="Strong">
    <w:name w:val="Strong"/>
    <w:basedOn w:val="DefaultParagraphFont"/>
    <w:uiPriority w:val="22"/>
    <w:qFormat/>
    <w:rsid w:val="00BF6B7B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28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281F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CE5C-0B7A-47A4-A3D8-2744F9DC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374</Words>
  <Characters>2135</Characters>
  <Application>Microsoft Office Word</Application>
  <DocSecurity>0</DocSecurity>
  <Lines>0</Lines>
  <Paragraphs>0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Hubertová</dc:creator>
  <cp:lastModifiedBy>DUGOVICOVA Ludmila</cp:lastModifiedBy>
  <cp:revision>2</cp:revision>
  <cp:lastPrinted>2015-08-27T12:48:00Z</cp:lastPrinted>
  <dcterms:created xsi:type="dcterms:W3CDTF">2015-08-27T12:53:00Z</dcterms:created>
  <dcterms:modified xsi:type="dcterms:W3CDTF">2015-08-27T12:53:00Z</dcterms:modified>
</cp:coreProperties>
</file>