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4781" w:rsidRPr="00A53EE0" w:rsidP="00A53EE0">
      <w:pPr>
        <w:bidi w:val="0"/>
        <w:spacing w:after="0" w:line="240" w:lineRule="auto"/>
        <w:jc w:val="center"/>
        <w:rPr>
          <w:rFonts w:ascii="Times New Roman" w:hAnsi="Times New Roman"/>
          <w:b/>
          <w:caps/>
          <w:spacing w:val="30"/>
          <w:sz w:val="24"/>
          <w:szCs w:val="24"/>
        </w:rPr>
      </w:pPr>
      <w:r w:rsidRPr="00A53EE0">
        <w:rPr>
          <w:rFonts w:ascii="Times New Roman" w:hAnsi="Times New Roman"/>
          <w:b/>
          <w:caps/>
          <w:spacing w:val="30"/>
          <w:sz w:val="24"/>
          <w:szCs w:val="24"/>
        </w:rPr>
        <w:t>Dôvodová správa</w:t>
      </w:r>
    </w:p>
    <w:p w:rsidR="00914781" w:rsidRPr="00A53EE0" w:rsidP="00A53EE0">
      <w:pPr>
        <w:bidi w:val="0"/>
        <w:spacing w:after="0" w:line="240" w:lineRule="auto"/>
        <w:jc w:val="both"/>
        <w:rPr>
          <w:rFonts w:ascii="Times New Roman" w:hAnsi="Times New Roman"/>
          <w:sz w:val="24"/>
          <w:szCs w:val="24"/>
        </w:rPr>
      </w:pPr>
    </w:p>
    <w:p w:rsidR="00914781" w:rsidRPr="00A53EE0" w:rsidP="00A53EE0">
      <w:pPr>
        <w:pStyle w:val="ListParagraph"/>
        <w:numPr>
          <w:numId w:val="3"/>
        </w:num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Všeobecná časť </w:t>
      </w:r>
    </w:p>
    <w:p w:rsidR="00914781" w:rsidRPr="00A53EE0" w:rsidP="00A53EE0">
      <w:pPr>
        <w:bidi w:val="0"/>
        <w:spacing w:after="0" w:line="240" w:lineRule="auto"/>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Ministerstvo spravodlivosti Slovenskej republiky predkladá </w:t>
      </w:r>
      <w:r w:rsidRPr="00A53EE0" w:rsidR="00583247">
        <w:rPr>
          <w:rFonts w:ascii="Times New Roman" w:hAnsi="Times New Roman"/>
          <w:sz w:val="24"/>
          <w:szCs w:val="24"/>
        </w:rPr>
        <w:t xml:space="preserve">na rokovanie </w:t>
      </w:r>
      <w:r w:rsidR="00AC2746">
        <w:rPr>
          <w:rFonts w:ascii="Times New Roman" w:hAnsi="Times New Roman"/>
          <w:sz w:val="24"/>
          <w:szCs w:val="24"/>
        </w:rPr>
        <w:t>Národnej rady</w:t>
      </w:r>
      <w:r w:rsidRPr="00A53EE0" w:rsidR="009533A2">
        <w:rPr>
          <w:rFonts w:ascii="Times New Roman" w:hAnsi="Times New Roman"/>
          <w:sz w:val="24"/>
          <w:szCs w:val="24"/>
        </w:rPr>
        <w:t xml:space="preserve"> </w:t>
      </w:r>
      <w:r w:rsidRPr="00A53EE0" w:rsidR="00016B6A">
        <w:rPr>
          <w:rFonts w:ascii="Times New Roman" w:hAnsi="Times New Roman"/>
          <w:sz w:val="24"/>
          <w:szCs w:val="24"/>
        </w:rPr>
        <w:t>Slovenskej republiky</w:t>
      </w:r>
      <w:r w:rsidRPr="00A53EE0">
        <w:rPr>
          <w:rFonts w:ascii="Times New Roman" w:hAnsi="Times New Roman"/>
          <w:sz w:val="24"/>
          <w:szCs w:val="24"/>
        </w:rPr>
        <w:t xml:space="preserve"> </w:t>
      </w:r>
      <w:r w:rsidR="00AC2746">
        <w:rPr>
          <w:rFonts w:ascii="Times New Roman" w:hAnsi="Times New Roman"/>
          <w:sz w:val="24"/>
          <w:szCs w:val="24"/>
        </w:rPr>
        <w:t xml:space="preserve">vládny </w:t>
      </w:r>
      <w:r w:rsidRPr="00A53EE0">
        <w:rPr>
          <w:rFonts w:ascii="Times New Roman" w:hAnsi="Times New Roman"/>
          <w:sz w:val="24"/>
          <w:szCs w:val="24"/>
        </w:rPr>
        <w:t xml:space="preserve">návrh zákona o trestnej zodpovednosti právnických osôb a o zmene a doplnení niektorých zákonov (ďalej len „návrh zákona“). </w:t>
      </w:r>
    </w:p>
    <w:p w:rsidR="00914781" w:rsidRPr="00A53EE0" w:rsidP="00A53EE0">
      <w:pPr>
        <w:bidi w:val="0"/>
        <w:spacing w:after="0" w:line="240" w:lineRule="auto"/>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Návrh zákona bol vypracovaný na základe Plánu legislatívnych úloh vlády Slovenskej republiky na rok 2013, ako aj na základe uznesenia vlády Slovenskej republiky č. 137 z 20. marca 2013 k Návrhu opatrení na zabezpečenie plnenia odporúčaní prijatých Pracovnou skupinou OECD pre úplatkárstvo v medzinárodných obchodných transakciách pre Slovenskú repub</w:t>
      </w:r>
      <w:r w:rsidRPr="00A53EE0" w:rsidR="00016B6A">
        <w:rPr>
          <w:rFonts w:ascii="Times New Roman" w:hAnsi="Times New Roman"/>
          <w:sz w:val="24"/>
          <w:szCs w:val="24"/>
        </w:rPr>
        <w:t xml:space="preserve">liku v rámci Fázy 3 hodnotení, </w:t>
      </w:r>
      <w:r w:rsidRPr="00A53EE0">
        <w:rPr>
          <w:rFonts w:ascii="Times New Roman" w:hAnsi="Times New Roman"/>
          <w:sz w:val="24"/>
          <w:szCs w:val="24"/>
        </w:rPr>
        <w:t>uznesenia vlády č. 235 z 31. mája 2012 k Akčnému plánu boja proti daňovým podvodom na roky 2012 až 2016</w:t>
      </w:r>
      <w:r w:rsidRPr="00A53EE0" w:rsidR="00016B6A">
        <w:rPr>
          <w:rFonts w:ascii="Times New Roman" w:hAnsi="Times New Roman"/>
          <w:sz w:val="24"/>
          <w:szCs w:val="24"/>
        </w:rPr>
        <w:t xml:space="preserve">, uznesenia vlády č. </w:t>
      </w:r>
      <w:r w:rsidRPr="00A53EE0" w:rsidR="00E01591">
        <w:rPr>
          <w:rFonts w:ascii="Times New Roman" w:hAnsi="Times New Roman"/>
          <w:sz w:val="24"/>
          <w:szCs w:val="24"/>
        </w:rPr>
        <w:t>380 z 8. júla 2015 k Aktualizácii Akčného plánu boja proti daňovým podvodom na roky 2012 – 2016 a uznesenia vlády č. 403 z 8. júla 2015 k Akčnému plánu na posilnenie Slovenskej republiky ako právneho štátu</w:t>
      </w:r>
      <w:r w:rsidRPr="00A53EE0">
        <w:rPr>
          <w:rFonts w:ascii="Times New Roman" w:hAnsi="Times New Roman"/>
          <w:sz w:val="24"/>
          <w:szCs w:val="24"/>
        </w:rPr>
        <w:t xml:space="preserve">. </w:t>
      </w:r>
    </w:p>
    <w:p w:rsidR="00914781" w:rsidRPr="00A53EE0" w:rsidP="00A53EE0">
      <w:pPr>
        <w:bidi w:val="0"/>
        <w:spacing w:after="0" w:line="240" w:lineRule="auto"/>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Teoretických aj praktických prístupov sa pri riešení trestnej zodpovednosti právnických osôb uplatňuje niekoľko. Problematika trestnoprávnej zodpovednosti právnických osôb je </w:t>
      </w:r>
      <w:r w:rsidRPr="00A53EE0" w:rsidR="001B493D">
        <w:rPr>
          <w:rFonts w:ascii="Times New Roman" w:hAnsi="Times New Roman"/>
          <w:sz w:val="24"/>
          <w:szCs w:val="24"/>
        </w:rPr>
        <w:t xml:space="preserve">v posledných rokoch </w:t>
      </w:r>
      <w:r w:rsidRPr="00A53EE0">
        <w:rPr>
          <w:rFonts w:ascii="Times New Roman" w:hAnsi="Times New Roman"/>
          <w:sz w:val="24"/>
          <w:szCs w:val="24"/>
        </w:rPr>
        <w:t>jednou z najdiskutovanejších tém v systéme práva, ktoré vychádza z kontinentálneho typu právnej kultúry. Vychádzajúc z poznatkov vedy trestného práva, ako aj existujúcich modelov trestnoprávnej zodpovednosti právnických osôb možno konštatovať, že sa uplatňujú rôzne prístupy k jej ponímaniu, či obsahovému vymedzeniu. Pre anglosaský systém práva, ale aj pre niektoré členské štáty Európskej únie (napr. Holandsko, Francúzsko, Portugalsko</w:t>
      </w:r>
      <w:r w:rsidRPr="00A53EE0" w:rsidR="001B493D">
        <w:rPr>
          <w:rFonts w:ascii="Times New Roman" w:hAnsi="Times New Roman"/>
          <w:sz w:val="24"/>
          <w:szCs w:val="24"/>
        </w:rPr>
        <w:t>, Španielsko</w:t>
      </w:r>
      <w:r w:rsidRPr="00A53EE0">
        <w:rPr>
          <w:rFonts w:ascii="Times New Roman" w:hAnsi="Times New Roman"/>
          <w:sz w:val="24"/>
          <w:szCs w:val="24"/>
        </w:rPr>
        <w:t>) je charakteristickým modelom tzv. priama trestnoprávna zodpovednosť právnických osôb – v tomto prípade sa voči právnickým osobám vyvodzujú štandardné (priame) tresty, pričom tieto nie sú podmieňované trestným stíhaním fyzickej osoby. V rámci kontinentálneho systému práva sa uplat</w:t>
      </w:r>
      <w:r w:rsidRPr="00A53EE0" w:rsidR="001B493D">
        <w:rPr>
          <w:rFonts w:ascii="Times New Roman" w:hAnsi="Times New Roman"/>
          <w:sz w:val="24"/>
          <w:szCs w:val="24"/>
        </w:rPr>
        <w:t xml:space="preserve">ňoval </w:t>
      </w:r>
      <w:r w:rsidRPr="00A53EE0">
        <w:rPr>
          <w:rFonts w:ascii="Times New Roman" w:hAnsi="Times New Roman"/>
          <w:sz w:val="24"/>
          <w:szCs w:val="24"/>
        </w:rPr>
        <w:t xml:space="preserve">aj model tzv. nepriamej </w:t>
      </w:r>
      <w:r w:rsidRPr="00A53EE0" w:rsidR="001B493D">
        <w:rPr>
          <w:rFonts w:ascii="Times New Roman" w:hAnsi="Times New Roman"/>
          <w:sz w:val="24"/>
          <w:szCs w:val="24"/>
        </w:rPr>
        <w:t xml:space="preserve">resp. </w:t>
      </w:r>
      <w:r w:rsidRPr="00A53EE0" w:rsidR="001B493D">
        <w:rPr>
          <w:rFonts w:ascii="Times New Roman" w:hAnsi="Times New Roman"/>
          <w:i/>
          <w:sz w:val="24"/>
          <w:szCs w:val="24"/>
        </w:rPr>
        <w:t>pseudo</w:t>
      </w:r>
      <w:r w:rsidRPr="00A53EE0" w:rsidR="001B493D">
        <w:rPr>
          <w:rFonts w:ascii="Times New Roman" w:hAnsi="Times New Roman"/>
          <w:sz w:val="24"/>
          <w:szCs w:val="24"/>
        </w:rPr>
        <w:t xml:space="preserve"> </w:t>
      </w:r>
      <w:r w:rsidRPr="00A53EE0">
        <w:rPr>
          <w:rFonts w:ascii="Times New Roman" w:hAnsi="Times New Roman"/>
          <w:sz w:val="24"/>
          <w:szCs w:val="24"/>
        </w:rPr>
        <w:t>trestnoprávnej zodpovednosti právnických osôb, kde formálno-právne trestnoprávna zodpovednosť právnických osôb síce nie je vyjadrená a trestne zodpovedné sú len fyzické osoby (konajúce v mene právnickej osoby), ale zákon súčasne umožňuje právnickým osobám v trestnom konaní uložiť niektoré trestnoprávne sankcie, ktoré nie sú definované ako tresty</w:t>
      </w:r>
      <w:r w:rsidRPr="00A53EE0" w:rsidR="001B493D">
        <w:rPr>
          <w:rFonts w:ascii="Times New Roman" w:hAnsi="Times New Roman"/>
          <w:sz w:val="24"/>
          <w:szCs w:val="24"/>
        </w:rPr>
        <w:t xml:space="preserve"> ale ochranné opatrenia, ktoré sa právnickej osobe ukladajú nie ako dôsledok spáchania trestného činu, ale v záujme ochrany spoločnosti pred trestnými činmi </w:t>
      </w:r>
      <w:r w:rsidRPr="00A53EE0">
        <w:rPr>
          <w:rFonts w:ascii="Times New Roman" w:hAnsi="Times New Roman"/>
          <w:sz w:val="24"/>
          <w:szCs w:val="24"/>
        </w:rPr>
        <w:t xml:space="preserve">(napr. </w:t>
      </w:r>
      <w:r w:rsidRPr="00A53EE0" w:rsidR="001B493D">
        <w:rPr>
          <w:rFonts w:ascii="Times New Roman" w:hAnsi="Times New Roman"/>
          <w:sz w:val="24"/>
          <w:szCs w:val="24"/>
        </w:rPr>
        <w:t xml:space="preserve">do roku 2010 </w:t>
      </w:r>
      <w:r w:rsidRPr="00A53EE0">
        <w:rPr>
          <w:rFonts w:ascii="Times New Roman" w:hAnsi="Times New Roman"/>
          <w:sz w:val="24"/>
          <w:szCs w:val="24"/>
        </w:rPr>
        <w:t>Španielsko). Tretím prístupom k chápaniu protiprávnej činnosti právnických osôb je postihovanie tohto konania normami administratívnoprávnej povahy</w:t>
      </w:r>
      <w:r w:rsidRPr="00A53EE0" w:rsidR="001B493D">
        <w:rPr>
          <w:rFonts w:ascii="Times New Roman" w:hAnsi="Times New Roman"/>
          <w:sz w:val="24"/>
          <w:szCs w:val="24"/>
        </w:rPr>
        <w:t xml:space="preserve">, </w:t>
      </w:r>
      <w:r w:rsidRPr="00A53EE0">
        <w:rPr>
          <w:rFonts w:ascii="Times New Roman" w:hAnsi="Times New Roman"/>
          <w:sz w:val="24"/>
          <w:szCs w:val="24"/>
        </w:rPr>
        <w:t xml:space="preserve">napr. </w:t>
      </w:r>
      <w:r w:rsidRPr="00A53EE0" w:rsidR="001B493D">
        <w:rPr>
          <w:rFonts w:ascii="Times New Roman" w:hAnsi="Times New Roman"/>
          <w:sz w:val="24"/>
          <w:szCs w:val="24"/>
        </w:rPr>
        <w:t xml:space="preserve"> v </w:t>
      </w:r>
      <w:r w:rsidRPr="00A53EE0">
        <w:rPr>
          <w:rFonts w:ascii="Times New Roman" w:hAnsi="Times New Roman"/>
          <w:sz w:val="24"/>
          <w:szCs w:val="24"/>
        </w:rPr>
        <w:t>Nemeck</w:t>
      </w:r>
      <w:r w:rsidRPr="00A53EE0" w:rsidR="001B493D">
        <w:rPr>
          <w:rFonts w:ascii="Times New Roman" w:hAnsi="Times New Roman"/>
          <w:sz w:val="24"/>
          <w:szCs w:val="24"/>
        </w:rPr>
        <w:t>u prostredníctvom noriem správneho práva trestného, kde o sankcii proti právnickej osobe v prvom stupni rozhoduje správny orgán a v odvolacom konaní súd v trestnom konaní</w:t>
      </w:r>
      <w:r w:rsidRPr="00A53EE0">
        <w:rPr>
          <w:rFonts w:ascii="Times New Roman" w:hAnsi="Times New Roman"/>
          <w:sz w:val="24"/>
          <w:szCs w:val="24"/>
        </w:rPr>
        <w:t>.</w:t>
      </w:r>
    </w:p>
    <w:p w:rsidR="00914781" w:rsidRPr="00A53EE0" w:rsidP="00A53EE0">
      <w:pPr>
        <w:bidi w:val="0"/>
        <w:spacing w:after="0" w:line="240" w:lineRule="auto"/>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Bez ohľadu na rôzne teoretické alebo praktické prístupy k trestnoprávnej zodpovednosti právnických osôb je nutné poznamenať, že jej samotná podstata do značnej miery narúša princípy (zásady) kontinentálneho modelu trestného práva. Narúša sa doterajší prísne individuálny charakter trestnej zodpovednosti, resp. jej vnímanie ako zodpovednosti fyzickej osoby. Na strane druhej však aktuálne vývojové trendy, hovoriace v prospech zavedenia trestnej zodpovednosti</w:t>
      </w:r>
      <w:r w:rsidRPr="00A53EE0" w:rsidR="00036E8B">
        <w:rPr>
          <w:rFonts w:ascii="Times New Roman" w:hAnsi="Times New Roman"/>
          <w:sz w:val="24"/>
          <w:szCs w:val="24"/>
        </w:rPr>
        <w:t xml:space="preserve"> právnických osôb</w:t>
      </w:r>
      <w:r w:rsidRPr="00A53EE0">
        <w:rPr>
          <w:rFonts w:ascii="Times New Roman" w:hAnsi="Times New Roman"/>
          <w:sz w:val="24"/>
          <w:szCs w:val="24"/>
        </w:rPr>
        <w:t xml:space="preserve">, nepochybne súvisia s novými spoločenskými, ekonomickými a politickými zmenami, ktoré si často vyžadujú nielen individuálnu reakciu štátu, ale sú často prejavom vôle určitého medzinárodného spoločenstva, či zoskupenia štátov (EÚ, OECD, Rada Európy). Výsledkom činnosti medzinárodného spoločenstva je existencia niekoľkých  medzinárodných a nadnárodných záväzkov a odporúčaní na zavedenie trestnoprávnej zodpovednosti právnických osôb, ktoré tieto organizácie adresujú svojim členským štátom. Nakoľko Slovenská republika je plnohodnotným členom týchto medzinárodných organizácií, očakávania vyslovené medzinárodným spoločenstvom sa musia premietnuť aj do právneho poriadku Slovenskej republiky. Nutnosť </w:t>
      </w:r>
      <w:r w:rsidRPr="00A53EE0" w:rsidR="00050686">
        <w:rPr>
          <w:rFonts w:ascii="Times New Roman" w:hAnsi="Times New Roman"/>
          <w:sz w:val="24"/>
          <w:szCs w:val="24"/>
        </w:rPr>
        <w:t>zaviesť efektívny mechanizmus</w:t>
      </w:r>
      <w:r w:rsidRPr="00A53EE0">
        <w:rPr>
          <w:rFonts w:ascii="Times New Roman" w:hAnsi="Times New Roman"/>
          <w:sz w:val="24"/>
          <w:szCs w:val="24"/>
        </w:rPr>
        <w:t xml:space="preserve"> sankcionovania právnických osôb, ak došlo v súvislosti s ich činnosťou ku spáchaniu trestného činu, vyplýva z nasledujúcich medzinárodných dokumentov (nejde o vyčerpávajúci výpočet):</w:t>
      </w:r>
    </w:p>
    <w:p w:rsidR="00914781" w:rsidRPr="00A53EE0" w:rsidP="00A53EE0">
      <w:pPr>
        <w:bidi w:val="0"/>
        <w:spacing w:after="0" w:line="240" w:lineRule="auto"/>
        <w:jc w:val="both"/>
        <w:rPr>
          <w:rFonts w:ascii="Times New Roman" w:hAnsi="Times New Roman"/>
          <w:sz w:val="24"/>
          <w:szCs w:val="24"/>
        </w:rPr>
      </w:pP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o boji s podplácaním zahraničných verejných činiteľov v medzinárodných obchodných transakciách prijatý negociačnou konferenciou 21. novembra 1997, podpísaný 17. decembra 1997 v Paríži, platný pre SR od 23. novembra 1999 (oznámenie č. 318/1999 Z. z.)</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Odporúčanie v bode 246 Správy o aplikácii Dohovoru o boji s podplácaním zahraničných verejných činiteľov v medzinárodných obchodných transakciách schválená Pracovnou skupinou o podplácaní v medzinárodných obchodných transakciách 9. novembra 2005</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Odporúčanie č. R (88) 18 Výboru ministrov členských štátov Rady Európy týkajúce sa zodpovednosti podnikov, ktoré majú právnu subjektivitu, za trestné činy spáchané v súvislosti s ich činnosťou schválené na Výbore ministrov 20. októbra 1988 na 420. schôdzke ministerských zástupcov</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o praní špinavých peňazí, vyhľadávaní, zhabaní a konfiškácii ziskov z trestnej činnosti (crime) prijatý 8. novembra 1990  v  Štrasburgu (ETC 141), platný pre SR od 1. septembra. 2001 (oznámenie č. 109/2002 Z. z.)</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Rady Európy o praní, vyhľadávaní, zaistení a konfiškovaní ziskov z trestnej činnosti a o financovaní terorizmu č. 198 prijatý 16. mája 2005 bol vo Varšave (ETC 198), (oznámenie č. 91/2009 Z. z.)</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Trestnoprávny dohovor o korupcii z 27. januára 1999 a podpísaný v  Štrasburgu (ETC 173), platný pre SR od 1. júla 2002, (oznámenie č. 375/2002 Z. z.)</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XVI. odporúčanie Správy o dodržiavaní Slovenskej republiky, druhé hodnotiace kolo schválené GRECO na 28. plenárnej schôdzi v Štrasburgu dňa 12. mája 2006</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o počítačovej kriminalite z 23. novembra 2001 z Budapešti, všeobecne (pre štáty, ktoré ho ratifikovali) už nadobudol platnosť dňa 1. júla 2004 (ETC 185) (oznámenie č.  137/2008 Z. z.)</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Rady Európy o predchádzaní terorizmu prijatý  16. mája 2005 vo Varšave, platný pre SR od 1. júna 2007 (ETC 196) (oznámenie č. 186/2007 Z. z.)</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Rady Európy proti obchodovaniu s ľuďmi prijatý 16. mája 2005 vo Varšave (ETC 197) , ratifikovaný prezidentom SR 27. marca 2007</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Medzinárodný dohovor o potláčaní financovania terorizmu prijatý 9. decembra 1999 v New Yorku, platný pre SR od 13. októbra 2002 (oznámenie č. 593/2002 Z. z.)</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OSN proti nadnárodnému organizovanému zločinu prijatý 15.novembra 2000 v New Yorku, platný pre SR od 2.januára 2004 (oznámenie č. 621/2003 Z. z.)</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Opčný protokol k Dohovoru o právach dieťaťa o predaji detí, detskej prostitúcii a detskej pornografii prijatý 25. mája 2000 v New Yorku, platný pre SR od 25. júla 2004 (oznámenie č. 424/2004 Z. z.)</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OSN proti korupcii prijatý 31. októbra 2003 v New Yorku, platný pre SR od 1. júla 2006 (oznámenie č. 434/2006 Z. z.)</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Druhý protokol vyhotovený na základe článku k.3 Zmluvy o Európskej únii k Dohovoru o ochrane finančných záujmov Európskych spoločenstiev prijatý 19. júna 1997 v Brusel</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Rady Európy o ochrane detí pred sexuálnym vykorisťovaním a sexuálnym zneužívaním z 1. júla 2010 v Lanzarote (ETC 201)</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2001/413/SVV z 28. mája 2001 o boji proti podvodom a falšovaniu bezhotovostných platobných prostriedkov (Mimoriadne vydanie Ú.v. EÚ, kap. 15/zv. 6; Ú.v. ES L 149, 2.6.2001)</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2002/475/SVV z 13. júna 2002 o boji proti terorizmu (Mimoriadne vydanie Ú.v. EÚ, kap. 19/zv. 6; Ú.v. ES L 164, 22.6.2002)</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2002/946/SVV z 28. novembra 2002 o posilnení trestného systému na zabránenie napomáhaniu neoprávneného vstupu, tranzitu a bydliska (Mimoriadne vydanie Ú.v. EÚ, kap. 19/zv. 6; Ú.v. ES L 328, 5.12.2002)</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2003/568/SVV z 22. júla 2003 o boji proti korupcii v súkromnom sektore (Mimoriadne vydanie Ú.v. EÚ, kap. 19/zv. 6; Ú.v. EÚ L 192, 31.7.2003)</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2004/757/SVV z 25. októbra 2004, ktorým sa stanovujú minimálne ustanovenia o znakoch skutkových podstát trestných činov a trestov v oblasti nezákonného obchodu s drogami (Ú.v. EÚ L 335, 11.11.2004)</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2005/214/SVV z 24. februára 2005 o uplatňovaní zásady vzájomného uznávania na peňažné sankcie (Ú.v. EÚ L 76, 22.3.2005) v znení Rámcového rozhodnutia Rady 2009/299/SVV z 26. februára 2009 o zmene a doplnení rámcových rozhodnutí 2002/584/SVV, 2005/214/SVV, 2006/783/SVV, 2008/909/SVV a 2008/947/SVV a o posilnení procesných práv osôb, podpore uplatňovania zásady vzájomného uznávania, pokiaľ ide o rozhodnutia vydané v neprítomnosti dotknutej osoby na konaní (Ú.v. EÚ L 081, 27.3.2009)</w:t>
      </w:r>
    </w:p>
    <w:p w:rsidR="00FA0532"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2005/35/ES zo 7. septembra 2005 o znečisťovaní mora z lodí a o zavedení sankcií za porušenia (Ú.v. EÚ L 255, 30.9.2005)</w:t>
      </w:r>
      <w:r w:rsidRPr="00A53EE0" w:rsidR="00266008">
        <w:rPr>
          <w:rFonts w:ascii="Times New Roman" w:hAnsi="Times New Roman"/>
          <w:sz w:val="24"/>
          <w:szCs w:val="24"/>
        </w:rPr>
        <w:t xml:space="preserve"> v znení smernice 2009/123/ES</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2006/783/SVV zo 6.októbra 2006 o uplatňovaní zásady vzájomného uznávania na príkazy na konfiškáciu (Ú.v. EÚ L 328, 24.11.2006)</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2008/913/SVV z 28. novembra 2008 o boji proti niektorým formám a prejavom rasizmu a xenofóbie prostredníctvom trestného práva (Ú.v. EÚ L 328, 6.12.2008)</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2008/841/SVV z 24. októbra 2008 o boji proti organizovanému zločinu (Ú.v. EÚ L 300, 11.11.2008)</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2008/99/ES z 19. novembra 2008 o ochrane životného prostredia prostredníctvom trestného práva (Ú.v. EÚ L 328, 6.12.2008)</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2009/52/ES z 18. júna 2009, ktorou sa stanovujú minimálne normy pre sankcie a opatrenia voči zamestnávateľom štátnych príslušníkov tretích krajín, ktorí sa neoprávnene zdržiavajú na území členských štátov (Ú.v. EÚ L 168, 30.6.2009)</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2009/123/ES z 21. októbra 2009, ktorou sa mení a dopĺňa smernica 2005/35/ES o znečisťovaní mora z lodí a o zavedení sankcií za porušenie (Ú.v. EÚ L 280, 27.10.2009)</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2011/36/EÚ z 5. apríla 2011 o prevencii obchodovania s ľuďmi a boji proti nemu a o ochrane obetí obchodovania, ktorou sa nahrádza rámcové rozhodnutie Rady 2002/629/SVV (Ú.v. EÚ L 101, 15.4.2011)</w:t>
      </w:r>
    </w:p>
    <w:p w:rsidR="00914781"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2011/93/EÚ z 13. decembra 2011 o boji proti sexuálnemu zneužívaniu a sexuálnemu vykorisťovaniu detí a proti detskej pornografii, ktorou sa nahrádza rámcové rozhodnutie Rady 2004/68/</w:t>
      </w:r>
      <w:r w:rsidRPr="00A53EE0" w:rsidR="00473AE3">
        <w:rPr>
          <w:rFonts w:ascii="Times New Roman" w:hAnsi="Times New Roman"/>
          <w:sz w:val="24"/>
          <w:szCs w:val="24"/>
        </w:rPr>
        <w:t>SVV (Ú.v. EÚ L 335, 17.12.2011),</w:t>
      </w:r>
    </w:p>
    <w:p w:rsidR="002E0D2B" w:rsidRPr="00A53EE0" w:rsidP="00A53EE0">
      <w:pPr>
        <w:pStyle w:val="ListParagraph"/>
        <w:numPr>
          <w:numId w:val="4"/>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2013/40/EÚ z  12. augusta 2013 o útokoch na informačné systémy, ktorou sa nahrádza rámcové rozhodnutie Rady 2005/222/SVV (Ú.v. EÚ L 218, 14.8.2013),</w:t>
      </w:r>
    </w:p>
    <w:p w:rsidR="002E0D2B" w:rsidRPr="00A53EE0" w:rsidP="00A53EE0">
      <w:pPr>
        <w:pStyle w:val="ListParagraph"/>
        <w:numPr>
          <w:numId w:val="4"/>
        </w:numPr>
        <w:bidi w:val="0"/>
        <w:spacing w:after="0" w:line="240" w:lineRule="auto"/>
        <w:jc w:val="both"/>
        <w:rPr>
          <w:rFonts w:ascii="Times New Roman" w:hAnsi="Times New Roman"/>
          <w:sz w:val="24"/>
          <w:szCs w:val="24"/>
        </w:rPr>
      </w:pPr>
      <w:r w:rsidRPr="00A53EE0" w:rsidR="00473AE3">
        <w:rPr>
          <w:rFonts w:ascii="Times New Roman" w:hAnsi="Times New Roman"/>
          <w:sz w:val="24"/>
          <w:szCs w:val="24"/>
        </w:rPr>
        <w:t>Smernica Európskeho parlamentu a Rady 2014/62/EÚ z  15. mája 2014 o trestnoprávnej ochrane eura a ostatných mien proti falšovaniu, ktorou sa nahrádza rámcové rozhodnutie Rady 2000/383/SVV (Ú.v. EÚ L 151, 21.5.2014)</w:t>
      </w:r>
      <w:r w:rsidRPr="00A53EE0">
        <w:rPr>
          <w:rFonts w:ascii="Times New Roman" w:hAnsi="Times New Roman"/>
          <w:sz w:val="24"/>
          <w:szCs w:val="24"/>
        </w:rPr>
        <w:t xml:space="preserve">. </w:t>
      </w:r>
    </w:p>
    <w:p w:rsidR="00914781" w:rsidRPr="00A53EE0" w:rsidP="00A53EE0">
      <w:pPr>
        <w:bidi w:val="0"/>
        <w:spacing w:after="0" w:line="240" w:lineRule="auto"/>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právnom poriadku Slovenskej republiky nejde o prvú iniciatívu riešenia problematiky </w:t>
      </w:r>
      <w:r w:rsidRPr="00A53EE0" w:rsidR="001B493D">
        <w:rPr>
          <w:rFonts w:ascii="Times New Roman" w:hAnsi="Times New Roman"/>
          <w:sz w:val="24"/>
          <w:szCs w:val="24"/>
        </w:rPr>
        <w:t xml:space="preserve">zavedenia </w:t>
      </w:r>
      <w:r w:rsidRPr="00A53EE0">
        <w:rPr>
          <w:rFonts w:ascii="Times New Roman" w:hAnsi="Times New Roman"/>
          <w:sz w:val="24"/>
          <w:szCs w:val="24"/>
        </w:rPr>
        <w:t>trestnej zodpovednosti právnických osôb. Zavedenie trestnej zodpovednosti právnických osôb bolo navrhované už v rámci rekodifikácie trestného práva v roku 2005, pričom k jej schváleniu nedošlo. Rovnako tak bol odmietnutý samostatný zákon o trestnej zodpovednosti právnických osôb (dvakrát v roku 2006 a následne v roku 2007). Vo všetkých vymenovaných prípadoch išlo o tzv. priam</w:t>
      </w:r>
      <w:r w:rsidRPr="00A53EE0" w:rsidR="001B493D">
        <w:rPr>
          <w:rFonts w:ascii="Times New Roman" w:hAnsi="Times New Roman"/>
          <w:sz w:val="24"/>
          <w:szCs w:val="24"/>
        </w:rPr>
        <w:t>ej</w:t>
      </w:r>
      <w:r w:rsidRPr="00A53EE0">
        <w:rPr>
          <w:rFonts w:ascii="Times New Roman" w:hAnsi="Times New Roman"/>
          <w:sz w:val="24"/>
          <w:szCs w:val="24"/>
        </w:rPr>
        <w:t xml:space="preserve"> zodpovednos</w:t>
      </w:r>
      <w:r w:rsidRPr="00A53EE0" w:rsidR="001B493D">
        <w:rPr>
          <w:rFonts w:ascii="Times New Roman" w:hAnsi="Times New Roman"/>
          <w:sz w:val="24"/>
          <w:szCs w:val="24"/>
        </w:rPr>
        <w:t>ti</w:t>
      </w:r>
      <w:r w:rsidRPr="00A53EE0">
        <w:rPr>
          <w:rFonts w:ascii="Times New Roman" w:hAnsi="Times New Roman"/>
          <w:sz w:val="24"/>
          <w:szCs w:val="24"/>
        </w:rPr>
        <w:t xml:space="preserve"> právnických osôb. </w:t>
      </w:r>
    </w:p>
    <w:p w:rsidR="00914781" w:rsidRPr="00A53EE0" w:rsidP="00A53EE0">
      <w:pPr>
        <w:bidi w:val="0"/>
        <w:spacing w:after="0" w:line="240" w:lineRule="auto"/>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K implementácii trestnej zodpovednosti právnických osôb do právneho poriadku</w:t>
      </w:r>
      <w:r w:rsidRPr="00A53EE0" w:rsidR="008C0407">
        <w:rPr>
          <w:rFonts w:ascii="Times New Roman" w:hAnsi="Times New Roman"/>
          <w:sz w:val="24"/>
          <w:szCs w:val="24"/>
        </w:rPr>
        <w:t xml:space="preserve"> Slovenskej republiky</w:t>
      </w:r>
      <w:r w:rsidRPr="00A53EE0">
        <w:rPr>
          <w:rFonts w:ascii="Times New Roman" w:hAnsi="Times New Roman"/>
          <w:sz w:val="24"/>
          <w:szCs w:val="24"/>
        </w:rPr>
        <w:t xml:space="preserve">, aj keď v nepriamej forme </w:t>
      </w:r>
      <w:r w:rsidRPr="00A53EE0" w:rsidR="008C0407">
        <w:rPr>
          <w:rFonts w:ascii="Times New Roman" w:hAnsi="Times New Roman"/>
          <w:sz w:val="24"/>
          <w:szCs w:val="24"/>
        </w:rPr>
        <w:t xml:space="preserve">tzv. </w:t>
      </w:r>
      <w:r w:rsidRPr="00A53EE0" w:rsidR="008C0407">
        <w:rPr>
          <w:rFonts w:ascii="Times New Roman" w:hAnsi="Times New Roman"/>
          <w:i/>
          <w:sz w:val="24"/>
          <w:szCs w:val="24"/>
        </w:rPr>
        <w:t xml:space="preserve">pseudo </w:t>
      </w:r>
      <w:r w:rsidRPr="00A53EE0">
        <w:rPr>
          <w:rFonts w:ascii="Times New Roman" w:hAnsi="Times New Roman"/>
          <w:sz w:val="24"/>
          <w:szCs w:val="24"/>
        </w:rPr>
        <w:t>trestnej zodpovednosti, došlo až prijatím zákona č. 224/2010 Z. z., ktorým sa mení a dopĺňa zákon č. 300/2005 Z. z. Trestný zákon v znení neskorších predpisov a o zmene a doplnení niektorých zákonov. Týmto zákonom sa zaviedli nové trestnoprávne sankcie v podobe ochranných opatrení voči právnickým osobám (zhabanie peňažnej čiastky, zhabanie majetku), pričom uloženie týchto ochranných opatrení nie je podmienené väzbou na trestné stíhanie fyzických osôb, ale však podmienené splnením podmienok podľa § 83a a 83b Trestného zákona v platnom znení. Materiálne tak Slovenská republika naplnila požiadavku vyvodiť v trestnom konaní voči právnickej osobe sankcie trestného charakteru a súčasne uznať trestnú zodpovednosť právnických osôb za trestné činy fyzických osôb</w:t>
      </w:r>
      <w:r w:rsidRPr="00A53EE0" w:rsidR="008C0407">
        <w:rPr>
          <w:rFonts w:ascii="Times New Roman" w:hAnsi="Times New Roman"/>
          <w:sz w:val="24"/>
          <w:szCs w:val="24"/>
        </w:rPr>
        <w:t xml:space="preserve"> konajúcich v jej mene</w:t>
      </w:r>
      <w:r w:rsidRPr="00A53EE0">
        <w:rPr>
          <w:rFonts w:ascii="Times New Roman" w:hAnsi="Times New Roman"/>
          <w:sz w:val="24"/>
          <w:szCs w:val="24"/>
        </w:rPr>
        <w:t xml:space="preserve"> aj keď ju formálno-právne nevyjadrila. Vychádzajúc z dostupných štatistických údajov k dnešnému dňu predkladateľ neeviduje využitie týchto ustanovení v praxi, t.j. k ich aplikácii zatiaľ nedošlo a v trestnom konaní nebola </w:t>
      </w:r>
      <w:r w:rsidRPr="00A53EE0" w:rsidR="008C0407">
        <w:rPr>
          <w:rFonts w:ascii="Times New Roman" w:hAnsi="Times New Roman"/>
          <w:sz w:val="24"/>
          <w:szCs w:val="24"/>
        </w:rPr>
        <w:t xml:space="preserve">prostredníctvom tejto úpravy platnej od roku 2010 </w:t>
      </w:r>
      <w:r w:rsidRPr="00A53EE0">
        <w:rPr>
          <w:rFonts w:ascii="Times New Roman" w:hAnsi="Times New Roman"/>
          <w:sz w:val="24"/>
          <w:szCs w:val="24"/>
        </w:rPr>
        <w:t>postihnutá žiadna právnická osoba.</w:t>
      </w:r>
    </w:p>
    <w:p w:rsidR="00914781" w:rsidRPr="00A53EE0" w:rsidP="00A53EE0">
      <w:pPr>
        <w:bidi w:val="0"/>
        <w:spacing w:after="0" w:line="240" w:lineRule="auto"/>
        <w:ind w:firstLine="708"/>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Slovenská republika ako zmluvná strana Dohovoru OECD o boji s podplácaním zahraničných verejných činiteľov v medzinárodných obchodných transak</w:t>
      </w:r>
      <w:r w:rsidRPr="00A53EE0" w:rsidR="00050686">
        <w:rPr>
          <w:rFonts w:ascii="Times New Roman" w:hAnsi="Times New Roman"/>
          <w:sz w:val="24"/>
          <w:szCs w:val="24"/>
        </w:rPr>
        <w:t>ciách (ďalej len „D</w:t>
      </w:r>
      <w:r w:rsidRPr="00A53EE0">
        <w:rPr>
          <w:rFonts w:ascii="Times New Roman" w:hAnsi="Times New Roman"/>
          <w:sz w:val="24"/>
          <w:szCs w:val="24"/>
        </w:rPr>
        <w:t xml:space="preserve">ohovor OECD“) je v pravidelných intervaloch hodnotená v pléne WGB/OECD. Najzávažnejším zisteným nedostatkom hodnotenia Slovenskej republiky </w:t>
      </w:r>
      <w:r w:rsidRPr="00A53EE0" w:rsidR="005F3A9F">
        <w:rPr>
          <w:rFonts w:ascii="Times New Roman" w:hAnsi="Times New Roman"/>
          <w:sz w:val="24"/>
          <w:szCs w:val="24"/>
        </w:rPr>
        <w:t>zo strany OECD</w:t>
      </w:r>
      <w:r w:rsidRPr="00A53EE0">
        <w:rPr>
          <w:rFonts w:ascii="Times New Roman" w:hAnsi="Times New Roman"/>
          <w:sz w:val="24"/>
          <w:szCs w:val="24"/>
        </w:rPr>
        <w:t xml:space="preserve"> (</w:t>
      </w:r>
      <w:r w:rsidRPr="00A53EE0" w:rsidR="005F3A9F">
        <w:rPr>
          <w:rFonts w:ascii="Times New Roman" w:hAnsi="Times New Roman"/>
          <w:sz w:val="24"/>
          <w:szCs w:val="24"/>
        </w:rPr>
        <w:t>Správa z tretej etapy hodnotenia Slovenskej republiky, ktorú vypracovala Pracovná skupina OECD pre podplácanie, hodnotí realizáciu a uplatňovanie Dohovoru o boji proti podplácaniu zahraničných verejných činiteľov v medzinárodných obchodných transakciách z 15. Júna 2012</w:t>
      </w:r>
      <w:r w:rsidRPr="00A53EE0">
        <w:rPr>
          <w:rFonts w:ascii="Times New Roman" w:hAnsi="Times New Roman"/>
          <w:sz w:val="24"/>
          <w:szCs w:val="24"/>
        </w:rPr>
        <w:t xml:space="preserve">) je nesúlad s požiadavkami čl. 2 </w:t>
      </w:r>
      <w:r w:rsidRPr="00A53EE0" w:rsidR="00050686">
        <w:rPr>
          <w:rFonts w:ascii="Times New Roman" w:hAnsi="Times New Roman"/>
          <w:sz w:val="24"/>
          <w:szCs w:val="24"/>
        </w:rPr>
        <w:t>D</w:t>
      </w:r>
      <w:r w:rsidRPr="00A53EE0">
        <w:rPr>
          <w:rFonts w:ascii="Times New Roman" w:hAnsi="Times New Roman"/>
          <w:sz w:val="24"/>
          <w:szCs w:val="24"/>
        </w:rPr>
        <w:t xml:space="preserve">ohovoru OECD, teda absencia efektívnej úpravy zodpovednosti právnických osôb vo vzťahu k postihovaniu podplácania zahraničných verejných činiteľov v medzinárodných obchodných transakciách. WGB/OECD nepovažuje súčasne platnú právnu úpravu zodpovednosti právnických osôb upravenú v Trestnom zákone za efektívnu a spĺňajúcu požiadavky </w:t>
      </w:r>
      <w:r w:rsidRPr="00A53EE0" w:rsidR="00050686">
        <w:rPr>
          <w:rFonts w:ascii="Times New Roman" w:hAnsi="Times New Roman"/>
          <w:sz w:val="24"/>
          <w:szCs w:val="24"/>
        </w:rPr>
        <w:t>D</w:t>
      </w:r>
      <w:r w:rsidRPr="00A53EE0">
        <w:rPr>
          <w:rFonts w:ascii="Times New Roman" w:hAnsi="Times New Roman"/>
          <w:sz w:val="24"/>
          <w:szCs w:val="24"/>
        </w:rPr>
        <w:t xml:space="preserve">ohovoru OECD. </w:t>
      </w:r>
      <w:r w:rsidRPr="00A53EE0" w:rsidR="005F3A9F">
        <w:rPr>
          <w:rFonts w:ascii="Times New Roman" w:hAnsi="Times New Roman"/>
          <w:sz w:val="24"/>
          <w:szCs w:val="24"/>
        </w:rPr>
        <w:t>V tejto súvislosti Pracovná skupina OECD konštatuje, že „</w:t>
      </w:r>
      <w:r w:rsidRPr="00A53EE0" w:rsidR="005F3A9F">
        <w:rPr>
          <w:rFonts w:ascii="Times New Roman" w:hAnsi="Times New Roman"/>
          <w:i/>
          <w:sz w:val="24"/>
          <w:szCs w:val="24"/>
        </w:rPr>
        <w:t>pracovnej skupine spôsobuje najväčšie obavy pretrvávajúca absencia trestnej zodpovednosti právnických osôb, ktorá 12 rokov od nadobudnutia účinnosti Dohovoru v Slovenskej republike ešte stále nie je upravená</w:t>
      </w:r>
      <w:r w:rsidRPr="00A53EE0" w:rsidR="005F3A9F">
        <w:rPr>
          <w:rFonts w:ascii="Times New Roman" w:hAnsi="Times New Roman"/>
          <w:sz w:val="24"/>
          <w:szCs w:val="24"/>
        </w:rPr>
        <w:t>“ a súčasne uvádza, že  „</w:t>
      </w:r>
      <w:r w:rsidRPr="00A53EE0" w:rsidR="005F3A9F">
        <w:rPr>
          <w:rFonts w:ascii="Times New Roman" w:hAnsi="Times New Roman"/>
          <w:i/>
          <w:sz w:val="24"/>
          <w:szCs w:val="24"/>
        </w:rPr>
        <w:t>Slovenská republika musí prioritne zaviesť zodpovednosť právnických osôb, aby bolo možné stíhať právnické osoby za trestné činy poskytovania úplatkov zahraničným verejným činiteľom, vrátane poskytovania úplatkov</w:t>
      </w:r>
      <w:r w:rsidRPr="00A53EE0" w:rsidR="005F3A9F">
        <w:rPr>
          <w:rFonts w:ascii="Times New Roman" w:hAnsi="Times New Roman"/>
          <w:sz w:val="24"/>
          <w:szCs w:val="24"/>
        </w:rPr>
        <w:t xml:space="preserve">“. </w:t>
      </w:r>
      <w:r w:rsidRPr="00A53EE0">
        <w:rPr>
          <w:rFonts w:ascii="Times New Roman" w:hAnsi="Times New Roman"/>
          <w:sz w:val="24"/>
          <w:szCs w:val="24"/>
        </w:rPr>
        <w:t xml:space="preserve">Hodnotiaca správa </w:t>
      </w:r>
      <w:r w:rsidRPr="00A53EE0" w:rsidR="005F3A9F">
        <w:rPr>
          <w:rFonts w:ascii="Times New Roman" w:hAnsi="Times New Roman"/>
          <w:sz w:val="24"/>
          <w:szCs w:val="24"/>
        </w:rPr>
        <w:t xml:space="preserve">platnú právnu úpravu Slovenskej republiky </w:t>
      </w:r>
      <w:r w:rsidRPr="00A53EE0">
        <w:rPr>
          <w:rFonts w:ascii="Times New Roman" w:hAnsi="Times New Roman"/>
          <w:sz w:val="24"/>
          <w:szCs w:val="24"/>
        </w:rPr>
        <w:t xml:space="preserve">v podstate označila za úpravu konfiškácií vo vzťahu k právnickým osobám, a nie za zavedenie zodpovednosti právnickej osoby podľa trestného práva. </w:t>
      </w:r>
      <w:r w:rsidRPr="00A53EE0" w:rsidR="00050686">
        <w:rPr>
          <w:rFonts w:ascii="Times New Roman" w:hAnsi="Times New Roman"/>
          <w:sz w:val="24"/>
          <w:szCs w:val="24"/>
        </w:rPr>
        <w:t xml:space="preserve">Z hodnotiacej správy vyplýva záver, že súčasná právna úprava </w:t>
      </w:r>
      <w:r w:rsidRPr="00A53EE0" w:rsidR="005F3A9F">
        <w:rPr>
          <w:rFonts w:ascii="Times New Roman" w:hAnsi="Times New Roman"/>
          <w:sz w:val="24"/>
          <w:szCs w:val="24"/>
        </w:rPr>
        <w:t xml:space="preserve">Slovenskej republiky týkajúcej sa zodpovednosti </w:t>
      </w:r>
      <w:r w:rsidRPr="00A53EE0" w:rsidR="00050686">
        <w:rPr>
          <w:rFonts w:ascii="Times New Roman" w:hAnsi="Times New Roman"/>
          <w:sz w:val="24"/>
          <w:szCs w:val="24"/>
        </w:rPr>
        <w:t>právnických osôb nezodpovedá požiadavkám vyplývajúcim z Dohovoru OECD</w:t>
      </w:r>
      <w:r w:rsidRPr="00A53EE0" w:rsidR="00BF288A">
        <w:rPr>
          <w:rFonts w:ascii="Times New Roman" w:hAnsi="Times New Roman"/>
          <w:sz w:val="24"/>
          <w:szCs w:val="24"/>
        </w:rPr>
        <w:t xml:space="preserve"> pre vyvodenie zodpovednosti právnických osôb. </w:t>
      </w:r>
      <w:r w:rsidRPr="00A53EE0">
        <w:rPr>
          <w:rFonts w:ascii="Times New Roman" w:hAnsi="Times New Roman"/>
          <w:sz w:val="24"/>
          <w:szCs w:val="24"/>
        </w:rPr>
        <w:t xml:space="preserve">S cieľom splniť odporúčania vyslovené v rámci hodnotenia je pri koncipovaní novej legislatívnej úpravy nevyhnutné zohľadniť kritériá obsiahnuté v hodnotiacej správe. Detailne sú tieto odporúčania popísané v materiáli </w:t>
      </w:r>
      <w:r w:rsidRPr="00A53EE0">
        <w:rPr>
          <w:rFonts w:ascii="Times New Roman" w:hAnsi="Times New Roman"/>
          <w:i/>
          <w:sz w:val="24"/>
          <w:szCs w:val="24"/>
        </w:rPr>
        <w:t>„Návrh opatrení  na zabezpečenie plnenia odporúčaní prijatých Pracovnou skupinou OECD pre úplatkárstvo v medzinárodných obchodných transakciách pre Slovenskú republiku v rámci Fázy 3 hodnotení“</w:t>
      </w:r>
      <w:r w:rsidRPr="00A53EE0">
        <w:rPr>
          <w:rFonts w:ascii="Times New Roman" w:hAnsi="Times New Roman"/>
          <w:sz w:val="24"/>
          <w:szCs w:val="24"/>
        </w:rPr>
        <w:t>, ktorý vláda Slovenskej republiky prerokovala a schválil</w:t>
      </w:r>
      <w:r w:rsidRPr="00A53EE0" w:rsidR="00050686">
        <w:rPr>
          <w:rFonts w:ascii="Times New Roman" w:hAnsi="Times New Roman"/>
          <w:sz w:val="24"/>
          <w:szCs w:val="24"/>
        </w:rPr>
        <w:t>a</w:t>
      </w:r>
      <w:r w:rsidRPr="00A53EE0">
        <w:rPr>
          <w:rFonts w:ascii="Times New Roman" w:hAnsi="Times New Roman"/>
          <w:sz w:val="24"/>
          <w:szCs w:val="24"/>
        </w:rPr>
        <w:t xml:space="preserve"> uznesením č. 137 z 20. marca 2013. Jednou z úloh vyplývajúcich z</w:t>
      </w:r>
      <w:r w:rsidRPr="00A53EE0" w:rsidR="00050686">
        <w:rPr>
          <w:rFonts w:ascii="Times New Roman" w:hAnsi="Times New Roman"/>
          <w:sz w:val="24"/>
          <w:szCs w:val="24"/>
        </w:rPr>
        <w:t xml:space="preserve"> označeného </w:t>
      </w:r>
      <w:r w:rsidRPr="00A53EE0">
        <w:rPr>
          <w:rFonts w:ascii="Times New Roman" w:hAnsi="Times New Roman"/>
          <w:sz w:val="24"/>
          <w:szCs w:val="24"/>
        </w:rPr>
        <w:t xml:space="preserve">uznesenia vlády je aj úloha predložiť na rokovanie vlády návrh zákona o trestnej zodpovednosti právnických osôb (C.14.). </w:t>
      </w:r>
    </w:p>
    <w:p w:rsidR="00914781" w:rsidRPr="00A53EE0" w:rsidP="00A53EE0">
      <w:pPr>
        <w:bidi w:val="0"/>
        <w:spacing w:after="0" w:line="240" w:lineRule="auto"/>
        <w:ind w:firstLine="708"/>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Východiskom pri koncipovaní predkladanej právnej úpravy boli primárne medzinárodné záväzky Slovenskej republiky, ako aj </w:t>
      </w:r>
      <w:r w:rsidRPr="00A53EE0" w:rsidR="007F6072">
        <w:rPr>
          <w:rFonts w:ascii="Times New Roman" w:hAnsi="Times New Roman"/>
          <w:sz w:val="24"/>
          <w:szCs w:val="24"/>
        </w:rPr>
        <w:t xml:space="preserve">komparácia existujúcich úprav v rámci vybraných členských štátov Európskej únie. </w:t>
      </w:r>
      <w:r w:rsidRPr="00A53EE0">
        <w:rPr>
          <w:rFonts w:ascii="Times New Roman" w:hAnsi="Times New Roman"/>
          <w:sz w:val="24"/>
          <w:szCs w:val="24"/>
        </w:rPr>
        <w:t>Z</w:t>
      </w:r>
      <w:r w:rsidRPr="00A53EE0" w:rsidR="007F6072">
        <w:rPr>
          <w:rFonts w:ascii="Times New Roman" w:hAnsi="Times New Roman"/>
          <w:sz w:val="24"/>
          <w:szCs w:val="24"/>
        </w:rPr>
        <w:t> tejto komparácie</w:t>
      </w:r>
      <w:r w:rsidRPr="00A53EE0">
        <w:rPr>
          <w:rFonts w:ascii="Times New Roman" w:hAnsi="Times New Roman"/>
          <w:sz w:val="24"/>
          <w:szCs w:val="24"/>
        </w:rPr>
        <w:t xml:space="preserve"> </w:t>
      </w:r>
      <w:r w:rsidRPr="00A53EE0" w:rsidR="008C0407">
        <w:rPr>
          <w:rFonts w:ascii="Times New Roman" w:hAnsi="Times New Roman"/>
          <w:sz w:val="24"/>
          <w:szCs w:val="24"/>
        </w:rPr>
        <w:t>vyplynulo</w:t>
      </w:r>
      <w:r w:rsidRPr="00A53EE0">
        <w:rPr>
          <w:rFonts w:ascii="Times New Roman" w:hAnsi="Times New Roman"/>
          <w:sz w:val="24"/>
          <w:szCs w:val="24"/>
        </w:rPr>
        <w:t>, že v členských štátoch EÚ, s výnimkou Spolkovej republiky Nemecko, sú práv</w:t>
      </w:r>
      <w:r w:rsidRPr="00A53EE0" w:rsidR="007F6072">
        <w:rPr>
          <w:rFonts w:ascii="Times New Roman" w:hAnsi="Times New Roman"/>
          <w:sz w:val="24"/>
          <w:szCs w:val="24"/>
        </w:rPr>
        <w:t xml:space="preserve">nickým osobám ukladané </w:t>
      </w:r>
      <w:r w:rsidRPr="00A53EE0">
        <w:rPr>
          <w:rFonts w:ascii="Times New Roman" w:hAnsi="Times New Roman"/>
          <w:sz w:val="24"/>
          <w:szCs w:val="24"/>
        </w:rPr>
        <w:t xml:space="preserve"> súdmi v trestnom konaní tresty </w:t>
      </w:r>
      <w:r w:rsidRPr="00A53EE0" w:rsidR="009747DA">
        <w:rPr>
          <w:rFonts w:ascii="Times New Roman" w:hAnsi="Times New Roman"/>
          <w:sz w:val="24"/>
          <w:szCs w:val="24"/>
        </w:rPr>
        <w:t xml:space="preserve">alebo ochranné opatrenia (ako jedna z foriem trestných sankcií) </w:t>
      </w:r>
      <w:r w:rsidRPr="00A53EE0">
        <w:rPr>
          <w:rFonts w:ascii="Times New Roman" w:hAnsi="Times New Roman"/>
          <w:sz w:val="24"/>
          <w:szCs w:val="24"/>
        </w:rPr>
        <w:t xml:space="preserve">v rámci </w:t>
      </w:r>
      <w:r w:rsidRPr="00A53EE0" w:rsidR="007F6072">
        <w:rPr>
          <w:rFonts w:ascii="Times New Roman" w:hAnsi="Times New Roman"/>
          <w:sz w:val="24"/>
          <w:szCs w:val="24"/>
        </w:rPr>
        <w:t>zavedenej</w:t>
      </w:r>
      <w:r w:rsidRPr="00A53EE0">
        <w:rPr>
          <w:rFonts w:ascii="Times New Roman" w:hAnsi="Times New Roman"/>
          <w:sz w:val="24"/>
          <w:szCs w:val="24"/>
        </w:rPr>
        <w:t xml:space="preserve"> trestnej zodpovednosti právnických osôb v podobe trestných dôsledkov trestného činu spáchaného fyzickou osobou </w:t>
      </w:r>
      <w:r w:rsidRPr="00A53EE0" w:rsidR="008C0407">
        <w:rPr>
          <w:rFonts w:ascii="Times New Roman" w:hAnsi="Times New Roman"/>
          <w:sz w:val="24"/>
          <w:szCs w:val="24"/>
        </w:rPr>
        <w:t xml:space="preserve">konajúcou za právnickú osobu </w:t>
      </w:r>
      <w:r w:rsidRPr="00A53EE0" w:rsidR="009747DA">
        <w:rPr>
          <w:rFonts w:ascii="Times New Roman" w:hAnsi="Times New Roman"/>
          <w:sz w:val="24"/>
          <w:szCs w:val="24"/>
        </w:rPr>
        <w:t xml:space="preserve">formou pričítania právnickej osobe. </w:t>
      </w:r>
      <w:r w:rsidRPr="00A53EE0" w:rsidR="008C0407">
        <w:rPr>
          <w:rFonts w:ascii="Times New Roman" w:hAnsi="Times New Roman"/>
          <w:sz w:val="24"/>
          <w:szCs w:val="24"/>
        </w:rPr>
        <w:t>Koncept tzv.</w:t>
      </w:r>
      <w:r w:rsidRPr="00A53EE0">
        <w:rPr>
          <w:rFonts w:ascii="Times New Roman" w:hAnsi="Times New Roman"/>
          <w:sz w:val="24"/>
          <w:szCs w:val="24"/>
        </w:rPr>
        <w:t xml:space="preserve"> nepravej</w:t>
      </w:r>
      <w:r w:rsidRPr="00A53EE0" w:rsidR="008C0407">
        <w:rPr>
          <w:rFonts w:ascii="Times New Roman" w:hAnsi="Times New Roman"/>
          <w:sz w:val="24"/>
          <w:szCs w:val="24"/>
        </w:rPr>
        <w:t xml:space="preserve"> resp. </w:t>
      </w:r>
      <w:r w:rsidRPr="00A53EE0" w:rsidR="008C0407">
        <w:rPr>
          <w:rFonts w:ascii="Times New Roman" w:hAnsi="Times New Roman"/>
          <w:i/>
          <w:sz w:val="24"/>
          <w:szCs w:val="24"/>
        </w:rPr>
        <w:t>pseudo</w:t>
      </w:r>
      <w:r w:rsidRPr="00A53EE0">
        <w:rPr>
          <w:rFonts w:ascii="Times New Roman" w:hAnsi="Times New Roman"/>
          <w:sz w:val="24"/>
          <w:szCs w:val="24"/>
        </w:rPr>
        <w:t xml:space="preserve"> trestnej zodpovednosti </w:t>
      </w:r>
      <w:r w:rsidRPr="00A53EE0" w:rsidR="008C0407">
        <w:rPr>
          <w:rFonts w:ascii="Times New Roman" w:hAnsi="Times New Roman"/>
          <w:sz w:val="24"/>
          <w:szCs w:val="24"/>
        </w:rPr>
        <w:t>zaviedla len Slovenská republika po vzore Španielska, ktoré však od tohto konceptu ustúpilo prijatím osobitného zákona č. 5/2010 o trestnej zodpovednosti právnických osôb z 22. júna 2010</w:t>
      </w:r>
      <w:r w:rsidRPr="00A53EE0">
        <w:rPr>
          <w:rFonts w:ascii="Times New Roman" w:hAnsi="Times New Roman"/>
          <w:sz w:val="24"/>
          <w:szCs w:val="24"/>
        </w:rPr>
        <w:t xml:space="preserve">). </w:t>
      </w:r>
    </w:p>
    <w:p w:rsidR="00914781" w:rsidRPr="00A53EE0" w:rsidP="00A53EE0">
      <w:pPr>
        <w:bidi w:val="0"/>
        <w:spacing w:after="0" w:line="240" w:lineRule="auto"/>
        <w:ind w:firstLine="708"/>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Koncept zodpovednosti právnických osôb v podobe administratívnej zodpovednosti </w:t>
      </w:r>
      <w:r w:rsidRPr="00A53EE0" w:rsidR="008C0407">
        <w:rPr>
          <w:rFonts w:ascii="Times New Roman" w:hAnsi="Times New Roman"/>
          <w:sz w:val="24"/>
          <w:szCs w:val="24"/>
        </w:rPr>
        <w:t xml:space="preserve">právnických osôb prostredníctvom správneho práva trestného, </w:t>
      </w:r>
      <w:r w:rsidRPr="00A53EE0">
        <w:rPr>
          <w:rFonts w:ascii="Times New Roman" w:hAnsi="Times New Roman"/>
          <w:sz w:val="24"/>
          <w:szCs w:val="24"/>
        </w:rPr>
        <w:t>po vzore právnej úpravy Spolkovej republiky Nemecko</w:t>
      </w:r>
      <w:r w:rsidRPr="00A53EE0" w:rsidR="008C0407">
        <w:rPr>
          <w:rFonts w:ascii="Times New Roman" w:hAnsi="Times New Roman"/>
          <w:sz w:val="24"/>
          <w:szCs w:val="24"/>
        </w:rPr>
        <w:t>,</w:t>
      </w:r>
      <w:r w:rsidRPr="00A53EE0">
        <w:rPr>
          <w:rFonts w:ascii="Times New Roman" w:hAnsi="Times New Roman"/>
          <w:sz w:val="24"/>
          <w:szCs w:val="24"/>
        </w:rPr>
        <w:t xml:space="preserve"> </w:t>
      </w:r>
      <w:r w:rsidRPr="00A53EE0" w:rsidR="008C0407">
        <w:rPr>
          <w:rFonts w:ascii="Times New Roman" w:hAnsi="Times New Roman"/>
          <w:sz w:val="24"/>
          <w:szCs w:val="24"/>
        </w:rPr>
        <w:t xml:space="preserve">by bol </w:t>
      </w:r>
      <w:r w:rsidRPr="00A53EE0">
        <w:rPr>
          <w:rFonts w:ascii="Times New Roman" w:hAnsi="Times New Roman"/>
          <w:sz w:val="24"/>
          <w:szCs w:val="24"/>
        </w:rPr>
        <w:t xml:space="preserve">podľa názoru predkladateľa uplatniteľný v podmienkach právneho poriadku Slovenskej republiky len za predpokladu vytvorenia novej hmotnoprávnej a procesnej </w:t>
      </w:r>
      <w:r w:rsidRPr="00A53EE0" w:rsidR="007F6072">
        <w:rPr>
          <w:rFonts w:ascii="Times New Roman" w:hAnsi="Times New Roman"/>
          <w:sz w:val="24"/>
          <w:szCs w:val="24"/>
        </w:rPr>
        <w:t>úpravy v oblasti správneho práva a jeho previazania s trestným procesom</w:t>
      </w:r>
      <w:r w:rsidRPr="00A53EE0">
        <w:rPr>
          <w:rFonts w:ascii="Times New Roman" w:hAnsi="Times New Roman"/>
          <w:sz w:val="24"/>
          <w:szCs w:val="24"/>
        </w:rPr>
        <w:t xml:space="preserve"> s rizikom možnej pochybnosti o ústavnosti tohto riešenia. </w:t>
      </w:r>
    </w:p>
    <w:p w:rsidR="00914781" w:rsidRPr="00A53EE0" w:rsidP="00A53EE0">
      <w:pPr>
        <w:bidi w:val="0"/>
        <w:spacing w:after="0" w:line="240" w:lineRule="auto"/>
        <w:ind w:firstLine="708"/>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prvom rade je potrebné uviesť, že podľa čl. 50 ods. 1 Ústavy Slovenskej republiky  </w:t>
      </w:r>
      <w:r w:rsidRPr="00A53EE0">
        <w:rPr>
          <w:rFonts w:ascii="Times New Roman" w:hAnsi="Times New Roman"/>
          <w:i/>
          <w:sz w:val="24"/>
          <w:szCs w:val="24"/>
        </w:rPr>
        <w:t>„Len súd rozhoduje o vine a treste za trestné činy.“</w:t>
      </w:r>
      <w:r w:rsidRPr="00A53EE0">
        <w:rPr>
          <w:rFonts w:ascii="Times New Roman" w:hAnsi="Times New Roman"/>
          <w:sz w:val="24"/>
          <w:szCs w:val="24"/>
        </w:rPr>
        <w:t>. Trestné činy predstavujú kategóriu protiprávnych konaní, za ktoré pre ich vysokú spoločenskú škodlivosť hrozí závažná sankcia – trest, a preto je sankčný postih za tieto konania vyhradený výlučne nezávislej súdnej moci</w:t>
      </w:r>
      <w:r w:rsidRPr="00A53EE0" w:rsidR="005F3A9F">
        <w:rPr>
          <w:rFonts w:ascii="Times New Roman" w:hAnsi="Times New Roman"/>
          <w:sz w:val="24"/>
          <w:szCs w:val="24"/>
        </w:rPr>
        <w:t xml:space="preserve"> s</w:t>
      </w:r>
      <w:r w:rsidRPr="00A53EE0" w:rsidR="007F6072">
        <w:rPr>
          <w:rFonts w:ascii="Times New Roman" w:hAnsi="Times New Roman"/>
          <w:sz w:val="24"/>
          <w:szCs w:val="24"/>
        </w:rPr>
        <w:t xml:space="preserve"> ústavnou </w:t>
      </w:r>
      <w:r w:rsidRPr="00A53EE0" w:rsidR="005F3A9F">
        <w:rPr>
          <w:rFonts w:ascii="Times New Roman" w:hAnsi="Times New Roman"/>
          <w:sz w:val="24"/>
          <w:szCs w:val="24"/>
        </w:rPr>
        <w:t>garanciou procesných práv účastníkov konania</w:t>
      </w:r>
      <w:r w:rsidRPr="00A53EE0">
        <w:rPr>
          <w:rFonts w:ascii="Times New Roman" w:hAnsi="Times New Roman"/>
          <w:sz w:val="24"/>
          <w:szCs w:val="24"/>
        </w:rPr>
        <w:t xml:space="preserve">. Trestné činy sú ustanovené v osobitnej časti Trestného zákona. S prihliadnutím na čl. 50 ods. 1 Ústavy Slovenskej republiky je </w:t>
      </w:r>
      <w:r w:rsidRPr="00A53EE0" w:rsidR="007F6072">
        <w:rPr>
          <w:rFonts w:ascii="Times New Roman" w:hAnsi="Times New Roman"/>
          <w:sz w:val="24"/>
          <w:szCs w:val="24"/>
        </w:rPr>
        <w:t>p</w:t>
      </w:r>
      <w:r w:rsidRPr="00A53EE0">
        <w:rPr>
          <w:rFonts w:ascii="Times New Roman" w:hAnsi="Times New Roman"/>
          <w:sz w:val="24"/>
          <w:szCs w:val="24"/>
        </w:rPr>
        <w:t xml:space="preserve">reto pochybné prečo voliť iný prístup v prípade právnickej osoby a fyzickej osoby, ak ide o typologicky rovnaké protiprávne konanie, najmä ak konanie pred nezávislým a nestranným súdom poskytuje vyšší štandard právnej ochrany ako administratívne konanie. </w:t>
      </w:r>
    </w:p>
    <w:p w:rsidR="00914781" w:rsidRPr="00A53EE0" w:rsidP="00A53EE0">
      <w:pPr>
        <w:bidi w:val="0"/>
        <w:spacing w:after="0" w:line="240" w:lineRule="auto"/>
        <w:ind w:firstLine="708"/>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Ako je uvedené vyššie, riešenie trestnej zodpovednosti právnických osôb prostredníctvom administratívnej zodpovednosti by si vyžiadalo </w:t>
      </w:r>
      <w:r w:rsidRPr="00A53EE0" w:rsidR="005F3A9F">
        <w:rPr>
          <w:rFonts w:ascii="Times New Roman" w:hAnsi="Times New Roman"/>
          <w:sz w:val="24"/>
          <w:szCs w:val="24"/>
        </w:rPr>
        <w:t xml:space="preserve">potrebu </w:t>
      </w:r>
      <w:r w:rsidRPr="00A53EE0">
        <w:rPr>
          <w:rFonts w:ascii="Times New Roman" w:hAnsi="Times New Roman"/>
          <w:sz w:val="24"/>
          <w:szCs w:val="24"/>
        </w:rPr>
        <w:t>zavedeni</w:t>
      </w:r>
      <w:r w:rsidRPr="00A53EE0" w:rsidR="005F3A9F">
        <w:rPr>
          <w:rFonts w:ascii="Times New Roman" w:hAnsi="Times New Roman"/>
          <w:sz w:val="24"/>
          <w:szCs w:val="24"/>
        </w:rPr>
        <w:t>a</w:t>
      </w:r>
      <w:r w:rsidRPr="00A53EE0">
        <w:rPr>
          <w:rFonts w:ascii="Times New Roman" w:hAnsi="Times New Roman"/>
          <w:sz w:val="24"/>
          <w:szCs w:val="24"/>
        </w:rPr>
        <w:t xml:space="preserve"> nových skutkových podstát správnych deliktov (obsahovo totožných so skutkovými podstatami trestných činov), rovnako aj zavedenie novej procesnej úpravy, ktorá by nevyhnutne musela inkorporovať mnohé procesné inštitúty trestného konania (odloženie veci, právo na obhajobu, práva a povinnosti účastníkov konania vrátane obhajcov, predvolanie, predvedenie, výsluch, postavenie poškodeného vrátane jeho práva na náhradu škody, opravné konanie, výkon sankcií, právny styk s cudzinou a pod.). Trestný proces už pritom všetky uvedené inštitúty pozná a orgány činné v trestnom konaní sú na rozdiel od správnych orgánov zvyknuté ich efektívne využívať. Správne orgány by museli byť nevyhnutne vybavené takým katalógom práv a povinností ako v súčasnosti orgány činné v trestnom konaní. Zavedenie administratívnej zodpovednosti právnických osôb by súčasne </w:t>
      </w:r>
      <w:r w:rsidRPr="00A53EE0" w:rsidR="007F6072">
        <w:rPr>
          <w:rFonts w:ascii="Times New Roman" w:hAnsi="Times New Roman"/>
          <w:sz w:val="24"/>
          <w:szCs w:val="24"/>
        </w:rPr>
        <w:t xml:space="preserve">viedlo k limitom v rámci </w:t>
      </w:r>
      <w:r w:rsidRPr="00A53EE0">
        <w:rPr>
          <w:rFonts w:ascii="Times New Roman" w:hAnsi="Times New Roman"/>
          <w:sz w:val="24"/>
          <w:szCs w:val="24"/>
        </w:rPr>
        <w:t xml:space="preserve"> </w:t>
      </w:r>
      <w:r w:rsidRPr="00A53EE0" w:rsidR="007F6072">
        <w:rPr>
          <w:rFonts w:ascii="Times New Roman" w:hAnsi="Times New Roman"/>
          <w:sz w:val="24"/>
          <w:szCs w:val="24"/>
        </w:rPr>
        <w:t xml:space="preserve">plnenia záväzkov Slovenskej republiky v oblasti </w:t>
      </w:r>
      <w:r w:rsidRPr="00A53EE0">
        <w:rPr>
          <w:rFonts w:ascii="Times New Roman" w:hAnsi="Times New Roman"/>
          <w:sz w:val="24"/>
          <w:szCs w:val="24"/>
        </w:rPr>
        <w:t xml:space="preserve">medzinárodnej justičnej a policajnej spolupráce </w:t>
      </w:r>
      <w:r w:rsidRPr="00A53EE0" w:rsidR="007F6072">
        <w:rPr>
          <w:rFonts w:ascii="Times New Roman" w:hAnsi="Times New Roman"/>
          <w:sz w:val="24"/>
          <w:szCs w:val="24"/>
        </w:rPr>
        <w:t xml:space="preserve">v trestných veciach </w:t>
      </w:r>
      <w:r w:rsidRPr="00A53EE0">
        <w:rPr>
          <w:rFonts w:ascii="Times New Roman" w:hAnsi="Times New Roman"/>
          <w:sz w:val="24"/>
          <w:szCs w:val="24"/>
        </w:rPr>
        <w:t xml:space="preserve">a využívaní tých inštitútov a mechanizmov medzinárodnej spolupráce, ktoré možno využívať pri odhaľovaní závažných foriem trestnej činnosti. Tento záver platí rovnako aj pre </w:t>
      </w:r>
      <w:r w:rsidRPr="00A53EE0" w:rsidR="007F6072">
        <w:rPr>
          <w:rFonts w:ascii="Times New Roman" w:hAnsi="Times New Roman"/>
          <w:sz w:val="24"/>
          <w:szCs w:val="24"/>
        </w:rPr>
        <w:t>oblasť záväzkov týkajúcich sa uznávania</w:t>
      </w:r>
      <w:r w:rsidRPr="00A53EE0">
        <w:rPr>
          <w:rFonts w:ascii="Times New Roman" w:hAnsi="Times New Roman"/>
          <w:sz w:val="24"/>
          <w:szCs w:val="24"/>
        </w:rPr>
        <w:t xml:space="preserve"> a výkon</w:t>
      </w:r>
      <w:r w:rsidRPr="00A53EE0" w:rsidR="007F6072">
        <w:rPr>
          <w:rFonts w:ascii="Times New Roman" w:hAnsi="Times New Roman"/>
          <w:sz w:val="24"/>
          <w:szCs w:val="24"/>
        </w:rPr>
        <w:t>u</w:t>
      </w:r>
      <w:r w:rsidRPr="00A53EE0">
        <w:rPr>
          <w:rFonts w:ascii="Times New Roman" w:hAnsi="Times New Roman"/>
          <w:sz w:val="24"/>
          <w:szCs w:val="24"/>
        </w:rPr>
        <w:t xml:space="preserve"> cudzích  rozhodnutí </w:t>
      </w:r>
      <w:r w:rsidRPr="00A53EE0" w:rsidR="007F6072">
        <w:rPr>
          <w:rFonts w:ascii="Times New Roman" w:hAnsi="Times New Roman"/>
          <w:sz w:val="24"/>
          <w:szCs w:val="24"/>
        </w:rPr>
        <w:t xml:space="preserve">vydaných cudzími štátmi v trestnom konaní voči </w:t>
      </w:r>
      <w:r w:rsidRPr="00A53EE0">
        <w:rPr>
          <w:rFonts w:ascii="Times New Roman" w:hAnsi="Times New Roman"/>
          <w:sz w:val="24"/>
          <w:szCs w:val="24"/>
        </w:rPr>
        <w:t>právnick</w:t>
      </w:r>
      <w:r w:rsidRPr="00A53EE0" w:rsidR="007F6072">
        <w:rPr>
          <w:rFonts w:ascii="Times New Roman" w:hAnsi="Times New Roman"/>
          <w:sz w:val="24"/>
          <w:szCs w:val="24"/>
        </w:rPr>
        <w:t>ým osobám</w:t>
      </w:r>
      <w:r w:rsidRPr="00A53EE0">
        <w:rPr>
          <w:rFonts w:ascii="Times New Roman" w:hAnsi="Times New Roman"/>
          <w:sz w:val="24"/>
          <w:szCs w:val="24"/>
        </w:rPr>
        <w:t xml:space="preserve">.  </w:t>
      </w:r>
    </w:p>
    <w:p w:rsidR="00914781" w:rsidRPr="00A53EE0" w:rsidP="00A53EE0">
      <w:pPr>
        <w:bidi w:val="0"/>
        <w:spacing w:after="0" w:line="240" w:lineRule="auto"/>
        <w:ind w:firstLine="708"/>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Návrh zákona upravuje </w:t>
      </w:r>
      <w:r w:rsidRPr="00A53EE0" w:rsidR="00BF288A">
        <w:rPr>
          <w:rFonts w:ascii="Times New Roman" w:hAnsi="Times New Roman"/>
          <w:sz w:val="24"/>
          <w:szCs w:val="24"/>
        </w:rPr>
        <w:t>základy</w:t>
      </w:r>
      <w:r w:rsidRPr="00A53EE0">
        <w:rPr>
          <w:rFonts w:ascii="Times New Roman" w:hAnsi="Times New Roman"/>
          <w:sz w:val="24"/>
          <w:szCs w:val="24"/>
        </w:rPr>
        <w:t xml:space="preserve"> trestnej zodpovednosti právnických osôb, druh</w:t>
      </w:r>
      <w:r w:rsidRPr="00A53EE0" w:rsidR="00BF288A">
        <w:rPr>
          <w:rFonts w:ascii="Times New Roman" w:hAnsi="Times New Roman"/>
          <w:sz w:val="24"/>
          <w:szCs w:val="24"/>
        </w:rPr>
        <w:t xml:space="preserve">y trestov </w:t>
      </w:r>
      <w:r w:rsidRPr="00A53EE0">
        <w:rPr>
          <w:rFonts w:ascii="Times New Roman" w:hAnsi="Times New Roman"/>
          <w:sz w:val="24"/>
          <w:szCs w:val="24"/>
        </w:rPr>
        <w:t>ukladaných právnickým osobám a postup orgánov činných v trestnom konaní a</w:t>
      </w:r>
      <w:r w:rsidRPr="00A53EE0" w:rsidR="00BF288A">
        <w:rPr>
          <w:rFonts w:ascii="Times New Roman" w:hAnsi="Times New Roman"/>
          <w:sz w:val="24"/>
          <w:szCs w:val="24"/>
        </w:rPr>
        <w:t> </w:t>
      </w:r>
      <w:r w:rsidRPr="00A53EE0">
        <w:rPr>
          <w:rFonts w:ascii="Times New Roman" w:hAnsi="Times New Roman"/>
          <w:sz w:val="24"/>
          <w:szCs w:val="24"/>
        </w:rPr>
        <w:t>súdov</w:t>
      </w:r>
      <w:r w:rsidRPr="00A53EE0" w:rsidR="00BF288A">
        <w:rPr>
          <w:rFonts w:ascii="Times New Roman" w:hAnsi="Times New Roman"/>
          <w:sz w:val="24"/>
          <w:szCs w:val="24"/>
        </w:rPr>
        <w:t xml:space="preserve"> v trestnom konaní proti právnickým osobám.</w:t>
      </w:r>
    </w:p>
    <w:p w:rsidR="00914781" w:rsidRPr="00A53EE0" w:rsidP="00A53EE0">
      <w:pPr>
        <w:bidi w:val="0"/>
        <w:spacing w:after="0" w:line="240" w:lineRule="auto"/>
        <w:ind w:firstLine="708"/>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ďalších novelizačných článkoch sa navrhuje vykonanie novelizácie značného počtu súvisiacich zákonov. Tieto zmeny možno rozdeliť do troch skupín.</w:t>
      </w:r>
    </w:p>
    <w:p w:rsidR="00914781" w:rsidRPr="00A53EE0" w:rsidP="00A53EE0">
      <w:pPr>
        <w:bidi w:val="0"/>
        <w:spacing w:after="0" w:line="240" w:lineRule="auto"/>
        <w:ind w:firstLine="708"/>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Prvú skupinu novelizovaných predpisov predstavujú zákony, ktorých zmena reaguje primárne na zrušenie doterajšej právnej úpravy tzv. nepravej trestnej zodpovednosti právnických osôb a jej nahradenie novou právnou úpravou. Ide najmä o novelizáciu Trestného zákon</w:t>
      </w:r>
      <w:r w:rsidRPr="00A53EE0" w:rsidR="00177E4D">
        <w:rPr>
          <w:rFonts w:ascii="Times New Roman" w:hAnsi="Times New Roman"/>
          <w:sz w:val="24"/>
          <w:szCs w:val="24"/>
        </w:rPr>
        <w:t>a</w:t>
      </w:r>
      <w:r w:rsidRPr="00A53EE0">
        <w:rPr>
          <w:rFonts w:ascii="Times New Roman" w:hAnsi="Times New Roman"/>
          <w:sz w:val="24"/>
          <w:szCs w:val="24"/>
        </w:rPr>
        <w:t xml:space="preserve">, Trestného poriadku, zákona o registri trestov, zákona o konkurze a reštrukturalizácii, zákona o verejnom obstarávaní, zákona o rozpočtových pravidlách verejnej správy a zákon o rozpočtových pravidlách územnej samosprávy. </w:t>
      </w:r>
    </w:p>
    <w:p w:rsidR="00914781" w:rsidRPr="00A53EE0" w:rsidP="00A53EE0">
      <w:pPr>
        <w:bidi w:val="0"/>
        <w:spacing w:after="0" w:line="240" w:lineRule="auto"/>
        <w:ind w:firstLine="708"/>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Druhú skupinu predstavujú zákony, ktoré upravujú úradnú evidenciu zápisom do ktorej právnické osoby vznikajú. V tomto prípade sa novelizácie zameriavajú na rozšírenie údajov evidovaných o právnických osobách, a to o údaje o trestoch a ochranných opatreniach uložených v trestnom konaní právnickej osobe.</w:t>
      </w:r>
    </w:p>
    <w:p w:rsidR="00914781" w:rsidRPr="00A53EE0" w:rsidP="00A53EE0">
      <w:pPr>
        <w:bidi w:val="0"/>
        <w:spacing w:after="0" w:line="240" w:lineRule="auto"/>
        <w:ind w:firstLine="708"/>
        <w:jc w:val="both"/>
        <w:rPr>
          <w:rFonts w:ascii="Times New Roman" w:hAnsi="Times New Roman"/>
          <w:sz w:val="24"/>
          <w:szCs w:val="24"/>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Tretiu skupinu novelizovaných zákonov, ktorá je súčasne najpočetnejšia, predstavujú zákony, ktoré regulujú vydávanie povolení, licencií, či oprávnení na výkon rôznorodých špecializovaných činností, kde predpokladom udelenia povolenia (licencie, oprávnenia atď.) je preukázanie bezúhonnosti. Pre tieto zákony je charakteristické, že v prípade fyzických osôb, ktoré žiadajú o udelenie povolenia je ustanovená podmienka bezúhonnosti ako jedna z podmienok udelenia príslušného povolenia. V prípade právnických osôb, vzhľadom na v súčasnosti absentujúcu pravú trestnú zodpovednosť právnických osôb, sa podmienka bezúhonnosti spravidla vzťahuje len na fyzické osoby, ktoré sú štatutárnym orgánom právnickej osoby, prípadne členmi jej dozorných orgánov. Uvedený koncept zostáva návrhom zachovaný, pričom dochádza k rozšíreniu podmienky bezúhonnosti aj na právnickú osobu, ktorá je žiadateľom o vydanie príslušného povolenia.       </w:t>
      </w:r>
    </w:p>
    <w:p w:rsidR="00914781" w:rsidRPr="00A53EE0" w:rsidP="00A53EE0">
      <w:pPr>
        <w:bidi w:val="0"/>
        <w:spacing w:after="0" w:line="240" w:lineRule="auto"/>
        <w:ind w:firstLine="708"/>
        <w:jc w:val="both"/>
        <w:rPr>
          <w:rFonts w:ascii="Times New Roman" w:hAnsi="Times New Roman"/>
          <w:sz w:val="24"/>
          <w:szCs w:val="24"/>
        </w:rPr>
      </w:pPr>
    </w:p>
    <w:p w:rsidR="00914781" w:rsidRPr="00A53EE0" w:rsidP="00A53EE0">
      <w:pPr>
        <w:pStyle w:val="BodyText"/>
        <w:bidi w:val="0"/>
        <w:ind w:firstLine="708"/>
        <w:rPr>
          <w:rFonts w:ascii="Times New Roman" w:hAnsi="Times New Roman" w:cs="Times New Roman"/>
          <w:color w:val="000000" w:themeColor="tx1" w:themeShade="FF"/>
        </w:rPr>
      </w:pPr>
      <w:r w:rsidRPr="00A53EE0">
        <w:rPr>
          <w:rFonts w:ascii="Times New Roman" w:hAnsi="Times New Roman" w:cs="Times New Roman"/>
          <w:color w:val="000000" w:themeColor="tx1" w:themeShade="FF"/>
        </w:rPr>
        <w:t>Návrh zákona je v súlade s Ústavou, ústavnými zákonmi, medzinárodnými zmluvami, ktorými je Slovenská republika viazaná a </w:t>
      </w:r>
      <w:r w:rsidRPr="00A53EE0" w:rsidR="00583C8A">
        <w:rPr>
          <w:rFonts w:ascii="Times New Roman" w:hAnsi="Times New Roman" w:cs="Times New Roman"/>
          <w:color w:val="000000" w:themeColor="tx1" w:themeShade="FF"/>
        </w:rPr>
        <w:t>zákonmi a súčasne je v súlade s</w:t>
      </w:r>
      <w:r w:rsidRPr="00A53EE0">
        <w:rPr>
          <w:rFonts w:ascii="Times New Roman" w:hAnsi="Times New Roman" w:cs="Times New Roman"/>
          <w:color w:val="000000" w:themeColor="tx1" w:themeShade="FF"/>
        </w:rPr>
        <w:t> Európskej únie.</w:t>
      </w:r>
    </w:p>
    <w:p w:rsidR="00914781" w:rsidRPr="00A53EE0" w:rsidP="00A53EE0">
      <w:pPr>
        <w:pStyle w:val="BodyText"/>
        <w:bidi w:val="0"/>
        <w:ind w:firstLine="360"/>
        <w:rPr>
          <w:rFonts w:ascii="Times New Roman" w:hAnsi="Times New Roman" w:cs="Times New Roman"/>
          <w:color w:val="000000" w:themeColor="tx1" w:themeShade="FF"/>
        </w:rPr>
      </w:pPr>
    </w:p>
    <w:p w:rsidR="00914781"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color w:val="000000" w:themeColor="tx1" w:themeShade="FF"/>
          <w:sz w:val="24"/>
          <w:szCs w:val="24"/>
        </w:rPr>
        <w:t xml:space="preserve">Návrh zákona nebude mať vplyvy na životné prostredie a ani na informatizáciu spoločnosti. Vplyvy na </w:t>
      </w:r>
      <w:r w:rsidRPr="00A53EE0" w:rsidR="00575145">
        <w:rPr>
          <w:rFonts w:ascii="Times New Roman" w:hAnsi="Times New Roman"/>
          <w:color w:val="000000" w:themeColor="tx1" w:themeShade="FF"/>
          <w:sz w:val="24"/>
          <w:szCs w:val="24"/>
        </w:rPr>
        <w:t xml:space="preserve">rozpočet verejnej správy, </w:t>
      </w:r>
      <w:r w:rsidRPr="00A53EE0">
        <w:rPr>
          <w:rFonts w:ascii="Times New Roman" w:hAnsi="Times New Roman"/>
          <w:color w:val="000000" w:themeColor="tx1" w:themeShade="FF"/>
          <w:sz w:val="24"/>
          <w:szCs w:val="24"/>
        </w:rPr>
        <w:t>podnikateľské prostredie</w:t>
      </w:r>
      <w:r w:rsidRPr="00A53EE0" w:rsidR="00575145">
        <w:rPr>
          <w:rFonts w:ascii="Times New Roman" w:hAnsi="Times New Roman"/>
          <w:color w:val="000000" w:themeColor="tx1" w:themeShade="FF"/>
          <w:sz w:val="24"/>
          <w:szCs w:val="24"/>
        </w:rPr>
        <w:t xml:space="preserve"> a sociálne vplyvy</w:t>
      </w:r>
      <w:r w:rsidRPr="00A53EE0">
        <w:rPr>
          <w:rFonts w:ascii="Times New Roman" w:hAnsi="Times New Roman"/>
          <w:color w:val="000000" w:themeColor="tx1" w:themeShade="FF"/>
          <w:sz w:val="24"/>
          <w:szCs w:val="24"/>
        </w:rPr>
        <w:t xml:space="preserve"> sú popísané v </w:t>
      </w:r>
      <w:r w:rsidRPr="00A53EE0" w:rsidR="00575145">
        <w:rPr>
          <w:rFonts w:ascii="Times New Roman" w:hAnsi="Times New Roman"/>
          <w:color w:val="000000" w:themeColor="tx1" w:themeShade="FF"/>
          <w:sz w:val="24"/>
          <w:szCs w:val="24"/>
        </w:rPr>
        <w:t>doložke vybraných vplyvov a v príslušných prílohách</w:t>
      </w:r>
      <w:r w:rsidRPr="00A53EE0">
        <w:rPr>
          <w:rFonts w:ascii="Times New Roman" w:hAnsi="Times New Roman"/>
          <w:color w:val="000000" w:themeColor="tx1" w:themeShade="FF"/>
          <w:sz w:val="24"/>
          <w:szCs w:val="24"/>
        </w:rPr>
        <w:t>.</w:t>
      </w:r>
    </w:p>
    <w:p w:rsidR="00D21F83" w:rsidRPr="00A53EE0" w:rsidP="00A53EE0">
      <w:pPr>
        <w:bidi w:val="0"/>
        <w:spacing w:after="0" w:line="240" w:lineRule="auto"/>
        <w:jc w:val="both"/>
        <w:rPr>
          <w:rFonts w:ascii="Times New Roman" w:hAnsi="Times New Roman"/>
          <w:color w:val="000000"/>
          <w:sz w:val="24"/>
          <w:szCs w:val="24"/>
        </w:rPr>
      </w:pPr>
    </w:p>
    <w:p w:rsidR="00D21F83" w:rsidRPr="00A53EE0" w:rsidP="00A53EE0">
      <w:pPr>
        <w:bidi w:val="0"/>
        <w:spacing w:after="0" w:line="240" w:lineRule="auto"/>
        <w:jc w:val="both"/>
        <w:rPr>
          <w:rFonts w:ascii="Times New Roman" w:hAnsi="Times New Roman"/>
          <w:color w:val="000000"/>
          <w:sz w:val="24"/>
          <w:szCs w:val="24"/>
        </w:rPr>
      </w:pPr>
    </w:p>
    <w:p w:rsidR="00D21F83" w:rsidRPr="00A53EE0" w:rsidP="00A53EE0">
      <w:pPr>
        <w:bidi w:val="0"/>
        <w:spacing w:after="0" w:line="240" w:lineRule="auto"/>
        <w:jc w:val="both"/>
        <w:rPr>
          <w:rFonts w:ascii="Times New Roman" w:hAnsi="Times New Roman"/>
          <w:color w:val="000000"/>
          <w:sz w:val="24"/>
          <w:szCs w:val="24"/>
        </w:rPr>
      </w:pPr>
    </w:p>
    <w:p w:rsidR="00DC0CAC">
      <w:pPr>
        <w:bidi w:val="0"/>
        <w:rPr>
          <w:rFonts w:ascii="Times New Roman" w:hAnsi="Times New Roman"/>
          <w:b/>
          <w:caps/>
          <w:spacing w:val="30"/>
          <w:sz w:val="24"/>
          <w:szCs w:val="24"/>
        </w:rPr>
      </w:pPr>
      <w:r>
        <w:rPr>
          <w:rFonts w:ascii="Times New Roman" w:hAnsi="Times New Roman"/>
          <w:b/>
          <w:caps/>
          <w:spacing w:val="30"/>
          <w:sz w:val="24"/>
          <w:szCs w:val="24"/>
        </w:rPr>
        <w:br w:type="page"/>
      </w:r>
    </w:p>
    <w:p w:rsidR="00D21F83" w:rsidRPr="00A53EE0" w:rsidP="00A53EE0">
      <w:pPr>
        <w:bidi w:val="0"/>
        <w:spacing w:after="0" w:line="240" w:lineRule="auto"/>
        <w:jc w:val="center"/>
        <w:rPr>
          <w:rFonts w:ascii="Times New Roman" w:hAnsi="Times New Roman"/>
          <w:sz w:val="24"/>
          <w:szCs w:val="24"/>
        </w:rPr>
      </w:pPr>
      <w:r w:rsidRPr="00A53EE0">
        <w:rPr>
          <w:rFonts w:ascii="Times New Roman" w:hAnsi="Times New Roman"/>
          <w:b/>
          <w:caps/>
          <w:spacing w:val="30"/>
          <w:sz w:val="24"/>
          <w:szCs w:val="24"/>
        </w:rPr>
        <w:t>Doložka zlučiteľnosti</w:t>
      </w:r>
    </w:p>
    <w:p w:rsidR="00D21F83" w:rsidRPr="00A53EE0" w:rsidP="00A53EE0">
      <w:pPr>
        <w:bidi w:val="0"/>
        <w:spacing w:after="0" w:line="240" w:lineRule="auto"/>
        <w:jc w:val="center"/>
        <w:rPr>
          <w:rFonts w:ascii="Times New Roman" w:hAnsi="Times New Roman"/>
          <w:b/>
          <w:sz w:val="24"/>
          <w:szCs w:val="24"/>
        </w:rPr>
      </w:pPr>
      <w:r w:rsidRPr="00A53EE0">
        <w:rPr>
          <w:rFonts w:ascii="Times New Roman" w:hAnsi="Times New Roman"/>
          <w:b/>
          <w:sz w:val="24"/>
          <w:szCs w:val="24"/>
        </w:rPr>
        <w:t>návrhu zákona s právom Európskej únie</w:t>
      </w:r>
    </w:p>
    <w:p w:rsidR="00D21F83"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w:t>
      </w:r>
    </w:p>
    <w:p w:rsidR="00D21F83" w:rsidRPr="00A53EE0" w:rsidP="00A53EE0">
      <w:pPr>
        <w:bidi w:val="0"/>
        <w:spacing w:after="0" w:line="240" w:lineRule="auto"/>
        <w:jc w:val="both"/>
        <w:rPr>
          <w:rFonts w:ascii="Times New Roman" w:hAnsi="Times New Roman"/>
          <w:sz w:val="24"/>
          <w:szCs w:val="24"/>
        </w:rPr>
      </w:pPr>
    </w:p>
    <w:p w:rsidR="00D21F83" w:rsidRPr="00A53EE0" w:rsidP="00A53EE0">
      <w:pPr>
        <w:numPr>
          <w:numId w:val="5"/>
        </w:num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Predkladateľ návrhu zákona: </w:t>
      </w:r>
      <w:r w:rsidRPr="00A53EE0">
        <w:rPr>
          <w:rFonts w:ascii="Times New Roman" w:hAnsi="Times New Roman"/>
          <w:sz w:val="24"/>
          <w:szCs w:val="24"/>
        </w:rPr>
        <w:t>vláda Slovenskej republiky</w:t>
      </w:r>
    </w:p>
    <w:p w:rsidR="00D21F83" w:rsidRPr="00A53EE0" w:rsidP="00A53EE0">
      <w:pPr>
        <w:bidi w:val="0"/>
        <w:spacing w:after="0" w:line="240" w:lineRule="auto"/>
        <w:jc w:val="both"/>
        <w:rPr>
          <w:rFonts w:ascii="Times New Roman" w:hAnsi="Times New Roman"/>
          <w:sz w:val="24"/>
          <w:szCs w:val="24"/>
        </w:rPr>
      </w:pPr>
    </w:p>
    <w:p w:rsidR="00D21F83" w:rsidRPr="00A53EE0" w:rsidP="00A53EE0">
      <w:pPr>
        <w:numPr>
          <w:numId w:val="5"/>
        </w:numPr>
        <w:bidi w:val="0"/>
        <w:spacing w:after="0" w:line="240" w:lineRule="auto"/>
        <w:jc w:val="both"/>
        <w:rPr>
          <w:rFonts w:ascii="Times New Roman" w:hAnsi="Times New Roman"/>
          <w:sz w:val="24"/>
          <w:szCs w:val="24"/>
        </w:rPr>
      </w:pPr>
      <w:r w:rsidRPr="00A53EE0">
        <w:rPr>
          <w:rFonts w:ascii="Times New Roman" w:hAnsi="Times New Roman"/>
          <w:b/>
          <w:sz w:val="24"/>
          <w:szCs w:val="24"/>
        </w:rPr>
        <w:t xml:space="preserve">Názov návrhu zákona: </w:t>
      </w:r>
      <w:r w:rsidRPr="00A53EE0">
        <w:rPr>
          <w:rFonts w:ascii="Times New Roman" w:hAnsi="Times New Roman"/>
          <w:sz w:val="24"/>
          <w:szCs w:val="24"/>
        </w:rPr>
        <w:t>návrh zákona o trestnej zodpovednosti právnických osôb a o zmene a doplnení niektorých zákonov</w:t>
      </w:r>
    </w:p>
    <w:p w:rsidR="00D21F83" w:rsidRPr="00A53EE0" w:rsidP="00A53EE0">
      <w:pPr>
        <w:bidi w:val="0"/>
        <w:spacing w:after="0" w:line="240" w:lineRule="auto"/>
        <w:ind w:left="720"/>
        <w:jc w:val="both"/>
        <w:rPr>
          <w:rFonts w:ascii="Times New Roman" w:hAnsi="Times New Roman"/>
          <w:sz w:val="24"/>
          <w:szCs w:val="24"/>
        </w:rPr>
      </w:pPr>
    </w:p>
    <w:p w:rsidR="00D21F83" w:rsidRPr="00A53EE0" w:rsidP="00A53EE0">
      <w:pPr>
        <w:numPr>
          <w:numId w:val="5"/>
        </w:num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Problematika návrhu zákona: </w:t>
      </w:r>
    </w:p>
    <w:p w:rsidR="00D21F83"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w:t>
      </w:r>
    </w:p>
    <w:p w:rsidR="00D21F83" w:rsidRPr="00A53EE0" w:rsidP="00A53EE0">
      <w:pPr>
        <w:numPr>
          <w:numId w:val="6"/>
        </w:numPr>
        <w:bidi w:val="0"/>
        <w:spacing w:after="0" w:line="240" w:lineRule="auto"/>
        <w:jc w:val="both"/>
        <w:rPr>
          <w:rFonts w:ascii="Times New Roman" w:hAnsi="Times New Roman"/>
          <w:sz w:val="24"/>
          <w:szCs w:val="24"/>
        </w:rPr>
      </w:pPr>
      <w:r w:rsidRPr="00A53EE0">
        <w:rPr>
          <w:rFonts w:ascii="Times New Roman" w:hAnsi="Times New Roman"/>
          <w:sz w:val="24"/>
          <w:szCs w:val="24"/>
        </w:rPr>
        <w:t>je upravená v práve Európskej únie:</w:t>
      </w:r>
    </w:p>
    <w:p w:rsidR="00D21F83" w:rsidRPr="00A53EE0" w:rsidP="00A53EE0">
      <w:pPr>
        <w:bidi w:val="0"/>
        <w:spacing w:after="0" w:line="240" w:lineRule="auto"/>
        <w:jc w:val="both"/>
        <w:rPr>
          <w:rFonts w:ascii="Times New Roman" w:hAnsi="Times New Roman"/>
          <w:sz w:val="24"/>
          <w:szCs w:val="24"/>
        </w:rPr>
      </w:pPr>
    </w:p>
    <w:p w:rsidR="00D21F83" w:rsidRPr="00A53EE0" w:rsidP="00A53EE0">
      <w:pPr>
        <w:bidi w:val="0"/>
        <w:spacing w:after="0" w:line="240" w:lineRule="auto"/>
        <w:ind w:firstLine="708"/>
        <w:jc w:val="both"/>
        <w:rPr>
          <w:rFonts w:ascii="Times New Roman" w:hAnsi="Times New Roman"/>
          <w:i/>
          <w:sz w:val="24"/>
          <w:szCs w:val="24"/>
        </w:rPr>
      </w:pPr>
      <w:r w:rsidRPr="00A53EE0">
        <w:rPr>
          <w:rFonts w:ascii="Times New Roman" w:hAnsi="Times New Roman"/>
          <w:i/>
          <w:sz w:val="24"/>
          <w:szCs w:val="24"/>
        </w:rPr>
        <w:t xml:space="preserve">- v primárnom </w:t>
      </w:r>
    </w:p>
    <w:p w:rsidR="00D21F83" w:rsidRPr="00A53EE0" w:rsidP="00A53EE0">
      <w:pPr>
        <w:bidi w:val="0"/>
        <w:spacing w:after="0" w:line="240" w:lineRule="auto"/>
        <w:jc w:val="both"/>
        <w:rPr>
          <w:rFonts w:ascii="Times New Roman" w:hAnsi="Times New Roman"/>
          <w:sz w:val="24"/>
          <w:szCs w:val="24"/>
        </w:rPr>
      </w:pPr>
    </w:p>
    <w:p w:rsidR="00D21F83" w:rsidRPr="00A53EE0" w:rsidP="00A53EE0">
      <w:pPr>
        <w:pStyle w:val="ListBullet2"/>
        <w:bidi w:val="0"/>
        <w:rPr>
          <w:rFonts w:ascii="Times New Roman" w:hAnsi="Times New Roman"/>
          <w:szCs w:val="24"/>
        </w:rPr>
      </w:pPr>
      <w:r w:rsidRPr="00A53EE0">
        <w:rPr>
          <w:rFonts w:ascii="Times New Roman" w:hAnsi="Times New Roman"/>
          <w:szCs w:val="24"/>
        </w:rPr>
        <w:t>Hlava VI Zmluvy o Európskej únii – „Ustanovenia o policajnej a justičnej spolupráci“</w:t>
      </w:r>
    </w:p>
    <w:p w:rsidR="00D21F83" w:rsidRPr="00A53EE0" w:rsidP="00A53EE0">
      <w:pPr>
        <w:pStyle w:val="ListBullet2"/>
        <w:bidi w:val="0"/>
        <w:rPr>
          <w:rFonts w:ascii="Times New Roman" w:hAnsi="Times New Roman"/>
          <w:szCs w:val="24"/>
        </w:rPr>
      </w:pPr>
    </w:p>
    <w:p w:rsidR="00D21F83" w:rsidRPr="00A53EE0" w:rsidP="00A53EE0">
      <w:pPr>
        <w:widowControl w:val="0"/>
        <w:numPr>
          <w:numId w:val="8"/>
        </w:numPr>
        <w:tabs>
          <w:tab w:val="left" w:pos="1068"/>
        </w:tabs>
        <w:bidi w:val="0"/>
        <w:adjustRightInd w:val="0"/>
        <w:spacing w:after="0" w:line="240" w:lineRule="auto"/>
        <w:jc w:val="both"/>
        <w:rPr>
          <w:rFonts w:ascii="Times New Roman" w:hAnsi="Times New Roman"/>
          <w:i/>
          <w:iCs/>
          <w:sz w:val="24"/>
          <w:szCs w:val="24"/>
        </w:rPr>
      </w:pPr>
      <w:r w:rsidRPr="00A53EE0">
        <w:rPr>
          <w:rFonts w:ascii="Times New Roman" w:hAnsi="Times New Roman"/>
          <w:i/>
          <w:sz w:val="24"/>
          <w:szCs w:val="24"/>
        </w:rPr>
        <w:t xml:space="preserve">v sekundárnom </w:t>
      </w:r>
      <w:r w:rsidRPr="00A53EE0">
        <w:rPr>
          <w:rFonts w:ascii="Times New Roman" w:hAnsi="Times New Roman"/>
          <w:i/>
          <w:iCs/>
          <w:sz w:val="24"/>
          <w:szCs w:val="24"/>
        </w:rPr>
        <w:t>(prijatom po nadobudnutím platnosti Lisabonskej zmluvy, ktorou sa mení a dopĺňa Zmluva o Európskom spoločenstve a Zmluva o Európskej únii – po 30. novembri 2009)</w:t>
      </w:r>
    </w:p>
    <w:p w:rsidR="00D21F83" w:rsidRPr="00A53EE0" w:rsidP="00A53EE0">
      <w:pPr>
        <w:tabs>
          <w:tab w:val="left" w:pos="1068"/>
        </w:tabs>
        <w:bidi w:val="0"/>
        <w:spacing w:after="0" w:line="240" w:lineRule="auto"/>
        <w:ind w:left="879" w:hanging="171"/>
        <w:rPr>
          <w:rFonts w:ascii="Times New Roman" w:hAnsi="Times New Roman"/>
          <w:i/>
          <w:iCs/>
          <w:sz w:val="24"/>
          <w:szCs w:val="24"/>
        </w:rPr>
      </w:pPr>
    </w:p>
    <w:p w:rsidR="00D21F83" w:rsidRPr="00A53EE0" w:rsidP="00A53EE0">
      <w:pPr>
        <w:widowControl w:val="0"/>
        <w:numPr>
          <w:numId w:val="9"/>
        </w:numPr>
        <w:bidi w:val="0"/>
        <w:adjustRightInd w:val="0"/>
        <w:spacing w:after="0" w:line="240" w:lineRule="auto"/>
        <w:rPr>
          <w:rFonts w:ascii="Times New Roman" w:hAnsi="Times New Roman"/>
          <w:i/>
          <w:sz w:val="24"/>
          <w:szCs w:val="24"/>
        </w:rPr>
      </w:pPr>
      <w:r w:rsidRPr="00A53EE0">
        <w:rPr>
          <w:rFonts w:ascii="Times New Roman" w:hAnsi="Times New Roman"/>
          <w:sz w:val="24"/>
          <w:szCs w:val="24"/>
        </w:rPr>
        <w:t xml:space="preserve">legislatívne akty </w:t>
      </w:r>
    </w:p>
    <w:p w:rsidR="00D21F83" w:rsidRPr="00A53EE0" w:rsidP="00A53EE0">
      <w:pPr>
        <w:bidi w:val="0"/>
        <w:spacing w:after="0" w:line="240" w:lineRule="auto"/>
        <w:ind w:left="851"/>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 xml:space="preserve">Smernica Európskeho parlamentu a Rady 2011/36/EÚ z 5. apríla 2011 o prevencii obchodovania s ľuďmi a boji proti nemu a o ochrane obetí obchodovania, ktorou sa nahrádza rámcové rozhodnutie Rady 2002/629/SVV (Ú. v. EÚ L 101, 15.4. 2011) </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2011/93/EÚ z 13. decembra 2011 o boji proti sexuálnemu zneužívaniu a sexuálnemu vykorisťovaniu detí a proti detskej pornografii, ktorou sa nahrádza rámcové rozhodnutie Rady 2004/68/SVV (Ú. v EÚ L 335, 17.12.2011)</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2013/40/EÚ z 12. augusta 2013 o útokoch na informačné systémy, ktorou sa nahrádza rámcové rozhodnutie Rady 2005/222/SVV (Ú. v. EÚ L 218, 14.8.2013)</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2013/40/EÚ z 12. augusta 2013 o útokoch na informačné systémy, ktorou sa nahrádza rámcové rozhodnutie Rady 2005/222/SVV (Ú. v. EÚ L 218, 14.8.2013)</w:t>
      </w:r>
    </w:p>
    <w:p w:rsidR="00D21F83" w:rsidRPr="00A53EE0" w:rsidP="00A53EE0">
      <w:pPr>
        <w:bidi w:val="0"/>
        <w:spacing w:after="0" w:line="240" w:lineRule="auto"/>
        <w:ind w:left="851"/>
        <w:rPr>
          <w:rFonts w:ascii="Times New Roman" w:hAnsi="Times New Roman"/>
          <w:sz w:val="24"/>
          <w:szCs w:val="24"/>
        </w:rPr>
      </w:pPr>
    </w:p>
    <w:p w:rsidR="00D21F83" w:rsidRPr="00A53EE0" w:rsidP="00A53EE0">
      <w:pPr>
        <w:numPr>
          <w:numId w:val="9"/>
        </w:numPr>
        <w:bidi w:val="0"/>
        <w:adjustRightInd w:val="0"/>
        <w:spacing w:after="0" w:line="240" w:lineRule="auto"/>
        <w:jc w:val="both"/>
        <w:rPr>
          <w:rFonts w:ascii="Times New Roman" w:hAnsi="Times New Roman"/>
          <w:i/>
          <w:sz w:val="24"/>
          <w:szCs w:val="24"/>
        </w:rPr>
      </w:pPr>
      <w:r w:rsidRPr="00A53EE0">
        <w:rPr>
          <w:rFonts w:ascii="Times New Roman" w:hAnsi="Times New Roman"/>
          <w:sz w:val="24"/>
          <w:szCs w:val="24"/>
        </w:rPr>
        <w:t>nelegislatívne akty</w:t>
      </w:r>
    </w:p>
    <w:p w:rsidR="00D21F83" w:rsidRPr="00A53EE0" w:rsidP="00A53EE0">
      <w:pPr>
        <w:bidi w:val="0"/>
        <w:spacing w:after="0" w:line="240" w:lineRule="auto"/>
        <w:ind w:firstLine="708"/>
        <w:jc w:val="both"/>
        <w:rPr>
          <w:rFonts w:ascii="Times New Roman" w:hAnsi="Times New Roman"/>
          <w:i/>
          <w:sz w:val="24"/>
          <w:szCs w:val="24"/>
        </w:rPr>
      </w:pPr>
    </w:p>
    <w:p w:rsidR="00D21F83" w:rsidRPr="00A53EE0" w:rsidP="00A53EE0">
      <w:pPr>
        <w:numPr>
          <w:numId w:val="8"/>
        </w:numPr>
        <w:tabs>
          <w:tab w:val="left" w:pos="1068"/>
        </w:tabs>
        <w:bidi w:val="0"/>
        <w:adjustRightInd w:val="0"/>
        <w:spacing w:after="0" w:line="240" w:lineRule="auto"/>
        <w:jc w:val="both"/>
        <w:rPr>
          <w:rFonts w:ascii="Times New Roman" w:hAnsi="Times New Roman"/>
          <w:i/>
          <w:sz w:val="24"/>
          <w:szCs w:val="24"/>
        </w:rPr>
      </w:pPr>
      <w:r w:rsidRPr="00A53EE0">
        <w:rPr>
          <w:rFonts w:ascii="Times New Roman" w:hAnsi="Times New Roman"/>
          <w:i/>
          <w:sz w:val="24"/>
          <w:szCs w:val="24"/>
        </w:rPr>
        <w:t>sekundárnom (prijatom pred nadobudnutím platnosti Lisabonskej zmluvy, ktorou sa mení a dopĺňa Zmluva o Európskom spoločenstve a Zmluva o Európskej únii – do 30. novembra 2009)</w:t>
      </w:r>
    </w:p>
    <w:p w:rsidR="00D21F83" w:rsidRPr="00A53EE0" w:rsidP="00A53EE0">
      <w:pPr>
        <w:bidi w:val="0"/>
        <w:spacing w:after="0" w:line="240" w:lineRule="auto"/>
        <w:jc w:val="both"/>
        <w:rPr>
          <w:rFonts w:ascii="Times New Roman" w:hAnsi="Times New Roman"/>
          <w:sz w:val="24"/>
          <w:szCs w:val="24"/>
        </w:rPr>
      </w:pPr>
    </w:p>
    <w:p w:rsidR="00D21F83" w:rsidRPr="00A53EE0" w:rsidP="00A53EE0">
      <w:pPr>
        <w:pStyle w:val="ListBullet2"/>
        <w:bidi w:val="0"/>
        <w:rPr>
          <w:rFonts w:ascii="Times New Roman" w:hAnsi="Times New Roman"/>
          <w:szCs w:val="24"/>
        </w:rPr>
      </w:pPr>
      <w:r w:rsidRPr="00A53EE0">
        <w:rPr>
          <w:rFonts w:ascii="Times New Roman" w:hAnsi="Times New Roman"/>
          <w:szCs w:val="24"/>
        </w:rPr>
        <w:t>Dohovor vypracovaný na základe článku K.3 Zmluvy o Európskej únii o ochrane finančných záujmov Európskych spoločenstiev z 27.11.1995</w:t>
      </w:r>
    </w:p>
    <w:p w:rsidR="00D21F83" w:rsidRPr="00A53EE0" w:rsidP="00A53EE0">
      <w:pPr>
        <w:bidi w:val="0"/>
        <w:spacing w:after="0" w:line="240" w:lineRule="auto"/>
        <w:ind w:left="1410"/>
        <w:jc w:val="both"/>
        <w:rPr>
          <w:rFonts w:ascii="Times New Roman" w:hAnsi="Times New Roman"/>
          <w:sz w:val="24"/>
          <w:szCs w:val="24"/>
        </w:rPr>
      </w:pPr>
      <w:r w:rsidRPr="00A53EE0">
        <w:rPr>
          <w:rFonts w:ascii="Times New Roman" w:hAnsi="Times New Roman"/>
          <w:sz w:val="24"/>
          <w:szCs w:val="24"/>
        </w:rPr>
        <w:t>Druhý protokol vyhotovený na základe článku K.3 Zmluvy o Európskej únii k Dohovoru o ochrane finančných záujmov Európskych spoločenstiev prijatý  19. júna 1997 v Bruseli</w:t>
      </w:r>
    </w:p>
    <w:p w:rsidR="00D21F83" w:rsidRPr="00A53EE0" w:rsidP="00A53EE0">
      <w:pPr>
        <w:pStyle w:val="ListBullet2"/>
        <w:bidi w:val="0"/>
        <w:rPr>
          <w:rFonts w:ascii="Times New Roman" w:hAnsi="Times New Roman"/>
          <w:szCs w:val="24"/>
        </w:rPr>
      </w:pPr>
    </w:p>
    <w:p w:rsidR="00D21F83" w:rsidRPr="00A53EE0" w:rsidP="00A53EE0">
      <w:pPr>
        <w:pStyle w:val="ListBullet2"/>
        <w:bidi w:val="0"/>
        <w:rPr>
          <w:rFonts w:ascii="Times New Roman" w:hAnsi="Times New Roman"/>
          <w:szCs w:val="24"/>
        </w:rPr>
      </w:pPr>
      <w:r w:rsidRPr="00A53EE0">
        <w:rPr>
          <w:rFonts w:ascii="Times New Roman" w:hAnsi="Times New Roman"/>
          <w:szCs w:val="24"/>
        </w:rPr>
        <w:t>Dohovor z 25.6.1997 na základe čl. K3 Zmluvy o EÚ o boji proti úplatkárstvu, na ktorom sa podieľajú úradníci ES alebo členských štátov EÚ</w:t>
      </w:r>
    </w:p>
    <w:p w:rsidR="00D21F83" w:rsidRPr="00A53EE0" w:rsidP="00A53EE0">
      <w:pPr>
        <w:pStyle w:val="ListBullet2"/>
        <w:bidi w:val="0"/>
        <w:rPr>
          <w:rFonts w:ascii="Times New Roman" w:hAnsi="Times New Roman"/>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2001/413/SVV z 28. mája 2001 o boji proti podvodom a falšovaniu bezhotovostných platobných prostriedkov, (Ú. v. ES L 149, 2.6.2001)</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2002/475/SVV z 13. júna 2002 o boji proti terorizmu (Ú. v. ES L 164, 22.6.2002)</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2002/946/SVV z 28. novembra 2002 o posilnení trestného systému na zabránenie napomáhania neoprávneného vstupu, tranzitu a bydliska (Ú. v. ES L 328, 5.12.2002)</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2003/568/SVV z 22. júla 2003 o boji proti korupcii v súkromnom sektore (Ú. v. EÚ L 192, 31.7.2003)</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2004/757/SVV z 25. októbra 2004, ktorým sa ustanovujú minimálne ustanovenia o znakoch skutkových podstát trestných činov a trestov v oblasti nezákonného obchodu s drogami (Ú. v. EÚ L 335, 11.11.2004)</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2005/35/ES zo 7. septembra 2005 o znečisťovaní mora z lodí a o zavedení sankcií za porušenia (Ú. v. EÚ L 255, 30.9.2005) v znení smernice Európskeho parlamentu a Rady 2009/123/ES z 21. októbra 2009 (Ú. v. EÚ L 280, 27.10.2009)</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2008/99/ES z 19. novembra 2008 o ochrane životného prostredia prostredníctvom trestného práva (Ú. v. EÚ L 328, 6.12.2008)</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2008/841/SVV z  24. októbra 2008 o boji proti organizovanému zločinu (Ú. v. EÚ L 300, 11.11.2008)</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2008/913/SVV z 28. novembra 2008 o boji proti niektorým formám a prejavom rasizmu a xenofóbie prostredníctvom trestného práva (Ú. v. EÚ L 328, 6.12.2008)</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2009/52/ES z 18. júna 2009, ktorou sa stanovujú minimálne normy pre sankcie a opatrenia voči zamestnávateľom štátnych príslušníkov tretích krajín, ktorí sa neoprávnene zdržiavajú na území členských štátov (Ú. v. EÚ L 168, 30.6.2009)</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numPr>
          <w:numId w:val="6"/>
        </w:numPr>
        <w:bidi w:val="0"/>
        <w:spacing w:after="0" w:line="240" w:lineRule="auto"/>
        <w:jc w:val="both"/>
        <w:rPr>
          <w:rFonts w:ascii="Times New Roman" w:hAnsi="Times New Roman"/>
          <w:sz w:val="24"/>
          <w:szCs w:val="24"/>
        </w:rPr>
      </w:pPr>
      <w:r w:rsidRPr="00A53EE0">
        <w:rPr>
          <w:rFonts w:ascii="Times New Roman" w:hAnsi="Times New Roman"/>
          <w:sz w:val="24"/>
          <w:szCs w:val="24"/>
        </w:rPr>
        <w:t>nie je obsiahnutá v judikatúre Súdneho dvora Európskej únie.</w:t>
      </w:r>
    </w:p>
    <w:p w:rsidR="00D21F83"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w:t>
      </w:r>
    </w:p>
    <w:p w:rsidR="00D21F83" w:rsidRPr="00A53EE0" w:rsidP="00A53EE0">
      <w:pPr>
        <w:bidi w:val="0"/>
        <w:spacing w:after="0" w:line="240" w:lineRule="auto"/>
        <w:jc w:val="both"/>
        <w:rPr>
          <w:rFonts w:ascii="Times New Roman" w:hAnsi="Times New Roman"/>
          <w:sz w:val="24"/>
          <w:szCs w:val="24"/>
        </w:rPr>
      </w:pPr>
    </w:p>
    <w:p w:rsidR="00D21F83" w:rsidRPr="00A53EE0" w:rsidP="00A53EE0">
      <w:pPr>
        <w:numPr>
          <w:numId w:val="5"/>
        </w:numPr>
        <w:bidi w:val="0"/>
        <w:spacing w:after="0" w:line="240" w:lineRule="auto"/>
        <w:jc w:val="both"/>
        <w:rPr>
          <w:rFonts w:ascii="Times New Roman" w:hAnsi="Times New Roman"/>
          <w:b/>
          <w:sz w:val="24"/>
          <w:szCs w:val="24"/>
        </w:rPr>
      </w:pPr>
      <w:r w:rsidRPr="00A53EE0">
        <w:rPr>
          <w:rFonts w:ascii="Times New Roman" w:hAnsi="Times New Roman"/>
          <w:b/>
          <w:sz w:val="24"/>
          <w:szCs w:val="24"/>
        </w:rPr>
        <w:t>Záväzky Slovenskej republiky vo vzťahu k Európskej únii:</w:t>
      </w:r>
    </w:p>
    <w:p w:rsidR="00D21F83" w:rsidRPr="00A53EE0" w:rsidP="00A53EE0">
      <w:pPr>
        <w:bidi w:val="0"/>
        <w:spacing w:after="0" w:line="240" w:lineRule="auto"/>
        <w:jc w:val="both"/>
        <w:rPr>
          <w:rFonts w:ascii="Times New Roman" w:hAnsi="Times New Roman"/>
          <w:sz w:val="24"/>
          <w:szCs w:val="24"/>
        </w:rPr>
      </w:pPr>
    </w:p>
    <w:p w:rsidR="00D21F83" w:rsidRPr="00A53EE0" w:rsidP="00A53EE0">
      <w:pPr>
        <w:numPr>
          <w:numId w:val="7"/>
        </w:numPr>
        <w:bidi w:val="0"/>
        <w:spacing w:after="0" w:line="240" w:lineRule="auto"/>
        <w:jc w:val="both"/>
        <w:rPr>
          <w:rFonts w:ascii="Times New Roman" w:hAnsi="Times New Roman"/>
          <w:sz w:val="24"/>
          <w:szCs w:val="24"/>
        </w:rPr>
      </w:pPr>
      <w:r w:rsidRPr="00A53EE0">
        <w:rPr>
          <w:rFonts w:ascii="Times New Roman" w:hAnsi="Times New Roman"/>
          <w:sz w:val="24"/>
          <w:szCs w:val="24"/>
        </w:rPr>
        <w:t>lehota na prebratie smernice alebo lehota na implementáciu nariadenia alebo rozhodnutia</w:t>
      </w:r>
    </w:p>
    <w:p w:rsidR="00D21F83" w:rsidRPr="00A53EE0" w:rsidP="00A53EE0">
      <w:pPr>
        <w:bidi w:val="0"/>
        <w:spacing w:after="0" w:line="240" w:lineRule="auto"/>
        <w:ind w:left="720"/>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2001/413/SVV z 28. mája 2001 o boji proti podvodom a falšovaniu bezhotovostných platobných prostriedkov (Ú. v. ES L 149, 2.6.2001)</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pStyle w:val="ListParagraph"/>
        <w:bidi w:val="0"/>
        <w:spacing w:after="0" w:line="240" w:lineRule="auto"/>
        <w:ind w:left="1239"/>
        <w:jc w:val="both"/>
        <w:rPr>
          <w:rFonts w:ascii="Times New Roman" w:hAnsi="Times New Roman"/>
          <w:i/>
          <w:sz w:val="24"/>
          <w:szCs w:val="24"/>
        </w:rPr>
      </w:pPr>
      <w:r w:rsidRPr="00A53EE0">
        <w:rPr>
          <w:rFonts w:ascii="Times New Roman" w:hAnsi="Times New Roman"/>
          <w:i/>
          <w:sz w:val="24"/>
          <w:szCs w:val="24"/>
        </w:rPr>
        <w:tab/>
        <w:t>2. júna 2003</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 xml:space="preserve">Rámcové rozhodnutie Rady 2002/475/SVV z 13. </w:t>
      </w:r>
      <w:bookmarkStart w:id="0" w:name="_GoBack"/>
      <w:bookmarkEnd w:id="0"/>
      <w:r w:rsidRPr="00A53EE0">
        <w:rPr>
          <w:rFonts w:ascii="Times New Roman" w:hAnsi="Times New Roman"/>
          <w:sz w:val="24"/>
          <w:szCs w:val="24"/>
        </w:rPr>
        <w:t>júna 2002 o boji proti terorizmu (Ú. v. ES L 164, 22.6.2002)</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i/>
          <w:sz w:val="24"/>
          <w:szCs w:val="24"/>
        </w:rPr>
      </w:pPr>
      <w:r w:rsidRPr="00A53EE0">
        <w:rPr>
          <w:rFonts w:ascii="Times New Roman" w:hAnsi="Times New Roman"/>
          <w:i/>
          <w:sz w:val="24"/>
          <w:szCs w:val="24"/>
        </w:rPr>
        <w:t>31. decembra 2002</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2002/946/SVV z 28. novembra 2002 o posilnení trestného systému na zabránenie napomáhania neoprávneného vstupu, tranzitu a bydliska (Ú. v. ES L 328, 5.12.2002)</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708" w:firstLine="708"/>
        <w:jc w:val="both"/>
        <w:rPr>
          <w:rFonts w:ascii="Times New Roman" w:hAnsi="Times New Roman"/>
          <w:i/>
          <w:sz w:val="24"/>
          <w:szCs w:val="24"/>
        </w:rPr>
      </w:pPr>
      <w:r w:rsidRPr="00A53EE0">
        <w:rPr>
          <w:rFonts w:ascii="Times New Roman" w:hAnsi="Times New Roman"/>
          <w:i/>
          <w:sz w:val="24"/>
          <w:szCs w:val="24"/>
        </w:rPr>
        <w:t>5. decembra 2004</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2003/568/SVV z 22. júla 2003 o boji proti korupcii v súkromnom sektore (Ú. v. EÚ L 192, 31.7.2003)</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i/>
          <w:sz w:val="24"/>
          <w:szCs w:val="24"/>
        </w:rPr>
      </w:pPr>
      <w:r w:rsidRPr="00A53EE0">
        <w:rPr>
          <w:rFonts w:ascii="Times New Roman" w:hAnsi="Times New Roman"/>
          <w:i/>
          <w:sz w:val="24"/>
          <w:szCs w:val="24"/>
        </w:rPr>
        <w:t>22. júla 2005</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2004/757/SVV z 25. októbra 2004, ktorým sa ustanovujú minimálne ustanovenia o znakoch skutkových podstát trestných činov a trestov v oblasti nezákonného obchodu s drogami (Ú. v. EÚ L 335, 11.11.2004)</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i/>
          <w:sz w:val="24"/>
          <w:szCs w:val="24"/>
        </w:rPr>
      </w:pPr>
      <w:r w:rsidRPr="00A53EE0">
        <w:rPr>
          <w:rFonts w:ascii="Times New Roman" w:hAnsi="Times New Roman"/>
          <w:i/>
          <w:sz w:val="24"/>
          <w:szCs w:val="24"/>
        </w:rPr>
        <w:t>12. mája 2006</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2005/222/SVV z 24. februára 2005  o útokoch na informačné systémy (Ú. v. EÚ L 69, 16.03.2005)</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i/>
          <w:sz w:val="24"/>
          <w:szCs w:val="24"/>
        </w:rPr>
      </w:pPr>
      <w:r w:rsidRPr="00A53EE0">
        <w:rPr>
          <w:rFonts w:ascii="Times New Roman" w:hAnsi="Times New Roman"/>
          <w:i/>
          <w:sz w:val="24"/>
          <w:szCs w:val="24"/>
        </w:rPr>
        <w:t>16. marca 2007</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2008/99/ES z 19. novembra 2008 o ochrane životného prostredia prostredníctvom trestného práva (Ú. v. EÚ L 328, 6.12.2008)</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i/>
          <w:sz w:val="24"/>
          <w:szCs w:val="24"/>
        </w:rPr>
      </w:pPr>
      <w:r w:rsidRPr="00A53EE0">
        <w:rPr>
          <w:rFonts w:ascii="Times New Roman" w:hAnsi="Times New Roman"/>
          <w:i/>
          <w:sz w:val="24"/>
          <w:szCs w:val="24"/>
        </w:rPr>
        <w:t>26. decembra 2010</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2008/841/SVV z  24. októbra 2008 o boji proti organizovanému zločinu (Ú. v. EÚ L 300, 11.11.2008)</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i/>
          <w:sz w:val="24"/>
          <w:szCs w:val="24"/>
        </w:rPr>
      </w:pPr>
      <w:r w:rsidRPr="00A53EE0">
        <w:rPr>
          <w:rFonts w:ascii="Times New Roman" w:hAnsi="Times New Roman"/>
          <w:i/>
          <w:sz w:val="24"/>
          <w:szCs w:val="24"/>
        </w:rPr>
        <w:t>11. mája 2010</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Rámcové rozhodnutie Rady 2008/913/SVV z 28. novembra 2008 o boji proti niektorým formám a prejavom rasizmu a xenofóbie prostredníctvom trestného práva (Ú. v. EÚ L 328, 6.12.2008)</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i/>
          <w:sz w:val="24"/>
          <w:szCs w:val="24"/>
        </w:rPr>
      </w:pPr>
      <w:r w:rsidRPr="00A53EE0">
        <w:rPr>
          <w:rFonts w:ascii="Times New Roman" w:hAnsi="Times New Roman"/>
          <w:i/>
          <w:sz w:val="24"/>
          <w:szCs w:val="24"/>
        </w:rPr>
        <w:t>28. novembra 2010</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2009/52/ES z 18. júna 2009, ktorou sa stanovujú minimálne normy pre sankcie a opatrenia voči zamestnávateľom štátnych príslušníkov tretích krajín, ktorí sa neoprávnene zdržiavajú na území členských štátov (Ú. v. EÚ L 168, 30.6.2009)</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i/>
          <w:sz w:val="24"/>
          <w:szCs w:val="24"/>
        </w:rPr>
      </w:pPr>
      <w:r w:rsidRPr="00A53EE0">
        <w:rPr>
          <w:rFonts w:ascii="Times New Roman" w:hAnsi="Times New Roman"/>
          <w:i/>
          <w:sz w:val="24"/>
          <w:szCs w:val="24"/>
        </w:rPr>
        <w:t>20. júla 2011</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2009/123/ES z 21. októbra 2009, ktorou sa mení a dopĺňa smernica 2005/35/ES o znečisťovaní mora z lodí a o zavedení sankcií za porušenie (Ú. v. EÚ L 280, 27.10.2009)</w:t>
      </w:r>
    </w:p>
    <w:p w:rsidR="00D21F83" w:rsidRPr="00A53EE0" w:rsidP="00A53EE0">
      <w:pPr>
        <w:bidi w:val="0"/>
        <w:spacing w:after="0" w:line="240" w:lineRule="auto"/>
        <w:jc w:val="both"/>
        <w:rPr>
          <w:rFonts w:ascii="Times New Roman" w:hAnsi="Times New Roman"/>
          <w:sz w:val="24"/>
          <w:szCs w:val="24"/>
        </w:rPr>
      </w:pPr>
    </w:p>
    <w:p w:rsidR="00D21F83" w:rsidRPr="00A53EE0" w:rsidP="00A53EE0">
      <w:pPr>
        <w:bidi w:val="0"/>
        <w:spacing w:after="0" w:line="240" w:lineRule="auto"/>
        <w:ind w:left="720" w:firstLine="696"/>
        <w:jc w:val="both"/>
        <w:rPr>
          <w:rFonts w:ascii="Times New Roman" w:hAnsi="Times New Roman"/>
          <w:i/>
          <w:sz w:val="24"/>
          <w:szCs w:val="24"/>
        </w:rPr>
      </w:pPr>
      <w:r w:rsidRPr="00A53EE0">
        <w:rPr>
          <w:rFonts w:ascii="Times New Roman" w:hAnsi="Times New Roman"/>
          <w:i/>
          <w:sz w:val="24"/>
          <w:szCs w:val="24"/>
        </w:rPr>
        <w:t>5. decembra 2011</w:t>
      </w:r>
    </w:p>
    <w:p w:rsidR="00D21F83" w:rsidRPr="00A53EE0" w:rsidP="00A53EE0">
      <w:pPr>
        <w:bidi w:val="0"/>
        <w:spacing w:after="0" w:line="240" w:lineRule="auto"/>
        <w:ind w:left="720" w:firstLine="69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2011/36/EÚ z 5. apríla 2011 o prevencii obchodovania s ľuďmi a boji proti nemu a o ochrane obetí obchodovania, ktorou sa nahrádza rámcové rozhodnutie Rady 2002/629/SVV (Ú. v. EÚ L 101, 15.4. 2011)</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i/>
          <w:sz w:val="24"/>
          <w:szCs w:val="24"/>
        </w:rPr>
      </w:pPr>
      <w:r w:rsidRPr="00A53EE0">
        <w:rPr>
          <w:rFonts w:ascii="Times New Roman" w:hAnsi="Times New Roman"/>
          <w:i/>
          <w:sz w:val="24"/>
          <w:szCs w:val="24"/>
        </w:rPr>
        <w:t>6. apríla 2013</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2011/93/EÚ z 13. decembra 2011 o boji proti sexuálnemu zneužívaniu a sexuálnemu vykorisťovaniu detí a proti detskej pornografii, ktorou sa nahrádza rámcové rozhodnutie Rady 2004/68/SVV (Ú. v. EÚ L 335, 17.12.2011)</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i/>
          <w:sz w:val="24"/>
          <w:szCs w:val="24"/>
        </w:rPr>
      </w:pPr>
      <w:r w:rsidRPr="00A53EE0">
        <w:rPr>
          <w:rFonts w:ascii="Times New Roman" w:hAnsi="Times New Roman"/>
          <w:i/>
          <w:sz w:val="24"/>
          <w:szCs w:val="24"/>
        </w:rPr>
        <w:t>18. decembra 2013</w:t>
      </w:r>
    </w:p>
    <w:p w:rsidR="00D21F83" w:rsidRPr="00A53EE0" w:rsidP="00A53EE0">
      <w:pPr>
        <w:bidi w:val="0"/>
        <w:spacing w:after="0" w:line="240" w:lineRule="auto"/>
        <w:ind w:left="1416"/>
        <w:jc w:val="both"/>
        <w:rPr>
          <w:rFonts w:ascii="Times New Roman" w:hAnsi="Times New Roman"/>
          <w:i/>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 xml:space="preserve">Smernica Európskeho parlamentu a Rady 2013/40/EÚ z 12. augusta 2013 o útokoch na informačné systémy, ktorou sa nahrádza rámcové rozhodnutie Rady 2005/222/SVV (Ú. v. EÚ L 218, 14.8.2013) </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i/>
          <w:sz w:val="24"/>
          <w:szCs w:val="24"/>
        </w:rPr>
        <w:t>4. september 2015</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sz w:val="24"/>
          <w:szCs w:val="24"/>
        </w:rPr>
      </w:pPr>
      <w:r w:rsidRPr="00A53EE0">
        <w:rPr>
          <w:rFonts w:ascii="Times New Roman" w:hAnsi="Times New Roman"/>
          <w:sz w:val="24"/>
          <w:szCs w:val="24"/>
        </w:rPr>
        <w:t>Smernica Európskeho parlamentu a Rady 2013/40/EÚ z 12. augusta 2013 o útokoch na informačné systémy, ktorou sa nahrádza rámcové rozhodnutie Rady 2005/222/SVV (Ú. v. EÚ L 218, 14.8.2013)</w:t>
      </w:r>
    </w:p>
    <w:p w:rsidR="00D21F83" w:rsidRPr="00A53EE0" w:rsidP="00A53EE0">
      <w:pPr>
        <w:bidi w:val="0"/>
        <w:spacing w:after="0" w:line="240" w:lineRule="auto"/>
        <w:ind w:left="1416"/>
        <w:jc w:val="both"/>
        <w:rPr>
          <w:rFonts w:ascii="Times New Roman" w:hAnsi="Times New Roman"/>
          <w:sz w:val="24"/>
          <w:szCs w:val="24"/>
        </w:rPr>
      </w:pPr>
    </w:p>
    <w:p w:rsidR="00D21F83" w:rsidRPr="00A53EE0" w:rsidP="00A53EE0">
      <w:pPr>
        <w:bidi w:val="0"/>
        <w:spacing w:after="0" w:line="240" w:lineRule="auto"/>
        <w:ind w:left="1416"/>
        <w:jc w:val="both"/>
        <w:rPr>
          <w:rFonts w:ascii="Times New Roman" w:hAnsi="Times New Roman"/>
          <w:i/>
          <w:sz w:val="24"/>
          <w:szCs w:val="24"/>
        </w:rPr>
      </w:pPr>
      <w:r w:rsidRPr="00A53EE0">
        <w:rPr>
          <w:rFonts w:ascii="Times New Roman" w:hAnsi="Times New Roman"/>
          <w:i/>
          <w:sz w:val="24"/>
          <w:szCs w:val="24"/>
        </w:rPr>
        <w:t>23. máj 2016</w:t>
      </w:r>
    </w:p>
    <w:p w:rsidR="00D21F83" w:rsidRPr="00A53EE0" w:rsidP="00A53EE0">
      <w:pPr>
        <w:bidi w:val="0"/>
        <w:spacing w:after="0" w:line="240" w:lineRule="auto"/>
        <w:ind w:left="720"/>
        <w:jc w:val="both"/>
        <w:rPr>
          <w:rFonts w:ascii="Times New Roman" w:hAnsi="Times New Roman"/>
          <w:sz w:val="24"/>
          <w:szCs w:val="24"/>
        </w:rPr>
      </w:pPr>
    </w:p>
    <w:p w:rsidR="00D21F83" w:rsidRPr="00A53EE0" w:rsidP="00A53EE0">
      <w:pPr>
        <w:numPr>
          <w:numId w:val="7"/>
        </w:numPr>
        <w:bidi w:val="0"/>
        <w:spacing w:after="0" w:line="240" w:lineRule="auto"/>
        <w:jc w:val="both"/>
        <w:rPr>
          <w:rFonts w:ascii="Times New Roman" w:hAnsi="Times New Roman"/>
          <w:sz w:val="24"/>
          <w:szCs w:val="24"/>
        </w:rPr>
      </w:pPr>
      <w:r w:rsidRPr="00A53EE0">
        <w:rPr>
          <w:rFonts w:ascii="Times New Roman" w:hAnsi="Times New Roman"/>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D21F83" w:rsidRPr="00A53EE0" w:rsidP="00A53EE0">
      <w:pPr>
        <w:bidi w:val="0"/>
        <w:spacing w:after="0" w:line="240" w:lineRule="auto"/>
        <w:jc w:val="both"/>
        <w:rPr>
          <w:rFonts w:ascii="Times New Roman" w:hAnsi="Times New Roman"/>
          <w:sz w:val="24"/>
          <w:szCs w:val="24"/>
        </w:rPr>
      </w:pPr>
    </w:p>
    <w:p w:rsidR="00D21F83" w:rsidRPr="00A53EE0" w:rsidP="00A53EE0">
      <w:pPr>
        <w:autoSpaceDE w:val="0"/>
        <w:autoSpaceDN w:val="0"/>
        <w:bidi w:val="0"/>
        <w:adjustRightInd w:val="0"/>
        <w:spacing w:after="0" w:line="240" w:lineRule="auto"/>
        <w:ind w:left="708"/>
        <w:jc w:val="both"/>
        <w:rPr>
          <w:rFonts w:ascii="Times New Roman" w:hAnsi="Times New Roman"/>
          <w:i/>
          <w:sz w:val="24"/>
          <w:szCs w:val="24"/>
        </w:rPr>
      </w:pPr>
      <w:r w:rsidRPr="00A53EE0">
        <w:rPr>
          <w:rFonts w:ascii="Times New Roman" w:hAnsi="Times New Roman"/>
          <w:i/>
          <w:sz w:val="24"/>
          <w:szCs w:val="24"/>
        </w:rPr>
        <w:t>do júna 2013</w:t>
      </w:r>
    </w:p>
    <w:p w:rsidR="00D21F83" w:rsidRPr="00A53EE0" w:rsidP="00A53EE0">
      <w:pPr>
        <w:autoSpaceDE w:val="0"/>
        <w:autoSpaceDN w:val="0"/>
        <w:bidi w:val="0"/>
        <w:adjustRightInd w:val="0"/>
        <w:spacing w:after="0" w:line="240" w:lineRule="auto"/>
        <w:ind w:left="708"/>
        <w:jc w:val="both"/>
        <w:rPr>
          <w:rFonts w:ascii="Times New Roman" w:hAnsi="Times New Roman"/>
          <w:i/>
          <w:sz w:val="24"/>
          <w:szCs w:val="24"/>
        </w:rPr>
      </w:pPr>
    </w:p>
    <w:p w:rsidR="00D21F83" w:rsidRPr="00A53EE0" w:rsidP="00A53EE0">
      <w:pPr>
        <w:autoSpaceDE w:val="0"/>
        <w:autoSpaceDN w:val="0"/>
        <w:bidi w:val="0"/>
        <w:adjustRightInd w:val="0"/>
        <w:spacing w:after="0" w:line="240" w:lineRule="auto"/>
        <w:ind w:left="708"/>
        <w:jc w:val="both"/>
        <w:rPr>
          <w:rFonts w:ascii="Times New Roman" w:hAnsi="Times New Roman"/>
          <w:i/>
          <w:sz w:val="24"/>
          <w:szCs w:val="24"/>
        </w:rPr>
      </w:pPr>
      <w:r w:rsidRPr="00A53EE0">
        <w:rPr>
          <w:rFonts w:ascii="Times New Roman" w:hAnsi="Times New Roman"/>
          <w:sz w:val="24"/>
          <w:szCs w:val="24"/>
        </w:rPr>
        <w:t>(bod 10. jún Plánu legislatívnych úloh vlády Slovenskej republiky na rok 2013 v súlade s Programovým vyhlásením vlády Slovenskej republiky a s odporúčaniami medzinárodných organizácií)</w:t>
      </w:r>
    </w:p>
    <w:p w:rsidR="00D21F83" w:rsidRPr="00A53EE0" w:rsidP="00A53EE0">
      <w:pPr>
        <w:bidi w:val="0"/>
        <w:spacing w:after="0" w:line="240" w:lineRule="auto"/>
        <w:jc w:val="both"/>
        <w:rPr>
          <w:rFonts w:ascii="Times New Roman" w:hAnsi="Times New Roman"/>
          <w:sz w:val="24"/>
          <w:szCs w:val="24"/>
        </w:rPr>
      </w:pPr>
    </w:p>
    <w:p w:rsidR="00D21F83" w:rsidRPr="00A53EE0" w:rsidP="00A53EE0">
      <w:pPr>
        <w:numPr>
          <w:numId w:val="7"/>
        </w:numPr>
        <w:bidi w:val="0"/>
        <w:spacing w:after="0" w:line="240" w:lineRule="auto"/>
        <w:jc w:val="both"/>
        <w:rPr>
          <w:rFonts w:ascii="Times New Roman" w:hAnsi="Times New Roman"/>
          <w:sz w:val="24"/>
          <w:szCs w:val="24"/>
        </w:rPr>
      </w:pPr>
      <w:r w:rsidRPr="00A53EE0">
        <w:rPr>
          <w:rFonts w:ascii="Times New Roman" w:hAnsi="Times New Roman"/>
          <w:sz w:val="24"/>
          <w:szCs w:val="24"/>
        </w:rPr>
        <w:t>informácia o konaní začatom proti Slovenskej republike o porušení podľa čl. 258 a 260 Zmluvy o fungovaní Európskej únie</w:t>
      </w:r>
    </w:p>
    <w:p w:rsidR="00D21F83" w:rsidRPr="00A53EE0" w:rsidP="00A53EE0">
      <w:pPr>
        <w:bidi w:val="0"/>
        <w:spacing w:after="0" w:line="240" w:lineRule="auto"/>
        <w:ind w:left="708"/>
        <w:jc w:val="both"/>
        <w:rPr>
          <w:rFonts w:ascii="Times New Roman" w:hAnsi="Times New Roman"/>
          <w:sz w:val="24"/>
          <w:szCs w:val="24"/>
        </w:rPr>
      </w:pPr>
    </w:p>
    <w:p w:rsidR="00D21F83" w:rsidRPr="00A53EE0" w:rsidP="00A53EE0">
      <w:pPr>
        <w:bidi w:val="0"/>
        <w:spacing w:after="0" w:line="240" w:lineRule="auto"/>
        <w:ind w:left="708"/>
        <w:jc w:val="both"/>
        <w:rPr>
          <w:rFonts w:ascii="Times New Roman" w:hAnsi="Times New Roman"/>
          <w:i/>
          <w:sz w:val="24"/>
          <w:szCs w:val="24"/>
        </w:rPr>
      </w:pPr>
      <w:r w:rsidRPr="00A53EE0">
        <w:rPr>
          <w:rFonts w:ascii="Times New Roman" w:hAnsi="Times New Roman"/>
          <w:i/>
          <w:sz w:val="24"/>
          <w:szCs w:val="24"/>
        </w:rPr>
        <w:t>bezpredmetné</w:t>
      </w:r>
    </w:p>
    <w:p w:rsidR="00D21F83" w:rsidRPr="00A53EE0" w:rsidP="00A53EE0">
      <w:pPr>
        <w:bidi w:val="0"/>
        <w:spacing w:after="0" w:line="240" w:lineRule="auto"/>
        <w:ind w:left="708"/>
        <w:jc w:val="both"/>
        <w:rPr>
          <w:rFonts w:ascii="Times New Roman" w:hAnsi="Times New Roman"/>
          <w:i/>
          <w:sz w:val="24"/>
          <w:szCs w:val="24"/>
        </w:rPr>
      </w:pPr>
    </w:p>
    <w:p w:rsidR="00D21F83" w:rsidRPr="00A53EE0" w:rsidP="00A53EE0">
      <w:pPr>
        <w:numPr>
          <w:numId w:val="7"/>
        </w:numPr>
        <w:bidi w:val="0"/>
        <w:spacing w:after="0" w:line="240" w:lineRule="auto"/>
        <w:jc w:val="both"/>
        <w:rPr>
          <w:rFonts w:ascii="Times New Roman" w:hAnsi="Times New Roman"/>
          <w:sz w:val="24"/>
          <w:szCs w:val="24"/>
        </w:rPr>
      </w:pPr>
      <w:r w:rsidRPr="00A53EE0">
        <w:rPr>
          <w:rFonts w:ascii="Times New Roman" w:hAnsi="Times New Roman"/>
          <w:sz w:val="24"/>
          <w:szCs w:val="24"/>
        </w:rPr>
        <w:t>informácia o právnych predpisoch, v ktorých sú preberané smernice už prebraté spolu s uvedením rozsahu tohto prebratia</w:t>
      </w:r>
    </w:p>
    <w:p w:rsidR="00D21F83" w:rsidRPr="00A53EE0" w:rsidP="00A53EE0">
      <w:pPr>
        <w:bidi w:val="0"/>
        <w:spacing w:after="0" w:line="240" w:lineRule="auto"/>
        <w:ind w:left="720"/>
        <w:jc w:val="both"/>
        <w:rPr>
          <w:rFonts w:ascii="Times New Roman" w:hAnsi="Times New Roman"/>
          <w:sz w:val="24"/>
          <w:szCs w:val="24"/>
        </w:rPr>
      </w:pPr>
    </w:p>
    <w:p w:rsidR="00D21F83" w:rsidRPr="00A53EE0" w:rsidP="00A53EE0">
      <w:pPr>
        <w:bidi w:val="0"/>
        <w:spacing w:after="0" w:line="240" w:lineRule="auto"/>
        <w:ind w:left="720"/>
        <w:jc w:val="both"/>
        <w:rPr>
          <w:rFonts w:ascii="Times New Roman" w:hAnsi="Times New Roman"/>
          <w:sz w:val="24"/>
          <w:szCs w:val="24"/>
        </w:rPr>
      </w:pPr>
      <w:r w:rsidRPr="00A53EE0">
        <w:rPr>
          <w:rFonts w:ascii="Times New Roman" w:hAnsi="Times New Roman"/>
          <w:sz w:val="24"/>
          <w:szCs w:val="24"/>
        </w:rPr>
        <w:t>zákon č. 300/2005 Z. z. Trestný zákon v znení neskorších predpisov</w:t>
      </w:r>
    </w:p>
    <w:p w:rsidR="00D21F83" w:rsidRPr="00A53EE0" w:rsidP="00A53EE0">
      <w:pPr>
        <w:bidi w:val="0"/>
        <w:spacing w:after="0" w:line="240" w:lineRule="auto"/>
        <w:jc w:val="both"/>
        <w:rPr>
          <w:rFonts w:ascii="Times New Roman" w:hAnsi="Times New Roman"/>
          <w:sz w:val="24"/>
          <w:szCs w:val="24"/>
        </w:rPr>
      </w:pPr>
    </w:p>
    <w:p w:rsidR="00D21F83" w:rsidRPr="00A53EE0" w:rsidP="00A53EE0">
      <w:pPr>
        <w:numPr>
          <w:numId w:val="5"/>
        </w:numPr>
        <w:bidi w:val="0"/>
        <w:spacing w:after="0" w:line="240" w:lineRule="auto"/>
        <w:jc w:val="both"/>
        <w:rPr>
          <w:rFonts w:ascii="Times New Roman" w:hAnsi="Times New Roman"/>
          <w:b/>
          <w:sz w:val="24"/>
          <w:szCs w:val="24"/>
        </w:rPr>
      </w:pPr>
      <w:r w:rsidRPr="00A53EE0">
        <w:rPr>
          <w:rFonts w:ascii="Times New Roman" w:hAnsi="Times New Roman"/>
          <w:b/>
          <w:sz w:val="24"/>
          <w:szCs w:val="24"/>
        </w:rPr>
        <w:t>Stupeň zlučiteľnosti návrhu zákona s právom Európskej únie:</w:t>
      </w:r>
    </w:p>
    <w:p w:rsidR="00D21F83" w:rsidRPr="00A53EE0" w:rsidP="00A53EE0">
      <w:pPr>
        <w:bidi w:val="0"/>
        <w:spacing w:after="0" w:line="240" w:lineRule="auto"/>
        <w:jc w:val="both"/>
        <w:rPr>
          <w:rFonts w:ascii="Times New Roman" w:hAnsi="Times New Roman"/>
          <w:sz w:val="24"/>
          <w:szCs w:val="24"/>
        </w:rPr>
      </w:pPr>
    </w:p>
    <w:p w:rsidR="00D21F83"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w:t>
        <w:tab/>
        <w:t>Úplný</w:t>
      </w:r>
    </w:p>
    <w:p w:rsidR="00D21F83"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w:t>
      </w:r>
    </w:p>
    <w:p w:rsidR="00D21F83" w:rsidRPr="00A53EE0" w:rsidP="00A53EE0">
      <w:pPr>
        <w:numPr>
          <w:numId w:val="5"/>
        </w:numPr>
        <w:bidi w:val="0"/>
        <w:spacing w:after="0" w:line="240" w:lineRule="auto"/>
        <w:jc w:val="both"/>
        <w:rPr>
          <w:rFonts w:ascii="Times New Roman" w:hAnsi="Times New Roman"/>
          <w:b/>
          <w:sz w:val="24"/>
          <w:szCs w:val="24"/>
        </w:rPr>
      </w:pPr>
      <w:r w:rsidRPr="00A53EE0">
        <w:rPr>
          <w:rFonts w:ascii="Times New Roman" w:hAnsi="Times New Roman"/>
          <w:b/>
          <w:sz w:val="24"/>
          <w:szCs w:val="24"/>
        </w:rPr>
        <w:t>Gestor (spolupracujúce rezorty):</w:t>
      </w:r>
    </w:p>
    <w:p w:rsidR="00D21F83"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w:t>
      </w:r>
    </w:p>
    <w:p w:rsidR="00D21F83"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Ministerstvo spravodlivosti Slovenskej republiky</w:t>
      </w:r>
    </w:p>
    <w:p w:rsidR="00D21F83" w:rsidRPr="00A53EE0" w:rsidP="00A53EE0">
      <w:pPr>
        <w:bidi w:val="0"/>
        <w:spacing w:after="0" w:line="240" w:lineRule="auto"/>
        <w:jc w:val="both"/>
        <w:rPr>
          <w:rFonts w:ascii="Times New Roman" w:hAnsi="Times New Roman"/>
          <w:sz w:val="24"/>
          <w:szCs w:val="24"/>
        </w:rPr>
      </w:pPr>
    </w:p>
    <w:p w:rsidR="00D21F83" w:rsidRPr="00A53EE0" w:rsidP="00A53EE0">
      <w:pPr>
        <w:bidi w:val="0"/>
        <w:spacing w:after="0" w:line="240" w:lineRule="auto"/>
        <w:jc w:val="both"/>
        <w:rPr>
          <w:rFonts w:ascii="Times New Roman" w:hAnsi="Times New Roman"/>
          <w:sz w:val="24"/>
          <w:szCs w:val="24"/>
        </w:rPr>
      </w:pPr>
    </w:p>
    <w:p w:rsidR="00D21F83" w:rsidRPr="00A53EE0" w:rsidP="00A53EE0">
      <w:pPr>
        <w:bidi w:val="0"/>
        <w:spacing w:after="0" w:line="240" w:lineRule="auto"/>
        <w:jc w:val="both"/>
        <w:rPr>
          <w:rFonts w:ascii="Times New Roman" w:hAnsi="Times New Roman"/>
          <w:sz w:val="24"/>
          <w:szCs w:val="24"/>
        </w:rPr>
      </w:pPr>
    </w:p>
    <w:p w:rsidR="00DC0CAC">
      <w:pPr>
        <w:bidi w:val="0"/>
        <w:rPr>
          <w:rFonts w:ascii="Times New Roman" w:hAnsi="Times New Roman"/>
          <w:b/>
          <w:bCs/>
          <w:caps/>
          <w:color w:val="000000"/>
          <w:spacing w:val="30"/>
          <w:sz w:val="24"/>
          <w:szCs w:val="24"/>
        </w:rPr>
      </w:pPr>
      <w:r>
        <w:rPr>
          <w:rFonts w:ascii="Times New Roman" w:hAnsi="Times New Roman"/>
          <w:b/>
          <w:bCs/>
          <w:caps/>
          <w:color w:val="000000"/>
          <w:spacing w:val="30"/>
          <w:sz w:val="24"/>
          <w:szCs w:val="24"/>
        </w:rPr>
        <w:br w:type="page"/>
      </w:r>
    </w:p>
    <w:p w:rsidR="00DC0CAC" w:rsidRPr="00A53EE0" w:rsidP="00DC0CAC">
      <w:pPr>
        <w:bidi w:val="0"/>
        <w:spacing w:after="0" w:line="240" w:lineRule="auto"/>
        <w:jc w:val="center"/>
        <w:rPr>
          <w:rFonts w:ascii="Times New Roman" w:hAnsi="Times New Roman"/>
          <w:b/>
          <w:bCs/>
          <w:caps/>
          <w:color w:val="000000"/>
          <w:spacing w:val="30"/>
          <w:sz w:val="24"/>
          <w:szCs w:val="24"/>
        </w:rPr>
      </w:pPr>
      <w:r w:rsidRPr="00A53EE0">
        <w:rPr>
          <w:rFonts w:ascii="Times New Roman" w:hAnsi="Times New Roman"/>
          <w:b/>
          <w:bCs/>
          <w:caps/>
          <w:color w:val="000000"/>
          <w:spacing w:val="30"/>
          <w:sz w:val="24"/>
          <w:szCs w:val="24"/>
        </w:rPr>
        <w:t>Doložka</w:t>
      </w:r>
    </w:p>
    <w:p w:rsidR="00DC0CAC" w:rsidRPr="00A53EE0" w:rsidP="00DC0CAC">
      <w:pPr>
        <w:bidi w:val="0"/>
        <w:spacing w:after="0" w:line="240" w:lineRule="auto"/>
        <w:jc w:val="center"/>
        <w:rPr>
          <w:rFonts w:ascii="Times New Roman" w:hAnsi="Times New Roman"/>
          <w:b/>
          <w:bCs/>
          <w:color w:val="000000"/>
          <w:sz w:val="24"/>
          <w:szCs w:val="24"/>
        </w:rPr>
      </w:pPr>
      <w:r w:rsidRPr="00A53EE0">
        <w:rPr>
          <w:rFonts w:ascii="Times New Roman" w:hAnsi="Times New Roman"/>
          <w:b/>
          <w:bCs/>
          <w:color w:val="000000"/>
          <w:sz w:val="24"/>
          <w:szCs w:val="24"/>
        </w:rPr>
        <w:t>vybraných vplyvov</w:t>
      </w:r>
    </w:p>
    <w:p w:rsidR="00DC0CAC" w:rsidRPr="00A53EE0" w:rsidP="00DC0CAC">
      <w:pPr>
        <w:bidi w:val="0"/>
        <w:spacing w:after="0" w:line="240" w:lineRule="auto"/>
        <w:rPr>
          <w:rFonts w:ascii="Times New Roman" w:hAnsi="Times New Roman"/>
          <w:color w:val="000000"/>
          <w:sz w:val="24"/>
          <w:szCs w:val="24"/>
        </w:rPr>
      </w:pPr>
    </w:p>
    <w:p w:rsidR="00DC0CAC" w:rsidRPr="00A53EE0" w:rsidP="00DC0CAC">
      <w:pPr>
        <w:bidi w:val="0"/>
        <w:spacing w:after="0" w:line="240" w:lineRule="auto"/>
        <w:rPr>
          <w:rFonts w:ascii="Times New Roman" w:hAnsi="Times New Roman"/>
          <w:color w:val="000000"/>
          <w:sz w:val="24"/>
          <w:szCs w:val="24"/>
        </w:rPr>
      </w:pPr>
    </w:p>
    <w:p w:rsidR="00DC0CAC" w:rsidRPr="00A53EE0" w:rsidP="00DC0CAC">
      <w:pPr>
        <w:bidi w:val="0"/>
        <w:spacing w:after="0" w:line="240" w:lineRule="auto"/>
        <w:jc w:val="both"/>
        <w:rPr>
          <w:rFonts w:ascii="Times New Roman" w:hAnsi="Times New Roman"/>
          <w:color w:val="000000"/>
          <w:sz w:val="24"/>
          <w:szCs w:val="24"/>
        </w:rPr>
      </w:pPr>
      <w:r w:rsidRPr="00A53EE0">
        <w:rPr>
          <w:rFonts w:ascii="Times New Roman" w:hAnsi="Times New Roman"/>
          <w:b/>
          <w:bCs/>
          <w:color w:val="000000"/>
          <w:sz w:val="24"/>
          <w:szCs w:val="24"/>
        </w:rPr>
        <w:t xml:space="preserve">A.1. Názov materiálu: </w:t>
      </w:r>
      <w:r w:rsidRPr="00A53EE0">
        <w:rPr>
          <w:rFonts w:ascii="Times New Roman" w:hAnsi="Times New Roman"/>
          <w:color w:val="000000"/>
          <w:sz w:val="24"/>
          <w:szCs w:val="24"/>
        </w:rPr>
        <w:t>Návrh zákona o trestnej zodpovednosti právnických osôb a o zmene a doplnení niektorých zákonov</w:t>
      </w:r>
    </w:p>
    <w:p w:rsidR="00DC0CAC" w:rsidRPr="00A53EE0" w:rsidP="00DC0CAC">
      <w:pPr>
        <w:bidi w:val="0"/>
        <w:spacing w:after="0" w:line="240" w:lineRule="auto"/>
        <w:jc w:val="both"/>
        <w:rPr>
          <w:rFonts w:ascii="Times New Roman" w:hAnsi="Times New Roman"/>
          <w:b/>
          <w:bCs/>
          <w:color w:val="000000"/>
          <w:sz w:val="24"/>
          <w:szCs w:val="24"/>
        </w:rPr>
      </w:pPr>
      <w:r w:rsidRPr="00A53EE0">
        <w:rPr>
          <w:rFonts w:ascii="Times New Roman" w:hAnsi="Times New Roman"/>
          <w:b/>
          <w:bCs/>
          <w:color w:val="000000"/>
          <w:sz w:val="24"/>
          <w:szCs w:val="24"/>
        </w:rPr>
        <w:t xml:space="preserve">       </w:t>
      </w:r>
    </w:p>
    <w:p w:rsidR="00DC0CAC" w:rsidRPr="00A53EE0" w:rsidP="00DC0CAC">
      <w:pPr>
        <w:bidi w:val="0"/>
        <w:spacing w:after="0" w:line="240" w:lineRule="auto"/>
        <w:jc w:val="both"/>
        <w:rPr>
          <w:rFonts w:ascii="Times New Roman" w:hAnsi="Times New Roman"/>
          <w:b/>
          <w:bCs/>
          <w:color w:val="000000"/>
          <w:sz w:val="24"/>
          <w:szCs w:val="24"/>
        </w:rPr>
      </w:pPr>
      <w:r w:rsidRPr="00A53EE0">
        <w:rPr>
          <w:rFonts w:ascii="Times New Roman" w:hAnsi="Times New Roman"/>
          <w:b/>
          <w:bCs/>
          <w:color w:val="000000"/>
          <w:sz w:val="24"/>
          <w:szCs w:val="24"/>
        </w:rPr>
        <w:t>Termín začatia a ukončenia PPK:</w:t>
      </w:r>
      <w:r w:rsidRPr="00A53EE0">
        <w:rPr>
          <w:rFonts w:ascii="Times New Roman" w:hAnsi="Times New Roman"/>
          <w:color w:val="000000"/>
          <w:sz w:val="24"/>
          <w:szCs w:val="24"/>
        </w:rPr>
        <w:t xml:space="preserve"> -  </w:t>
      </w:r>
    </w:p>
    <w:p w:rsidR="00DC0CAC" w:rsidRPr="00A53EE0" w:rsidP="00DC0CAC">
      <w:pPr>
        <w:bidi w:val="0"/>
        <w:spacing w:after="0" w:line="240" w:lineRule="auto"/>
        <w:jc w:val="both"/>
        <w:rPr>
          <w:rFonts w:ascii="Times New Roman" w:hAnsi="Times New Roman"/>
          <w:b/>
          <w:bCs/>
          <w:color w:val="000000"/>
          <w:sz w:val="24"/>
          <w:szCs w:val="24"/>
        </w:rPr>
      </w:pPr>
    </w:p>
    <w:p w:rsidR="00DC0CAC" w:rsidRPr="00A53EE0" w:rsidP="00DC0CAC">
      <w:pPr>
        <w:bidi w:val="0"/>
        <w:spacing w:after="0" w:line="240" w:lineRule="auto"/>
        <w:jc w:val="both"/>
        <w:rPr>
          <w:rFonts w:ascii="Times New Roman" w:hAnsi="Times New Roman"/>
          <w:b/>
          <w:bCs/>
          <w:color w:val="000000"/>
          <w:sz w:val="24"/>
          <w:szCs w:val="24"/>
        </w:rPr>
      </w:pPr>
      <w:r w:rsidRPr="00A53EE0">
        <w:rPr>
          <w:rFonts w:ascii="Times New Roman" w:hAnsi="Times New Roman"/>
          <w:b/>
          <w:bCs/>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r w:rsidRPr="00A53EE0">
              <w:rPr>
                <w:rFonts w:ascii="Times New Roman" w:hAnsi="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r w:rsidRPr="00A53EE0">
              <w:rPr>
                <w:rFonts w:ascii="Times New Roman" w:hAnsi="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r w:rsidRPr="00A53EE0">
              <w:rPr>
                <w:rFonts w:ascii="Times New Roman" w:hAnsi="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r w:rsidRPr="00A53EE0">
              <w:rPr>
                <w:rFonts w:ascii="Times New Roman" w:hAnsi="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r w:rsidRPr="00A53EE0">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r w:rsidRPr="00A53EE0">
              <w:rPr>
                <w:rFonts w:ascii="Times New Roman" w:hAnsi="Times New Roman"/>
                <w:color w:val="000000"/>
                <w:sz w:val="24"/>
                <w:szCs w:val="24"/>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r w:rsidRPr="00A53EE0">
              <w:rPr>
                <w:rFonts w:ascii="Times New Roman" w:hAnsi="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r w:rsidRPr="00A53EE0">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r w:rsidRPr="00A53EE0">
              <w:rPr>
                <w:rFonts w:ascii="Times New Roman" w:hAnsi="Times New Roman"/>
                <w:color w:val="000000"/>
                <w:sz w:val="24"/>
                <w:szCs w:val="24"/>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r w:rsidRPr="00A53EE0">
              <w:rPr>
                <w:rFonts w:ascii="Times New Roman" w:hAnsi="Times New Roman"/>
                <w:color w:val="000000"/>
                <w:sz w:val="24"/>
                <w:szCs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r w:rsidRPr="00A53EE0">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r w:rsidRPr="00A53EE0">
              <w:rPr>
                <w:rFonts w:ascii="Times New Roman" w:hAnsi="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r w:rsidRPr="00A53EE0">
              <w:rPr>
                <w:rFonts w:ascii="Times New Roman" w:hAnsi="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r w:rsidRPr="00A53EE0">
              <w:rPr>
                <w:rFonts w:ascii="Times New Roman" w:hAnsi="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r w:rsidRPr="00A53EE0">
              <w:rPr>
                <w:rFonts w:ascii="Times New Roman" w:hAnsi="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r w:rsidRPr="00A53EE0">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rPr>
                <w:rFonts w:ascii="Times New Roman" w:hAnsi="Times New Roman"/>
                <w:color w:val="000000"/>
                <w:sz w:val="24"/>
                <w:szCs w:val="24"/>
              </w:rPr>
            </w:pPr>
            <w:r w:rsidRPr="00A53EE0">
              <w:rPr>
                <w:rFonts w:ascii="Times New Roman" w:hAnsi="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r w:rsidRPr="00A53EE0">
              <w:rPr>
                <w:rFonts w:ascii="Times New Roman" w:hAnsi="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C0CAC" w:rsidRPr="00A53EE0" w:rsidP="00CC1F4C">
            <w:pPr>
              <w:bidi w:val="0"/>
              <w:spacing w:after="0" w:line="240" w:lineRule="auto"/>
              <w:jc w:val="center"/>
              <w:rPr>
                <w:rFonts w:ascii="Times New Roman" w:hAnsi="Times New Roman"/>
                <w:color w:val="000000"/>
                <w:sz w:val="24"/>
                <w:szCs w:val="24"/>
              </w:rPr>
            </w:pPr>
          </w:p>
        </w:tc>
      </w:tr>
    </w:tbl>
    <w:p w:rsidR="00DC0CAC" w:rsidRPr="00A53EE0" w:rsidP="00DC0CAC">
      <w:pPr>
        <w:bidi w:val="0"/>
        <w:spacing w:after="0" w:line="240" w:lineRule="auto"/>
        <w:rPr>
          <w:rFonts w:ascii="Times New Roman" w:hAnsi="Times New Roman"/>
          <w:color w:val="000000"/>
          <w:sz w:val="24"/>
          <w:szCs w:val="24"/>
        </w:rPr>
      </w:pPr>
      <w:r w:rsidRPr="00A53EE0">
        <w:rPr>
          <w:rFonts w:ascii="Times New Roman" w:hAnsi="Times New Roman"/>
          <w:color w:val="000000"/>
          <w:sz w:val="24"/>
          <w:szCs w:val="24"/>
        </w:rPr>
        <w:t> </w:t>
      </w:r>
    </w:p>
    <w:p w:rsidR="00DC0CAC" w:rsidRPr="00A53EE0" w:rsidP="00DC0CAC">
      <w:pPr>
        <w:bidi w:val="0"/>
        <w:spacing w:after="0" w:line="240" w:lineRule="auto"/>
        <w:jc w:val="both"/>
        <w:rPr>
          <w:rFonts w:ascii="Times New Roman" w:hAnsi="Times New Roman"/>
          <w:b/>
          <w:bCs/>
          <w:color w:val="000000"/>
          <w:sz w:val="24"/>
          <w:szCs w:val="24"/>
        </w:rPr>
      </w:pPr>
    </w:p>
    <w:p w:rsidR="00DC0CAC" w:rsidRPr="00A53EE0" w:rsidP="00DC0CAC">
      <w:pPr>
        <w:bidi w:val="0"/>
        <w:spacing w:after="0" w:line="240" w:lineRule="auto"/>
        <w:jc w:val="both"/>
        <w:rPr>
          <w:rFonts w:ascii="Times New Roman" w:hAnsi="Times New Roman"/>
          <w:b/>
          <w:bCs/>
          <w:color w:val="000000"/>
          <w:sz w:val="24"/>
          <w:szCs w:val="24"/>
        </w:rPr>
      </w:pPr>
      <w:r w:rsidRPr="00A53EE0">
        <w:rPr>
          <w:rFonts w:ascii="Times New Roman" w:hAnsi="Times New Roman"/>
          <w:b/>
          <w:bCs/>
          <w:color w:val="000000"/>
          <w:sz w:val="24"/>
          <w:szCs w:val="24"/>
        </w:rPr>
        <w:t>A.3. Poznámky</w:t>
      </w:r>
    </w:p>
    <w:p w:rsidR="00DC0CAC" w:rsidRPr="00A53EE0" w:rsidP="00DC0CAC">
      <w:pPr>
        <w:bidi w:val="0"/>
        <w:spacing w:after="0" w:line="240" w:lineRule="auto"/>
        <w:jc w:val="both"/>
        <w:rPr>
          <w:rFonts w:ascii="Times New Roman" w:hAnsi="Times New Roman"/>
          <w:b/>
          <w:bCs/>
          <w:color w:val="000000"/>
          <w:sz w:val="24"/>
          <w:szCs w:val="24"/>
        </w:rPr>
      </w:pPr>
    </w:p>
    <w:p w:rsidR="00DC0CAC" w:rsidRPr="00A53EE0" w:rsidP="00DC0CAC">
      <w:pPr>
        <w:bidi w:val="0"/>
        <w:spacing w:after="0" w:line="240" w:lineRule="auto"/>
        <w:jc w:val="both"/>
        <w:rPr>
          <w:rFonts w:ascii="Times New Roman" w:hAnsi="Times New Roman"/>
          <w:i/>
          <w:iCs/>
          <w:color w:val="000000"/>
          <w:sz w:val="24"/>
          <w:szCs w:val="24"/>
        </w:rPr>
      </w:pPr>
      <w:r w:rsidRPr="00A53EE0">
        <w:rPr>
          <w:rFonts w:ascii="Times New Roman" w:hAnsi="Times New Roman"/>
          <w:color w:val="000000"/>
          <w:sz w:val="24"/>
          <w:szCs w:val="24"/>
        </w:rPr>
        <w:t>Vplyvy na rozpočet verejnej správy nie je možné kvantifikovať, nakoľko nie je objektívne možné zhodnotiť koľko právnických osôb bude trestne stíhaných, v koľkých prípadoch sa uložia tresty, ktoré by mohli zakladať pozitívny vplyv na štátny rozpočet (napr. trest prepadnutia majetku, peňažný trest), resp. v koľkých prípadoch sa uplatnia inštitúty, ktoré by zakladali negatívne vplyvy na štátny rozpočet (napr. úhrada trov likvidácie v prípade nemajetnej spoločnosti). Prípadné výdavky budú zabezpečené v rámci schválených limitov výdavkov dotknutých kapitol štátneho rozpočtu v jednotlivých rozpočtových rokoch, bez dodatočných požiadaviek na rozpočet verejnej správy.</w:t>
      </w:r>
      <w:r w:rsidRPr="00A53EE0">
        <w:rPr>
          <w:rFonts w:ascii="Times New Roman" w:hAnsi="Times New Roman"/>
          <w:i/>
          <w:iCs/>
          <w:color w:val="000000"/>
          <w:sz w:val="24"/>
          <w:szCs w:val="24"/>
        </w:rPr>
        <w:t xml:space="preserve">   </w:t>
      </w:r>
    </w:p>
    <w:p w:rsidR="00DC0CAC" w:rsidRPr="00A53EE0" w:rsidP="00DC0CAC">
      <w:pPr>
        <w:bidi w:val="0"/>
        <w:spacing w:after="0" w:line="240" w:lineRule="auto"/>
        <w:jc w:val="both"/>
        <w:rPr>
          <w:rFonts w:ascii="Times New Roman" w:hAnsi="Times New Roman"/>
          <w:color w:val="000000"/>
          <w:sz w:val="24"/>
          <w:szCs w:val="24"/>
        </w:rPr>
      </w:pPr>
    </w:p>
    <w:p w:rsidR="00DC0CAC" w:rsidRPr="00A53EE0" w:rsidP="00DC0CAC">
      <w:pPr>
        <w:bidi w:val="0"/>
        <w:spacing w:after="0" w:line="240" w:lineRule="auto"/>
        <w:jc w:val="both"/>
        <w:rPr>
          <w:rFonts w:ascii="Times New Roman" w:hAnsi="Times New Roman"/>
          <w:b/>
          <w:bCs/>
          <w:color w:val="000000"/>
          <w:sz w:val="24"/>
          <w:szCs w:val="24"/>
        </w:rPr>
      </w:pPr>
      <w:r w:rsidRPr="00A53EE0">
        <w:rPr>
          <w:rFonts w:ascii="Times New Roman" w:hAnsi="Times New Roman"/>
          <w:b/>
          <w:bCs/>
          <w:color w:val="000000"/>
          <w:sz w:val="24"/>
          <w:szCs w:val="24"/>
        </w:rPr>
        <w:t>A.4. Alternatívne riešenia</w:t>
      </w:r>
    </w:p>
    <w:p w:rsidR="00DC0CAC" w:rsidRPr="00A53EE0" w:rsidP="00DC0CAC">
      <w:pPr>
        <w:bidi w:val="0"/>
        <w:spacing w:after="0" w:line="240" w:lineRule="auto"/>
        <w:jc w:val="both"/>
        <w:rPr>
          <w:rFonts w:ascii="Times New Roman" w:hAnsi="Times New Roman"/>
          <w:b/>
          <w:bCs/>
          <w:color w:val="000000"/>
          <w:sz w:val="24"/>
          <w:szCs w:val="24"/>
        </w:rPr>
      </w:pPr>
    </w:p>
    <w:p w:rsidR="00DC0CAC" w:rsidRPr="00A53EE0" w:rsidP="00DC0CAC">
      <w:pPr>
        <w:bidi w:val="0"/>
        <w:spacing w:after="0" w:line="240" w:lineRule="auto"/>
        <w:rPr>
          <w:rFonts w:ascii="Times New Roman" w:hAnsi="Times New Roman"/>
          <w:color w:val="000000"/>
          <w:sz w:val="24"/>
          <w:szCs w:val="24"/>
        </w:rPr>
      </w:pPr>
      <w:r w:rsidRPr="00A53EE0">
        <w:rPr>
          <w:rFonts w:ascii="Times New Roman" w:hAnsi="Times New Roman"/>
          <w:color w:val="000000"/>
          <w:sz w:val="24"/>
          <w:szCs w:val="24"/>
        </w:rPr>
        <w:t>Bezpredmetné </w:t>
      </w:r>
    </w:p>
    <w:p w:rsidR="00DC0CAC" w:rsidRPr="00A53EE0" w:rsidP="00DC0CAC">
      <w:pPr>
        <w:bidi w:val="0"/>
        <w:spacing w:after="0" w:line="240" w:lineRule="auto"/>
        <w:jc w:val="both"/>
        <w:rPr>
          <w:rFonts w:ascii="Times New Roman" w:hAnsi="Times New Roman"/>
          <w:b/>
          <w:bCs/>
          <w:color w:val="000000"/>
          <w:sz w:val="24"/>
          <w:szCs w:val="24"/>
        </w:rPr>
      </w:pPr>
    </w:p>
    <w:p w:rsidR="00DC0CAC" w:rsidRPr="00A53EE0" w:rsidP="00DC0CAC">
      <w:pPr>
        <w:bidi w:val="0"/>
        <w:spacing w:after="0" w:line="240" w:lineRule="auto"/>
        <w:jc w:val="both"/>
        <w:rPr>
          <w:rFonts w:ascii="Times New Roman" w:hAnsi="Times New Roman"/>
          <w:b/>
          <w:bCs/>
          <w:color w:val="000000"/>
          <w:sz w:val="24"/>
          <w:szCs w:val="24"/>
        </w:rPr>
      </w:pPr>
      <w:r w:rsidRPr="00A53EE0">
        <w:rPr>
          <w:rFonts w:ascii="Times New Roman" w:hAnsi="Times New Roman"/>
          <w:b/>
          <w:bCs/>
          <w:color w:val="000000"/>
          <w:sz w:val="24"/>
          <w:szCs w:val="24"/>
        </w:rPr>
        <w:t>A.5. Stanovisko gestorov</w:t>
      </w:r>
    </w:p>
    <w:p w:rsidR="00DC0CAC" w:rsidRPr="00A53EE0" w:rsidP="00DC0CAC">
      <w:pPr>
        <w:bidi w:val="0"/>
        <w:spacing w:after="0" w:line="240" w:lineRule="auto"/>
        <w:jc w:val="both"/>
        <w:rPr>
          <w:rFonts w:ascii="Times New Roman" w:hAnsi="Times New Roman"/>
          <w:b/>
          <w:bCs/>
          <w:color w:val="000000"/>
          <w:sz w:val="24"/>
          <w:szCs w:val="24"/>
        </w:rPr>
      </w:pPr>
    </w:p>
    <w:p w:rsidR="00DC0CAC" w:rsidRPr="00A53EE0" w:rsidP="00DC0CAC">
      <w:pPr>
        <w:bidi w:val="0"/>
        <w:spacing w:after="0" w:line="240" w:lineRule="auto"/>
        <w:jc w:val="both"/>
        <w:rPr>
          <w:rFonts w:ascii="Times New Roman" w:hAnsi="Times New Roman"/>
          <w:color w:val="000000"/>
          <w:sz w:val="24"/>
          <w:szCs w:val="24"/>
        </w:rPr>
      </w:pPr>
      <w:r w:rsidRPr="00A53EE0">
        <w:rPr>
          <w:rFonts w:ascii="Times New Roman" w:hAnsi="Times New Roman"/>
          <w:color w:val="000000"/>
          <w:sz w:val="24"/>
          <w:szCs w:val="24"/>
        </w:rPr>
        <w:t xml:space="preserve">V rámci predbežného pripomienkového konania zaujali gestori stanoviská, ktoré sú zohľadnené v predloženom materiáli s výnimkou kvantifikácie vplyvov na rozpočet verejnej správy. </w:t>
      </w:r>
    </w:p>
    <w:p w:rsidR="00DC0CAC" w:rsidRPr="00A53EE0" w:rsidP="00DC0CAC">
      <w:pPr>
        <w:bidi w:val="0"/>
        <w:spacing w:after="0" w:line="240" w:lineRule="auto"/>
        <w:jc w:val="both"/>
        <w:rPr>
          <w:rFonts w:ascii="Times New Roman" w:hAnsi="Times New Roman"/>
          <w:color w:val="000000"/>
          <w:sz w:val="24"/>
          <w:szCs w:val="24"/>
        </w:rPr>
      </w:pPr>
    </w:p>
    <w:p w:rsidR="00DC0CAC" w:rsidRPr="00A53EE0" w:rsidP="00DC0CAC">
      <w:pPr>
        <w:bidi w:val="0"/>
        <w:spacing w:after="0" w:line="240" w:lineRule="auto"/>
        <w:jc w:val="both"/>
        <w:rPr>
          <w:rFonts w:ascii="Times New Roman" w:hAnsi="Times New Roman"/>
          <w:color w:val="000000"/>
          <w:sz w:val="24"/>
          <w:szCs w:val="24"/>
        </w:rPr>
      </w:pPr>
    </w:p>
    <w:p w:rsidR="00D21F83" w:rsidRPr="00A53EE0" w:rsidP="00A53EE0">
      <w:pPr>
        <w:bidi w:val="0"/>
        <w:spacing w:after="0" w:line="240" w:lineRule="auto"/>
        <w:jc w:val="both"/>
        <w:rPr>
          <w:rFonts w:ascii="Times New Roman" w:hAnsi="Times New Roman"/>
          <w:sz w:val="24"/>
          <w:szCs w:val="24"/>
        </w:rPr>
      </w:pPr>
    </w:p>
    <w:p w:rsidR="00D21F83" w:rsidRPr="00A53EE0" w:rsidP="00A53EE0">
      <w:pPr>
        <w:bidi w:val="0"/>
        <w:spacing w:after="0" w:line="240" w:lineRule="auto"/>
        <w:jc w:val="both"/>
        <w:rPr>
          <w:rFonts w:ascii="Times New Roman" w:hAnsi="Times New Roman"/>
          <w:sz w:val="24"/>
          <w:szCs w:val="24"/>
        </w:rPr>
      </w:pPr>
    </w:p>
    <w:p w:rsidR="00D21F83" w:rsidRPr="00A53EE0" w:rsidP="00A53EE0">
      <w:pPr>
        <w:bidi w:val="0"/>
        <w:spacing w:after="0" w:line="240" w:lineRule="auto"/>
        <w:jc w:val="both"/>
        <w:rPr>
          <w:rFonts w:ascii="Times New Roman" w:hAnsi="Times New Roman"/>
          <w:sz w:val="24"/>
          <w:szCs w:val="24"/>
        </w:rPr>
      </w:pPr>
    </w:p>
    <w:p w:rsidR="00D21F83" w:rsidRPr="00A53EE0" w:rsidP="00A53EE0">
      <w:pPr>
        <w:bidi w:val="0"/>
        <w:spacing w:after="0" w:line="240" w:lineRule="auto"/>
        <w:jc w:val="both"/>
        <w:rPr>
          <w:rFonts w:ascii="Times New Roman" w:hAnsi="Times New Roman"/>
          <w:sz w:val="24"/>
          <w:szCs w:val="24"/>
        </w:rPr>
      </w:pPr>
    </w:p>
    <w:p w:rsidR="00D21F83"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008F657D">
        <w:rPr>
          <w:rFonts w:ascii="Times New Roman" w:hAnsi="Times New Roman"/>
          <w:b/>
          <w:sz w:val="24"/>
          <w:szCs w:val="24"/>
        </w:rPr>
        <w:t>B</w:t>
      </w:r>
      <w:r w:rsidRPr="00A53EE0">
        <w:rPr>
          <w:rFonts w:ascii="Times New Roman" w:hAnsi="Times New Roman"/>
          <w:b/>
          <w:sz w:val="24"/>
          <w:szCs w:val="24"/>
        </w:rPr>
        <w:t>. Osobitná časť</w:t>
      </w:r>
    </w:p>
    <w:p w:rsidR="00A53EE0" w:rsidRPr="00A53EE0" w:rsidP="00A53EE0">
      <w:pPr>
        <w:bidi w:val="0"/>
        <w:spacing w:after="0" w:line="240" w:lineRule="auto"/>
        <w:jc w:val="both"/>
        <w:rPr>
          <w:rFonts w:ascii="Times New Roman" w:hAnsi="Times New Roman"/>
          <w:b/>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I</w:t>
      </w:r>
    </w:p>
    <w:p w:rsidR="00A53EE0" w:rsidRPr="00A53EE0" w:rsidP="00A53EE0">
      <w:pPr>
        <w:bidi w:val="0"/>
        <w:spacing w:after="0" w:line="240" w:lineRule="auto"/>
        <w:jc w:val="both"/>
        <w:rPr>
          <w:rFonts w:ascii="Times New Roman" w:hAnsi="Times New Roman"/>
          <w:b/>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1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úvodnom ustanovení sa upravuje predmet zákona a jeho vzťah k iným zákonom. Predmetom zákona je úprava základov trestnej zodpovednosti právnických osôb, druhov trestov ukladaných právnickým osobám za spáchané trestné činy a osobitosti trestného konania proti právnickým osobám.</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odseku 2 sa upravuje subsidiárne použitie Trestného zákona vo vzťahu k trestnej zodpovednosti právnickej osoby a Trestného poriadku vo vzťahu ku konaniu voči právnickej osobe, ak zákon neustanovuje inak a ak to povaha veci nevylučuje.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2</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Predmetné ustanovenie upravuje územnú pôsobnosť zákona vo vzťahu k právnickým osobám, pričom stanovuje nevyhnutné odchýlky od pôsobnosti Trestného zákona vo vzťahu k trestným činom fyzických osôb. Pri vymedzení územnej pôsobnosti zákona sa vychádzalo z požiadaviek vyplývajúcich z medzinárodných nástrojov, ktorými je Slovenská republika viazaná a identifikovaných špecifík právnických osôb s cieľom ich efektívneho stíhania. </w:t>
      </w:r>
    </w:p>
    <w:p w:rsidR="00A53EE0" w:rsidRPr="00A53EE0" w:rsidP="00A53EE0">
      <w:pPr>
        <w:bidi w:val="0"/>
        <w:spacing w:after="0" w:line="240" w:lineRule="auto"/>
        <w:jc w:val="both"/>
        <w:rPr>
          <w:rFonts w:ascii="Times New Roman" w:hAnsi="Times New Roman"/>
          <w:i/>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tomto ustanovení sa uvádza taxatívny výpočet trestných činov upravených v osobitnej časti Trestného zákona, u ktorých dochádza k vzniku trestnej zodpovednosti právnickej osoby, ak sú spáchané právnickou osobou spôsobom určeným návrhom zákona (§ 4). Vymedzený katalóg trestných činov zohľadňuje jednak medzinárodné záväzky Slovenskej republiky, ktoré jej vyplývajú z medzinárodných nástrojov, ktorými je Slovenská republika viazaná, ako aj záväzky Slovenskej republiky vyplývajúce jej z členstva v Európskej únii. Zoznam medzinárodných nástrojov ako aj príslušných právne záväzných aktov Európskej únie, ktoré zaväzujú k vyvodeniu zodpovednosti voči právnickej osobe za spáchanie alebo jej účasť na trestnej činnosti je uvedený vo všeobecnej časti dôvodovej správy. Katalóg trestných činov u ktorých vzniká trestná zodpovednosť právnickej osoby je súčasne doplnený o tie trestné činy, u ktorých je s ohľadom na ich povahu a na poznatky aplikačnej praxe ich stíhanie v záujme Slovenskej republiky (tzv. daňové trestné činy).</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ab/>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ab/>
        <w:t xml:space="preserve">S ohľadom na stály vývoj medzinárodnej agendy je možné do budúcna očakávať potrebu ďalšej modifikácie tohto katalógu trestných činov.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Aktuálny navrhovaný katalóg trestných činov má nasledovný právny základ:</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Nedovolená výroba omamných a psychotropných látok, jedov alebo prekurzorov, ich držanie a obchodovanie s nimi podľa § 172 a 173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2004/757/SVV z 25. októbra 2004, ktorým sa stanovujú minimálne ustanovenia o znakoch skutkových podstát trestných činov a trestov v oblasti nezákonného obchodu s drogami (Ú.v. EÚ L 335, 11.11.2004)</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Šírenie toxikománie podľa § 174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Obchodovanie s ľuďmi podľa § 179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Rady Európy proti obchodovaniu s ľuďmi (ETC 197)</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2011/36/EÚ z 5. apríla 2011 o prevencii obchodovania s ľuďmi a boji proti nemu a o ochrane obetí obchodovania, ktorou sa nahrádza rámcové rozhodnutie Rady 2002/629/SVV (Ú. v. EÚ L 101, 15. 4. 2011).</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xml:space="preserve">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Sexuálne násilie podľa § 200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Sexuálne zneužívanie podľa § 201 až 202 Trestného zákona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Ohrozovanie mravnej výchovy mládeže podľa § 211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2011/93/EÚ z 13. decembra 2011 o boji proti sexuálnemu zneužívaniu a sexuálnemu vykorisťovaniu detí a proti detskej pornografii, ktorou sa nahrádza rámcové rozhodnutie Rady 2004/68/SVV (Ú. v. EÚ L 335, 17. 12. 2011)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Podielnictvo podľa § 231 a 232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Legalizácia príjmu z trestnej činnosti podľa § 233 a 234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 xml:space="preserve">Dohovor o praní špinavých peňazí, vyhľadávaní, zhabaní a konfiškácii ziskov z trestnej činnosti  (oznámenie č. 109/2002 Z. z.) </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2001/500/SVV z 26. júna 2001 o praní špinavých peňazí, identifikácii, vyhľadávaní, zmrazení, zaistení a konfiškácii prostriedkov a príjmov z trestnej činnosti (Mimoriadne vydanie Ú. v. EÚ, kap. 19/zv. 4; Ú. v. ES L 182, 5. 7. 2001)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Poškodenie a zneužitie záznamu na nosiči informácií podľa § 247 Trestného zákona </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 xml:space="preserve">Poznámka:  v nadväznosti na vládny návrh zákona o európskom ochrannom príkaze v trestných veciach a o zmene a doplnení niektorých zákonov tlač 1630, ktorým sa transponuje smernica Európskeho parlamentu a Rady 2013/40/EÚ z  12. augusta 2013 o útokoch na informačné systémy, ktorou sa nahrádza rámcové rozhodnutie Rady 2005/222/SVV tu patria aj tiež novonavrhované skutkové podstaty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 247a Neoprávnený zásah do počítačového systému,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 247b Neoprávnený zásah do počítačového údaja,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 247c Neoprávnené zachytávanie počítačových údajov, </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b/>
          <w:sz w:val="24"/>
          <w:szCs w:val="24"/>
        </w:rPr>
        <w:t>§ 247d Výroba a držba prístupového zariadenia, hesla do počítačového systému alebo iných údajov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2013/40/EÚ z  12. augusta 2013 o útokoch na informačné systémy, ktorou sa nahrádza rámcové rozhodnutie Rady 2005/222/SVV (Ú. v. EÚ L 218, 14. 8. 2013)</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o počítačovej kriminalite (ETC 185) (oznámenie č.  137/2008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Neoprávnené zamestnávanie podľa § 251a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2009/52/ES z 18. júna 2009, ktorou sa stanovujú minimálne normy pre sankcie a opatrenia voči zamestnávateľom štátnych príslušníkov tretích krajín, ktorí sa neoprávnene zdržiavajú na území členských štátov (Ú.v. EÚ L 168, 30.6.2009)</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Poškodzovanie finančných záujmov Európskej únie podľa § 261 až 263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o ochrane finančných záujmov Európskych spoločenstiev prijatý 19. júna 1997 v Brusel a jeho protokoly</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Falšovanie, pozmeňovanie a neoprávnená výroba peňazí a cenných papierov podľa § 270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Uvádzanie falšovaných, pozmenených a neoprávnene vyrobených peňazí a cenných papierov podľa § 271 Trestného zákona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Výroba a držba falšovateľského náčinia podľa § 272 Trestného zákona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2000/383/SVV z 29. mája 2000 o zvýšenej ochrane pred falšovaním prostredníctvom pokút a ďalších trestných sankcií v súvislosti so zavádzaním eura (Mimoriadne vydanie Ú.v. EÚ, kap. 19/zv. 1; Ú.v. ES L 140, 14.6.2000) v znení rámcového rozhodnutia Rady 2001/888/SVV zo 6. decembra 2001 (Mimoriadne vydanie Ú.v. EÚ, kap. 19/zv. 4; Ú.v. ES L 329, 14.12.2001)</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2001/413/SVV z 28. mája 2001 o boji proti podvodom a falšovaniu bezhotovostných platobných prostriedkov (Mimoriadne vydanie Ú. v. EÚ, kap. 15/zv. 6; Ú. v. ES L 149, 2. 6. 2001)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Všeobecné ohrozenie podľa § 284 a 285 Trestného zákona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2008/99/ES z 19. novembra 2008 o ochrane životného prostredia prostredníctvom trestného práva (Ú. v. EÚ L 328, 6. 12. 2008).</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Nedovolené ozbrojovanie a obchodovanie so zbraňami podľa § 294 a 295 Trestného zákona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Založenie, zosnovanie a podporovanie zločineckej skupiny podľa § 296 Trestného zákona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2008/841/SVV z 24. októbra 2008 o boji proti organizovanému zločinu (Ú. v. EÚ L 300, 11. 11. 2008)</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OSN proti nadnárodnému organizovanému zločinu prijatý 15.novembra 2000 v New Yorku, platný pre SR od 2.januára 2004, uverejnený pod č.621/2003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Založenie, zosnovanie a podporovanie teroristickej skupiny podľa § 297 Trestného zákona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2002/475/SVV z 13. júna 2002 o boji proti terorizmu (Mimoriadne vydanie Ú. v. EÚ, kap. 19/zv. 6; Ú. v. ES L 164, 22. 6. 2002).</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Medzinárodný dohovor o potláčaní financovania terorizmu prijatý 9. decembra 1999 v New Yorku, platný pre SR od 13. októbra 2002 (oznámenie č. 593/2002 Z. z.)</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Rady Európy o predchádzaní terorizmu prijatý  16. mája 2005 vo Varšave, platný pre SR od 1. júna 2007 (ETC 196) (oznámenie č. 186/2007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Nedovolená výroba a držanie jadrových materiálov, rádioaktívnych látok, vysoko rizikových chemických látok a vysoko rizikových biologických agensov a toxínov podľa § 298 a 299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Ohrozenie a poškodenie životného prostredia podľa § 300 a 301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Neoprávnené nakladanie s odpadmi podľa § 302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Neoprávnené vypúšťanie znečisťujúcich látok podľa § 302a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Porušovanie ochrany vôd a ovzdušia  podľa § 303 a 304 Trestného zákona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Porušovanie ochrany rastlín a živočíchov  podľa § 305 Trestného zákona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Porušovanie ochrany stromov a krov podľa § 306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2008/99/ES z 19. novembra 2008 o ochrane životného prostredia prostredníctvom trestného práva (Ú. v. EÚ L 328, 6. 12. 2008)</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2009/123/ES z 21. októbra 2009, ktorou sa mení a dopĺňa smernica 2005/35/ES o znečisťovaní mora z lodí a o zavedení sankcií za porušenie (Ú. v. EÚ L 280, 27. 10. 2009)</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Teror podľa § 313 a 314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2002/475/SVV z 13. júna 2002 o boji proti terorizmu (Mimoriadne vydanie Ú. v. EÚ, kap. 19/zv. 6; Ú. v. ES L 164, 22. 6. 2002)</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Prijímanie úplatku podľa § 328  až 331 Trestného zákona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Podplácanie podľa § 332 až 335 Trestného zákona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Nepriama korupcia podľa § 336 Trestného zákona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Trestnoprávny dohovor o korupcii z 27. januára 1999 a podpísaný v  Štrasburgu (ETC 173), platný pre SR od 1. júla 2002, (oznámenie č. 375/2002 Z. z.)</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OSN proti korupcii prijatý 31.októbra 2003 v New Yorku, platný pre SR od 1. júla 2006,(ozn. č. 434/2006 Z. z.)</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2003/568/SVV z 22.júla 2003 o boji proti korupcii v súkromnom sektore</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Prevádzačstvo podľa § 355 a 356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2002/946/SVV z 28. novembra 2002 o posilnení trestného systému na zabránenie napomáhaniu neoprávneného vstupu, tranzitu a bydliska (Mimoriadne vydanie Ú. v. EÚ, kap. 19/zv. 6; Ú. v. ES L 328, 5. 12. 2002)</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Kupliarstvo podľa § 367 Trestného zákona</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xml:space="preserve"> </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2011/36/EÚ z 5. apríla 2011 o prevencii obchodovania s ľuďmi a boji proti nemu a o ochrane obetí obchodovania, ktorou sa nahrádza rámcové rozhodnutie Rady 2002/629/SVV (Ú. v. EÚ L 101, 15. 4. 2011)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Výroba detskej pornografie podľa § 368 Trestného zákona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Rozširovanie detskej pornografie podľa § 369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Prechovávanie detskej pornografie a účasť na detskom pornografickom predstavení podľa § 370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Ohrozovanie mravnosti podľa § 371 a 372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Smernica Európskeho parlamentu a Rady 2011/93/EÚ z 13. decembra 2011 o boji proti sexuálnemu zneužívaniu a sexuálnemu vykorisťovaniu detí a proti detskej pornografii, ktorou sa nahrádza rámcové rozhodnutie Rady 2004/68/SVV (Ú. v. EÚ L 335, 17. 12. 2011)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Terorizmus a niektoré formy účasti na terorizme podľa § 419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2008/919/SVV z 28. novembra 2008, ktorým sa mení a dopĺňa rámcové rozhodnutie 2002/475/SVV o boji proti terorizmu (Ú. v. EÚ L 330, 9. 12. 2008)</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Medzinárodný dohovor o potláčaní financovania terorizmu prijatý 9. decembra 1999 v New Yorku, platný pre SR od 13. októbra 2002 (oznámenie č. 593/2002 Z. z.)</w:t>
      </w: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Dohovor Rady Európy o predchádzaní terorizmu prijatý  16. mája 2005 vo Varšave, platný pre SR od 1. júna 2007 (ETC 196) (oznámenie č. 186/2007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Podpora a propagácia skupín smerujúcich k potlačeniu základných práv a slobôd podľa § 421 a 422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Výroba extrémistických materiálov podľa § 422a Trestného zákona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Rozširovanie extrémistických materiálov podľa § 422b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Prechovávanie extrémistických materiálov podľa § 422c Trestného zákona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Popieranie a schvaľovanie holokaustu a zločinov politických režimov podľa § 422d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Hanobenie národa, rasy a presvedčenia podľa § 423 Trestného zákona </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Podnecovanie k národnostnej, rasovej a etnickej nenávisti podľa § 424 Trestného zákona</w:t>
      </w: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Podnecovanie, hanobenie a vyhrážanie osobám pre ich príslušnosť k niektorej rase, národu, národnosti, farbe pleti, etnickej skupine alebo pôvodu rodu podľa § 424a Trestného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pStyle w:val="ListParagraph"/>
        <w:numPr>
          <w:numId w:val="10"/>
        </w:numPr>
        <w:bidi w:val="0"/>
        <w:spacing w:after="0" w:line="240" w:lineRule="auto"/>
        <w:jc w:val="both"/>
        <w:rPr>
          <w:rFonts w:ascii="Times New Roman" w:hAnsi="Times New Roman"/>
          <w:sz w:val="24"/>
          <w:szCs w:val="24"/>
        </w:rPr>
      </w:pPr>
      <w:r w:rsidRPr="00A53EE0">
        <w:rPr>
          <w:rFonts w:ascii="Times New Roman" w:hAnsi="Times New Roman"/>
          <w:sz w:val="24"/>
          <w:szCs w:val="24"/>
        </w:rPr>
        <w:t>Rámcové rozhodnutie Rady 2008/913/SVV z 28. novembra 2008 o boji proti niektorým formám a prejavom rasizmu a xenofóbie prostredníctvom trestného práva (Ú. v. EÚ L 328, 6. 12. 2008).</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4</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Uvedené ustanovenie v odseku 1 definuje trestný čin spáchaný právnickou osobou a upravuje podmienky vyvodenia trestnej zodpovednosti voči právnickej osobe za jeho spáchanie prostredníctvom tzv. pričítateľnosti trestného činu právnickej osobe. Uvedený koncept pričítateľnosti spáchania trestného činu právnickej osobe upravený v odseku 2 vychádza zo skutočnosti, že právnické osoby sú subjektom práva odlišným od fyzickej osoby, pričom ide o subjekty, ktoré sú právom umelo vytvorené s priznaním spôsobilosti k právam a povinnostiam, právnym a protiprávnym úkonom a zodpovednosti v právnych vzťahoch. </w:t>
        <w:tab/>
      </w: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Vzhľadom k skutočnosti, že vznik a existencia právnických osôb predstavuje určitú právnu konštrukciu, musí byť právom konštruovaný i spôsob konania právnických osôb ako subjektov práva navonok, nakoľko právnická osoba ako celok nedisponuje vôľovou zložkou, nemôže teda podľa takejto vlastnej vôle jednať a navonok ju prejavovať. Z uvedeného dôvodu právny poriadok stanovuje, že vlastné konanie právnickej osoby predstavujú tie prejavy vôle, ktoré menom právnickej osoby konajú ňou určené orgány alebo zástupcovia právnickej osoby ako fyzické osoby a právne následky spojené s týmito prejavmi sa pričítajú priamo právnickej osobe ako subjektu práva.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Osoby, ktorých protiprávne konanie je následne pričítané právnickej osobe sú vymedzené v odseku 1 s ohľadom na požiadavky medzinárodných nástrojov a právne záväzných aktov EÚ. Skúmanie zavinenia u trestných činov právnických osôb je vylúčené z povahy veci, nakoľko právnická osoba ako právny konštrukt nedisponuje na rozdiel od fyzickej osoby vôľovou zložkou, ktorá je základom zavinenia u fyzických osôb.</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Prvým predpokladom trestnej zodpovednosti právnickej osoby je, že došlo k spáchaniu trestného činu. Druhým predpokladom, kedy sa trestný čin považuje za spáchaný právnickou osobou je existencia príčinnej súvislosti na jednej strane medzi záujmom právnickej osoby, činnosťou právnickej osoby (bez ohľadu na okolnosť, či ide o činnosť, ktorú má povolenú resp. zapísanú v príslušnom registri ako predmet činnosti resp. podnikania) alebo tou okolnosťou, že právnická osoba vystupuje len ako prostriedok na páchanie trestnej činnosti a na druhej strane protiprávne konanie fyzickej osoby, ktorá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xml:space="preserve">a) koná ako štatutárny orgán alebo člen štatutárneho orgánu, alebo iná osoba, ktorá je oprávnená menom právnickej osoby alebo za právnickú osobu konať (na základe zmluvného zastúpenia, napr. prokurista); štatutárnym orgánom resp. členom štatutárneho orgánu je ten, kto je na konanie za právnickú osobu oprávnený zmluvou o zriadení právnickej osoby, zakladacou listinou alebo zákonom (§ 20 ods. 1 Občianskeho zákonníka), </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xml:space="preserve"> </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b) vykonáva kontrolnú činnosť alebo dohľad v rámci právnickej osoby aj keď nemá iný vzťah k právnickej osobe; nemusí ísť len o také kontrolné orgány, ktorých postavenie priamo upravujú právne predpisy (dozorná rad, kontrolná komisia), ale aj o kontrolné orgány zriadené právnickou osobou nad rámec obligatórnych kontrolných orgánov; v tomto prípade je možné konanie týchto osôb pričítať právnickej osobe len ak konali v záujme právnickej osoby (viď odsek 2), právnickej osobe nemožno teda pričítať konanie týchto osôb ak tieto síce konali v mene právnickej osoby alebo jej prostredníctvom, ale konali výlučne vo vlastnom záujme,</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xml:space="preserve">    </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c) vykonáva rozhodujúci vplyv na riadenie tejto právnickej osoby, ak jeho konanie bolo aspoň jednou z podmienok zakladajúcich trestnú zodpovednosť právnickej osoby; tu ide o prípady tzv. „tieňových“ (</w:t>
      </w:r>
      <w:r w:rsidRPr="00A53EE0">
        <w:rPr>
          <w:rFonts w:ascii="Times New Roman" w:hAnsi="Times New Roman"/>
          <w:i/>
          <w:sz w:val="24"/>
          <w:szCs w:val="24"/>
        </w:rPr>
        <w:t>shadow</w:t>
      </w:r>
      <w:r w:rsidRPr="00A53EE0">
        <w:rPr>
          <w:rFonts w:ascii="Times New Roman" w:hAnsi="Times New Roman"/>
          <w:sz w:val="24"/>
          <w:szCs w:val="24"/>
        </w:rPr>
        <w:t>) manažérov, ktorí síce formálne ustanovia za štatutárny orgán alebo za členov štatutárneho orgánu iné osoby, avšak fakticky spoločnosť riadia oni (napr. dojednávajú zmluvy, aj keď fakticky ich v mene spoločnosti formálne uzatvára štatutárny orgán). Porovnaj v tejto súvislosti napr. čl. 22 ods. 7 návrhu Smernice Európskeho parlamentu a Rady o spoločnostiach s ručením neobmedzeným s jediným spoločníkom (COM(2014) 212), v zmysle ktorého „</w:t>
      </w:r>
      <w:r w:rsidRPr="00A53EE0">
        <w:rPr>
          <w:rFonts w:ascii="Times New Roman" w:hAnsi="Times New Roman"/>
          <w:i/>
          <w:sz w:val="24"/>
          <w:szCs w:val="24"/>
        </w:rPr>
        <w:t>Akákoľvek osoba, ktorej nariadenia alebo pokyny konatelia spoločnosti zvyčajne plnia, sa bez toho, aby bola formálne vymenovaná, sa považuje za konateľa, pokiaľ ide o všetky povinnosti a záväzky, ktorým podliehajú konatelia</w:t>
      </w:r>
      <w:r w:rsidRPr="00A53EE0">
        <w:rPr>
          <w:rFonts w:ascii="Times New Roman" w:hAnsi="Times New Roman"/>
          <w:sz w:val="24"/>
          <w:szCs w:val="24"/>
        </w:rPr>
        <w:t xml:space="preserve">“. V  tomto prípade je možné konanie týchto osôb pričítať právnickej osobe rovnako ako v osôb podlľa písm. b) len ak tieto osoby konali v záujme právnickej osoby (viď odsek 2), právnickej osobe nemožno teda pričítať konanie týchto osôb ak tieto síce konali v mene právnickej osoby alebo jej prostredníctvom, ale konali výlučne vo vlastnom záujme,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xml:space="preserve">d) iný zamestnanec alebo osoba v obdobnom postavení („dohodár“, prípadne príkazník, mandatár, resp. osoba plniaca úlohy pre právnickú osobu na základe zmluvného občianskoprávneho alebo obchodnoprávneho vzťahu) pri plnení pracovných úloh pre právnickú osobu ak koná na základe rozhodnutia, schválenia alebo pokynu orgánov právnickej osoby alebo osoby uvedenej v písmenách a) až d) (bez ohľadu na okolnosť, akou formou  udeleným), alebo ak konala preto, že orgány právnickej osoby alebo osoby uvedené v písmenách a) až d) si nesplnili zákonom uložené povinnosti v rámci dohľadu a kontroly nad činnosťou zamestnancov (napr. na úseku bezpečnosti práce), alebo ak tieto orgány alebo osoby nevykonali nevyhnutné opatrenia k zamedzeniu alebo odvráteniu následkov trestného činu. Trestná zodpovednosť právnickej osoby nevzniká pri excesívnom konaní zamestnanca, ktorý koná výlučne v svoj prospech.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odseku 3 je upravený liberačný dôvod (materiálny korektív) vo vzťahu k vyvodeniu  trestnej zodpovednosti právnickej osoby za konanie zamestnanca, ktoré bolo spôsobené výlučne tým, že právnická osoba nesplnila zákonom uložené povinnosti v rámci dohľadu a kontroly nad činnosťou zamestnancov. Právnickej osobe sa takýto trestný čin nepričíta ak význam nesplnenia týchto povinností k spáchanému trestnému činu je vzhľadom na predmet činnosti právnickej osoby, spôsob vykonania trestného činu a jeho následky a okolnosti, za ktorých bol trestný čin spáchaný nepatrný.</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zmysle odseku 4 sa pre vyvodenie trestnej zodpovednosti právnickej osoby nevyžaduje vyvodenie trestnej zodpovednosti fyzickej osoby a súčasne sa upravuje, že trestná zodpovednosť právnickej osoby nie je podmienená ani zistením, ktorá konkrétna fyzická osoba za právnickú osobu konala.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Odsek 5 upravuje prípady vzniku právne dôležitých skutočností podľa osobitných prepisov, ktoré však nemajú vplyv na trestnú zodpovednosť právnickej osoby.</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Odsek 6 upravuje ďalšie zákonné predpoklady, pri splnení ktorých sa rovnako aplikujú ustanovenia § 4 o trestnej zodpovednosti právnickej osoby.</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5</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ab/>
      </w: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Uvedené ustanovenie expressis verbis vylučuje trestnú zodpovednosť právnických osôb určitých subjektov, ktoré sú v tomto ustanovení vymenované. Jedná sa o subjekty, ktoré priamo vykonávajú alebo plnia úlohy štátu alebo štátnej správy, alebo boli zriadené zákonom. Vyvodzovaním trestného postihu voči týmto právnickým osobám by štát jednak postihoval sám seba, ale taktiež by to mohlo mať dopad na výkon verejnej správy. Nie všetky právnické osoby budú teda podliehať trestnej zodpovednosti. Vylúčenie trestnej zodpovednosti právnických osôb sa týka najmä štátu a jeho orgánov, ako aj iných štátov, či medzinárodných organizácií, čo zodpovedá aj medzinárodným záväzkom Slovenskej republiky.</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Jedinou výnimkou v zmysle odseku 2 sú právnické osoby, v ktorých majú takéto subjekty majetkovú účasť. Voči takýmto právnickým osobám, je možné vyvodiť trestnú zodpovednosť za spáchaný trestný čin. Ide najmä o právnické osoby - podniky s majetkovou účasťou štátu alebo samosprávy.</w:t>
      </w:r>
    </w:p>
    <w:p w:rsidR="00A53EE0" w:rsidRPr="00A53EE0" w:rsidP="00A53EE0">
      <w:pPr>
        <w:bidi w:val="0"/>
        <w:spacing w:after="0" w:line="240" w:lineRule="auto"/>
        <w:jc w:val="both"/>
        <w:rPr>
          <w:rFonts w:ascii="Times New Roman" w:hAnsi="Times New Roman"/>
          <w:b/>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6</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ab/>
      </w: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Uvedené ustanovenie definuje páchateľa trestného činu. Povaha právnickej osoby vylučuje prevzatie úpravy páchateľa, resp. spolupáchateľa z Trestného zákona (§ 19 a 20), nakoľko páchateľstvo právnickej osoby je viazané na pričítateľnosť škodlivého následku trestného činu. „Spôsobom uvedeným v tomto zákone“ sa rozumejú jak objektívne tak subjektívne predpoklady vzniku trestnej zodpovednosti právnickej osoby. V odseku 2 sa definuje spolupáchateľstvo pri trestných činoch spáchaných právnickou osobou a v odseku 3 forma účastníctva právnickej osoby na spáchanom trestnom čine.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7</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Trestná zodpovednosť právnickej osoby je úzko spätá s problematikou právneho nástupníctva právnickej osoby. Otázku prechodu trestnej zodpovednosti právnických osôb je nevyhnutné výslovne upraviť v návrhu zákona, v opačnom prípade by zrušenie právnickej osoby s právnym nástupcom znamenal jednoduchý spôsob ako sa trestnej zodpovednosti vyhnúť. Takáto právna úprava nie je ojedinelá a možno ju považovať za štandard v rámci právnych úprav trestnej zodpovednosti právnických osôb. Na základe uvedeného bude teda trestná zodpovednosť právnickej osoby prechádzať na všetkých jej právnych nástupcov. Právne nástupníctvo bude úzko previazané najmä s prechodom imania zrušenej právnickej osoby, ktorý pojem vyjadruje najadekvátnejšie väzbu na (pôvodný) majetkový substrát právnickej osoby. Toto pravidlo bude mať jedinú výnimku, a to prípad keď celé imanie po zrušení právnickej osoby preberá fyzická osoba. Prechod trestnej zodpovednosti na jej právnych nástupcov sa týka aj uložených trestov. V prípade viacerých právnych nástupcov bude trestná zodpovednosť zaťažovať všetkých z nich a v to v rozsahu, ktorý určí súd v zmysle zásad pre ukladanie trestu (§ 11 ods. 3).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Podľa navrhovanej právnej úpravy budú všetky úkony smerujúce k zmene právnickej osoby (zmenou treba podľa odseku 4 rozumieť zlúčenie, splynutie alebo rozdelenie právnickej osoby, prevod imania na spoločníka, zmenu právnej formy a premiestnenie sídla právnickej osoby do zahraničia) budú od momentu začatia trestného stíhania a vznesenia obvinenia proti právnickej osobe podliehať súhlasu súdu (§ 25 ods. 2). Nevylučuje sa teda, aby k zmene právnickej osoby mohlo dôjsť aj počas trestného stíhania danej právnickej osoby, pričom súd pri ukladaní trestu pre právnickú osobu, resp. nástupnícku právnickú osobu bude prihliadať na okolnosti podľa navrhovaného § 11 ods. 3.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Osobitne je v návrhu zákona riešená problematika zmeny alebo zrušenia právnickej osoby počas vykonávacieho konania, t.j. v čase keď sa už neuplatňujú obmedzenia týkajúce sa zmeny, zrušenia alebo zániku právnickej osoby podľa § 25. Návrh zákona v tomto prípade vychádza zo zásady, že trestná zodpovednosť postihuje aj právnych nástupcov odsúdenej právnickej osoby, ktorí sú právnickými osobami. Uvedené sa vzťahuje aj na nevykonané tresty a ochranné opatrenie. Pre prípad, že právnická osoba sa zlúči s inou právnickou osobou, alebo sa rozdelí, zmení právnu formu a pod. počas vykonávacieho konania, priamo zo zákona nastane prechod trestnej zodpovednosti na všetky právnické osoby, ktorá sú právnym nástupcom pôvodnej právnickej osoby. Tento záver je nevyhnutné prijať, a to v záujme zamedzenia vyhnutia sa výkonu uloženého trestu (alebo ochranného opatrenia) po právoplatnom skončení trestného konania. Súčasne sa však zohľadňuje fakt, že nástupnícke právnické osoby nie sú totožným subjektom ako pôvodná právnická osoba, a preto sa umožňuje, aby na ich návrh trestný súd zmenil účinky prechodu trestnej zodpovednosti, t.j. rozhodol či trestná zodpovednosť prechádza na všetkých právnych nástupcov a ak áno, tak v akom rozsahu.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Príklad: právoplatne odsúdená spoločnosť A, ktorej súd právoplatne uložil trest zákazu účasti vo verejnom obstarávaní v trvaní piatich rokov sa ešte pred vykonaním celého trestu rozdelí na spoločnosti B a C. Podľa § 7 ods. 1 návrhu zákona v spojitosti so zákonom o obchodnom registri pri zápise nových spoločností B a C zapíše registrový súd do obchodného registra aj to, že tieto spoločnosti postihuje nevykonaný trest zákazu účasti vo verejnom obstarávaní. Spoločnosť B alebo C však bude môcť podať návrh súdu, aby rozhodol, že tento nevykonaný trest sa na ne nevzťahuje, alebo sa vzťahuje len v obmedzenom rozsahu. Súd podľa § 11 ods. 3 preskúma v akom rozsahu na niektorú z nich prešlo imanie zodpovedajúce prospechu alebo iné výhody zo spáchaného trestného činu, prípadne v akom rozsahu ktorákoľvek z nich pokračuje v činnosti, v súvislosti s ktorou bol spáchaný trestný čin a na podklade toho vydá nový rozsudok.</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8</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Na trestnú zodpovednosť právnických osôb sa samozrejme vzťahujú, s odchýlkami ustanovenými týmto návrhom zákona, aj všetky ustanovenia všeobecnej časti Trestného zákona o príprave na zločin, o pokuse, o okolnostiach vylučujúcich protiprávnosť činu, o základných zásadách ukladania sankcií, o ukladaní a výkone jednotlivých trestov, o zániku trestnosti a trestu.</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Osobitne sa vo vzťahu k právnickým osobám upravuje problematika účinnej ľútosti. Tieto ustanovenia sú výsledkom prispôsobenia doteraz zaužívanej právnej úpravy potrebám zohľadňujúcim fungovanie právnických osôb. Právna úprava kladie dôraz na zabránenie vzniku škodlivého následku alebo jeho nápravu, ak už nastal. Uprednostňuje sa teda reparačné pôsobenie právnickej osoby pred samotným vyvodením trestnej zodpovednosti.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Aplikovanie účinnej ľútosti však bude vylúčené v prípade trestných činov korupcie, kde Slovenská republika ratifikáciou Dohovoru o boji s podplácaním zahraničných verejných činiteľov v medzinárodných obchodných transakciách (oznámenie č. 318/1999 Z. z.) a Trestnoprávneho dohovoru o korupcii (oznámenie č. 375/2002 Z. z.) prevzala záväzok vylučujúci aplikáciu ustanovení o účinnej ľútosti v prípade trestných činov korupcie a rovnako sa vylučuje vo vzťahu k trestnému činu poškodzovania finančných záujmov Európskych spoločenstiev podľa § 261 Trestného zákona.</w:t>
      </w:r>
      <w:r w:rsidRPr="00A53EE0">
        <w:rPr>
          <w:rFonts w:ascii="Times New Roman" w:hAnsi="Times New Roman"/>
          <w:sz w:val="24"/>
          <w:szCs w:val="24"/>
          <w:u w:val="single"/>
        </w:rPr>
        <w:t xml:space="preserve"> </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9</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Ustanovujú sa podmienky pre zahladenie trestu právnickej osoby v trvaní vo vzťahu k jednotlivým kategóriám trestných činov. Navrhovaná právna úprava vychádza zo všeobecnej úpravy Trestného zákona (§ 92 a 93).  </w:t>
        <w:tab/>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10</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Vymedzujú sa druhy trestov, ktoré môže súd uložiť právnickej osobe za spáchaný trestný čin.  </w:t>
      </w:r>
    </w:p>
    <w:p w:rsidR="00A53EE0" w:rsidRPr="00A53EE0" w:rsidP="00A53EE0">
      <w:pPr>
        <w:bidi w:val="0"/>
        <w:spacing w:after="0" w:line="240" w:lineRule="auto"/>
        <w:jc w:val="both"/>
        <w:rPr>
          <w:rFonts w:ascii="Times New Roman" w:hAnsi="Times New Roman"/>
          <w:b/>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11</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ab/>
      </w: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Ustanovujú sa zásady ukladania trestov pre právnické osoby založené na princípe proporcionality trestu. V odseku 1 sa ustanovuje, že súd pri určovaní druhu trestu a jeho výmery prihliada najmä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Pri určovaní druhu trestu a jeho výmery súd prihliada tiež na to, aby postihovali právnickú osobu tak, aby bol zabezpečený ich čo najmenší vplyv na zamestnancov, na právom chránené záujmy poškodených a veriteľov právnickej osoby, ktorých pohľadávky voči trestne zodpovednej právnickej osobe vznikli v dobrej viere a nemajú pôvod alebo nesúvisia s trestným činom právnickej osoby, na pôsobenie právnickej osoby po spáchanom čine, najmä na jej účinnú snahu nahradiť spôsobenú škodu alebo odstrániť iné škodlivé následky trestného činu, na očakávaný dôsledok trestu pre jej ďalšiu činnosť, na pomer, v akom na ňu prešli výhody z trestného činu spáchaného v spolupáchateľstve (odsek 2)</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odseku 3 sa stanovujú podmienky pre ukladanie trestov právnym nástupcom právnickej osoby, pričom sa určuje, že pri rozhodovaní treba prihliadnuť primárne na to, v akom rozsahu na niektorého z nástupcov prešlo imanie zodpovedajúce prospechu, sekundárne na iné výhody zo spáchaného trestného činu a subsidiárne aj na to v akom rozsahu ktorýkoľvek z nástupcov pokračuje v činnosti, v súvislosti s ktorou bol spáchaný trestný čin.</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odseku 4 sa stanovujú podmienky ukladania jednotlivých trestov popri sebe a výnimky z tohto pravidla.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12</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Upravujú sa podmienky pre uloženie trestu zrušenia právnickej osoby. V odseku 1 sa navrhuje jeho obligatórne uloženie v prípadoch, ak činnosť právnickej osoby bola úplne alebo prevažne využívaná na páchanie trestnej činnosti, teda v prípadoch ak činnosť právnickej osoby je obmedzená na páchania trestnej činnosti. V odseku 2 sa upravuje fakultatívne uloženie trestu zrušenia právnickej osoby, a to v prípadoch, ak súd odsudzuje právnickú osobu za trestný čin, za ktorý Trestný zákon umožňuje uložiť trest odňatia slobody na dvadsaťpäť rokov alebo na doživotie. V odseku 3 sa ustanovuje, že právoplatnosťou rozhodnutia, ktorým bol uložený trest zrušenia právnickej osoby, takáto právnická osoba vstupuje do likvidácie. V odseku 4 sa stanovuje postup súdu v prípade uloženia trestu zrušenia právnickej osoby, ktorá je komoditnou burzou a to vyžiadaním si vyjadrenia príslušného orgánu verejnej správy, ktorý udeľuje povolenie na vznik a činnosť komoditnej burzy osobitného predpisu, ktorým je   zákon č. 92/2008 Z. z. o komoditnej burze a o doplnení zákona Národnej rady Slovenskej republiky č. 145/1995 Z. z. o správnych poplatkoch v znení neskorších predpisov.  V odseku 5 sa obdobným spôsobom upravuje postup súdu v prípade uloženia trestu zrušenia právnickej osoby, ktorá je dohliadaným subjektom finančného trhu podliehajúcim dohľadu vykonávanému Národnou bankou Slovenska.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Podrobnosti výkonu trestu zrušenia právnickej osoby upravuje návrh zákona v § 30.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13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Upravujú sa podmienky pre uloženie trestu prepadnutia majetku právnickej osoby, a to obligatórne v prípade odsúdenia právnickej osoby za trestný čin uvedený v § 58 ods. 2 Trestného zákona ak súčasne právnická osoba nadobudla majetok aspoň v značnom rozsahu trestnou činnosťou alebo z príjmov pochádzajúcich z trestnej činnosti a rovnako obligatórne v prípade odsúdenia právnickej osoby za trestný čin uvedený v § 58 ods. 3 Trestného zákona.</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odseku 2 sa upravujú následky trestu prepadnutia majetku, ktorými sú vyhlásenie konkurzu na odsúdenú právnickú osobu, ktorý sa vykoná podľa zákona č. 7/2005 Z. z. o konkurze a reštrukturalizácii a o zmene a doplnení niektorých zákonov v znení neskorších predpisov a okruh majetku, ktorý možno týmto trestom postihnúť. Trest prepadnutia majetku vo vzťahu k odsúdeným fyzickým osobám a právnickým osobám sa vykoná identicky, t. j. vyhlásením konkurzu na majetok odsúdenej osoby.  Okruh majetku, ktorý možno postihnúť trestom prepadnutia majetku sa odvíja od právnej úpravy zákona o konkurze a reštrukturalizácii. V zmysle takejto úpravy, majetok, ktorý vo všeobecnosti nepodlieha konkurzu, nebude postihovaný ani trestnoprávnou sankciou. Takáto konštrukcia umožňuje, aby v rámci konkurzného konania, prostredníctvom jeho špecifických inštitútov (napr. odporovateľnosť) boli riešené aj právne úkony, ktoré boli odsúdeným dlžníkom vykonané v úmysle ukrátiť (aj budúce) pohľadávky veriteľov.</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odseku 3 sa ustanovuje, že vlastníkom prepadnutého majetku sa stáva štát, ak súd nerozhodne inak na základe vyhlásenej medzinárodnej zmluvy, ktorou je Slovenská republika viazaná. V tejto súvislosti rovnako ako s platnou úpravou trestu prepadnutia majetku u fyzických osôb, resp. ochranného opatrenia zhabania majetku podľa § 83b Trestného zákona, sa postihne majetok odsúdenej osoby, ktorý vlastní po skončení konkurzného konania a ten sa stane majetkom Slovenskej republiky, ak sa nerozhodne na základe vyhlásenej medzinárodnej zmluvy inak.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odseku 4 sa určuje  postup súdu pri ukladaní trestu prepadnutia majetku právnickej osobe, ktorá je dohliadaným subjektom finančného trhu podliehajúcim dohľadu vykonávanému Národnou bankou Slovenska. V takomto prípade súd pred uložením trestu požiada o vyjadrenie Národnú banku Slovenska a pri ukladaní trestu prihliadne na jej vyjadrenie.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Návrh zákona tak preberá doterajšiu filozofiu Trestného zákona, ktorý kladie v prípade prepadnutia majetku dôraz na ochranu práva a právom chránených osôb – v tomto prípade veriteľov právnickej osoby.</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tejto súvislosti dochádza súčasne k precizovaniu doterajšej právnej úpravy v zákone č. 7/2005 Z. z. o konkurze a reštrukturalizácii a o zmene a doplnení niektorých zákonov v znení neskorších predpisov (viď príslušný novelizačný článok).</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14</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Pre uloženie trestu prepadnutia veci sa využije úprava Trestného zákona (§ 60). Trest prepadnutia veci bude možné uložiť za rovnakých podmienok ako u fyzickej osoby.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15</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Ustanovuje sa, že peňažný trest môže súd uložiť za trestný čin vo výške od 1500 eur do 1 600 000 eur. Peňažný trest bude možné uložiť právnickej osobe za všetky trestné činy uvedené § 3 návrhu zákona.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16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Zákaz činnosti právnickej osoby sa týka určitej činnosti, ku ktorej je potrebné osobitné  povolenie, alebo ktorých podmienky upravuje osobitný zákon a v súvislosti s ktorou došlo k spáchaniu trestného činu. Trest zákazu činnosti môže súd uložiť na jeden rok až desať rokov.</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Pre stanovenie druhu a výmery trestu pre právnickú osobu súd prihliadne okrem iného na následok uloženia trestu na samotnú budúcu činnosť právnickej osoby ako aj na dôsledky, ktoré môže mať uloženie takéhoto trestu na tretie osoby.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17</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Upravujú sa podmienky pre uloženie trestu zákazu prijímať dotácie alebo subvencie. Jednou z foriem činnosti, ktorými právnická osoba vykonáva svoju činnosť a ktorá sa dotýka spoločenských záujmov, je účasť vo výberových konaniach na rôzne formy dotácií, príspevkov alebo iných plnení z verejných rozpočtov. Navrhuje sa, aby súd v prípade odsúdenia právnickej osoby za trestný čin spáchaný v súvislosti so žiadosťou, poskytnutím alebo využívaním dotácie alebo subvencie, príspevku alebo iného plnenia zo štátneho rozpočtu, z rozpočtu verejnoprávnej inštitúcie, rozpočtu štátneho fondu, rozpočtu vyššieho územného celku alebo rozpočtu obce mohol takejto právnickej osobe uložiť trest zákazu ich prijímať na dobu jedného roka až desiatich rokov.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Trest zákazu prijímať dotácie alebo subvencie znemožňuje, aby sa odsúdená právnická osoba mohla o takéto finančné prostriedky uchádzať, resp. ich prijať. Porušenie tohto zákazu bude zakladať trestnú zodpovednosť pre trestný čin marenia výkonu úradného rozhodnutia (viď čl. III).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Na účely zabezpečenia riadneho výkonu tohto trestu sa do zákonov všeobecne upravujúcich poskytovanie dotácií zavádza nová podmienka, ktorá musí byť splnená, a to skutočnosť, že žiadateľovi o dotáciu, ktorým je právnická osoba, nebol právoplatne uložený trest zákazu prijímať verejné dotácie a subvencie.</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Uloženie tohto trestu sa bude súčasne evidovať v registroch, do ktorých zápisom právnická osoba vzniká, a to v záujme zabezpečenia publicity tejto právnej skutočnosti, a to v záujme minimalizovať rizika porušovania uloženého zákazu.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18</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Trest zákazu prijímať pomoc a podporu poskytovanú z fondov Európskej únie znemožňuje odsúdenej právnickej osobe prijímať pomoc a podporu poskytovanú z fondov Európskej únie na dobu určenú súdom v rozsudku v trvaní od jedného roka do desiatich rokov, ak právnická osoba spáchala trestný čin v súvislosti so žiadosťou o pomoc a podporu poskytovanú z fondov Európskej únie podľa zákona č. 528/2008 Z. z. o pomoci a podpore poskytovanej z fondov Európskeho spoločenstva v znení neskorších predpisov alebo o iné plnenie z fondov Európskej únie, s ich poskytovaním alebo využívaním. Porušenie tohto zákazu bude zakladať trestnú zodpovednosť pre trestný čin marenie výkonu úradného rozhodnutia (viď čl. III).</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19</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Trest zákazu účasti na verejnom obstarávaní znemožňuje odsúdenej právnickej osobe zúčastniť sa verejného obstarávania na dobu určenú súdom v rozsudku v trvaní od jedného roka do desiatich rokov, ak právnická osoba spáchala trestný čin v súvislosti s verejným obstarávaním alebo v súvislosti so žiadosťou o pomoc a podporu poskytovanú z fondov Európskej únie . Z povahy veci pôjde predovšetkým o niektorý z trestných činov machinácie pri verejnom obstarávaní a verejnej dražbe podľa § 266 až § 268 Trestného zákona. Porušenie tohto zákazu bude zakladať trestnú zodpovednosť pre trestný čin marenie výkonu úradného rozhodnutia (viď čl. III).</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nadväznosti na zavedenie tohto nového trestu sa súčasne navrhuje vykonať novelizáciu zákona č. 25/2006 Z. z. o verejnom obstarávaní a o zmene a doplnení niektorých zákonov v znení neskorších predpisov, ktorej cieľom je nevyhnutným spôsobom upraviť procesy prebiehajúce v rámci verejného obstarávania alebo v súvislosti s ním.</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20</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Trest zverejnenia odsudzujúceho rozsudku môže pôsobiť ako veľmi účinný nový druh trestu, ktorý bude využívaný najmä v tých prípadoch, keď bude potrebné oboznámiť verejnosť s protiprávnou činnosťou odsúdenej právnickej osoby, napr. v prípadoch ohrozenia zdravia ľudí, zvierat, majetku alebo ochrany životného prostredia.</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Primárne bude publikačným zdrojom Obchodný vestník, pričom súd bude môcť uložiť aj zverejnenie v inom verejnom oznamovacom prostriedku (napr. periodická tlač s celoslovenskou alebo regionálnou pôsobnosťou, nemožno vylúčiť ani zverejnenie na internete) alebo aj v prevádzkových priestoroch právnickej osoby. Náklady spojené so zverejnením rozsudku bude znášať vždy odsúdená právnická osoba.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právnom poriadku Slovenskej republiky nejde o úplne neznámy typ sankcie ukladanej fyzickým osobám alebo právnickým osobám porušujúcim právne normy; k tomu pozri napr. § 71 zákona č. 122/2013 Z. z. o ochrane osobných údajov a o zmene a doplnení niektorých zákonov. </w:t>
      </w:r>
    </w:p>
    <w:p w:rsidR="00A53EE0" w:rsidRPr="00A53EE0" w:rsidP="00A53EE0">
      <w:pPr>
        <w:bidi w:val="0"/>
        <w:spacing w:after="0" w:line="240" w:lineRule="auto"/>
        <w:jc w:val="both"/>
        <w:rPr>
          <w:rFonts w:ascii="Times New Roman" w:hAnsi="Times New Roman"/>
          <w:b/>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21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Uvedené ustanovenie rieši zákaz dvojitého postihu právnickej osoby v správnom konaní a v trestnom konaní. Čiastočne rieši  prípady </w:t>
      </w:r>
      <w:r w:rsidRPr="00A53EE0">
        <w:rPr>
          <w:rFonts w:ascii="Times New Roman" w:hAnsi="Times New Roman"/>
          <w:i/>
          <w:sz w:val="24"/>
          <w:szCs w:val="24"/>
        </w:rPr>
        <w:t>ne bis in idem</w:t>
      </w:r>
      <w:r w:rsidRPr="00A53EE0">
        <w:rPr>
          <w:rFonts w:ascii="Times New Roman" w:hAnsi="Times New Roman"/>
          <w:sz w:val="24"/>
          <w:szCs w:val="24"/>
        </w:rPr>
        <w:t xml:space="preserve"> resp. prekážku veci rozhodnutej. V zmysle navrhovanej právnej úpravy sa správne konanie vedené voči právnickej osobe pre ten istý skutok, ktorý má znaky správneho deliktu prerušuje a nemožno v ňom pokračovať, ak sa vo veci pre ten istý skutok začne alebo vedie trestné stíhanie voči právnickej osobe. Začatím trestného stíhania proti právnickej osobe sa rozumie vznesenie obvinenia proti právnickej osobe. V zmysle ustálenej judikatúry európskych súdov sa taktiež navrhuje, aby právoplatné rozhodnutie v správnom konaní voči právnickej osobe, vydané pre ten istý skutok tvorilo prekážku veci rozhodnutej, pokiaľ takéto rozhodnutie nebolo predpísaným spôsobom zrušené.</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odseku 3 tohto ustanovenia sa rieši otázka plynutia premlčacej lehoty za správne delikty podľa správnych predpisov. Do tejto lehoty sa nezapočítava čas, počas ktorého sa viedlo trestné konanie pre ten istý skutok.</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22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uvedenom ustanovení sa upravuje miestna príslušnosť súdov na konanie o právnickej osobe. Tým sa taktiež určuje príslušnosť orgánov činných v trestnom konaní, ktoré vykonajú prípravné konanie</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23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Uvedené ustanovenie upravuje postup orgánov činných v trestnom konaní a súdov pri upovedomovaní príslušných štátnych orgánov, ktoré vedú registre, do ktorých zápisom právnická osoba vzniká, štátnych orgánov dohľadu o začatí, prerušení alebo právoplatnom skončení trestného stíhania voči právnickej osobe. Orgány činné v trestnom konaní a súdy budú povinné upovedomiť  tieto orgány o tom, že voči určitej právnickej osobe sa začalo trestné stíhanie, že sa právoplatne skončilo alebo prerušilo trestné stíhanie.</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Distribúcia týchto informácií je dôležitá hľadiska riadneho výkonu štátnej správy a naplnenia zmyslu novej právnej úpravy trestnej zodpovednosti právnických osôb. Upovedomovanie orgánov, ktoré vedú príslušné registre je dôležité z hľadiska aplikácie navrhovaného § 25 zákona, podľa ktorého zmena, zrušenia alebo zánik právnickej osoby po začatí trestného stíhania právnickej osoby bude podliehať súhlasnému rozhodnutiu súdu; toto obmedzenie bude trvať až do skončenia trestného stíhania. Upovedomenie orgánov štátneho dohľadu je dôležité z hľadiska výkonu oprávnení týchto orgánov rozhodovať o platnosti, či ďalšom trvaní, prípadne zrušení udeleného oprávnenia (licencie, povolenia a pod.).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Upovedomenie Úradu vlády Slovenskej republiky (odsek 2) pri konaniach pre trestný čin spáchaných v súvislosti s pomocou a podporou poskytovanou z fondov Európskej únie vyplýva z plnenia záväzkov Slovenskej republiky z právnych aktov EÚ (Nariadenie č. 1302/2008 o centrálnej databáze vylúčených subjektov, Nariadenie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Upovedomenie Úradu pre verejné obstarávanie (odsek 2) pri konaniach pre trestný čin spáchaný v súvislosti s  verejným obstarávaním má vplyv na aplikáciu § 21 návrhu zákona vo vzťahu ku konaniach o správnych deliktoch vedených Úradom pre verejné obstarávanie.  </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24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u w:val="single"/>
        </w:rPr>
      </w:pPr>
      <w:r w:rsidRPr="00A53EE0">
        <w:rPr>
          <w:rFonts w:ascii="Times New Roman" w:hAnsi="Times New Roman"/>
          <w:sz w:val="24"/>
          <w:szCs w:val="24"/>
        </w:rPr>
        <w:t>Navrhované ustanovenie upravuje spoločné konanie voči právnickej osobe a voči fyzickej osobe a postup v ňom. Platí, že trestná zodpovednosť právnickej osoby a trestná zodpovednosť fyzickej osoby sa posudzujú samostatne, pričom ak sa má vykonať určitý procesný úkon vo vzťahu k obom osobám, platí zásada, že uvedený procesný úkon sa vykoná najprv vo vzťahu k fyzickej osobe.</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25 </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Účelom navrhovaného ustanovenia je zamedziť situácii, kedy by v priebehu trestného stíhania dochádzalo k účelovým zmenám v právnickej osobe alebo k jej zrušeniu (zániku) a tak aj k znižovaniu alebo zániku trestnej zodpovednosti právnickej osoby najmä v dôsledku uskutočňovania právnych úkonov. K zmenám v právnickej osobe môže dôjsť taktiež v dôsledku iných právnych skutočností. Čo treba rozumieť zmenou právnickej osoby vyplýva z § 7 ods. 4 návrhu zákona.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Na tento účel sa navrhuje, aby všetky právne úkony, ktorý vedú k zmene, zrušeniu alebo zániku právnickej osoby boli oznamované prokurátorovi, resp. predsedovi senátu. Plnenie tejto povinnosti zaťažuje štatutárny orgán právnickej osoby.  Pokiaľ ide o iné právne skutočnosti, platí pre ich oznamovanie obdobná povinnosť, z povahy veci obmedzená okolnosťou, že štatutárny orgán o tom, že nastali vie, resp. musí vedieť  (odsek 1). Na strane druhej, účinnosť právnych úkonov bude vždy podmienená súhlasom súdu (odseky </w:t>
      </w:r>
      <w:smartTag w:uri="urn:schemas-microsoft-com:office:smarttags" w:element="metricconverter">
        <w:smartTagPr>
          <w:attr w:name="ProductID" w:val="2 a"/>
        </w:smartTagPr>
        <w:r w:rsidRPr="00A53EE0">
          <w:rPr>
            <w:rFonts w:ascii="Times New Roman" w:hAnsi="Times New Roman"/>
            <w:sz w:val="24"/>
            <w:szCs w:val="24"/>
          </w:rPr>
          <w:t>2 a</w:t>
        </w:r>
      </w:smartTag>
      <w:r w:rsidRPr="00A53EE0">
        <w:rPr>
          <w:rFonts w:ascii="Times New Roman" w:hAnsi="Times New Roman"/>
          <w:sz w:val="24"/>
          <w:szCs w:val="24"/>
        </w:rPr>
        <w:t xml:space="preserve"> 3). V konkrétnom prípade to znamená to, že napríklad trestne stíhaná spoločnosť s ručením obmedzeným sa bude môcť zlúčiť s inou právnickou osobou len so súhlasom sudcu. Začatie trestného stíhania bude oznamované štátnym orgánom, ktoré vedú registre, zápisom do ktorých právnická osoba vzniká podľa § 23, čím sa zabezpečí táto informácia aj pre štátne orgány, ktoré vedú príslušný register, či inú úradnú evidenciu. Od tohto momentu do momentu oznámenia právoplatného skončenia trestného stíhania bude akákoľvek zmena alebo návrh na zrušenie právnickej osoby podrobený skúmaniu, či je splnená podmienka existencie súhlasného rozhodnutia súdu (odsek 4). Povinnosť dokladovať tento súhlas bude mať právnická osoba, resp. osoby konajúce v jej mene pri podávaní návrhu do príslušného registra, či úradnej evidencie.   </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26 </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Obmedzujúce a zaisťovacie opatrenia smerujú k tomu, aby právnická osoba nepokračovala v trestnej činnosti alebo nedokonala čin, o ktorý sa pokúsila alebo aby nezmarila uloženie trestu postihujúceho jej majetok.</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Právna úprava obmedzujúcich a zaisťovacích opatrení je subsidiárnou právnou úpravou vo vzťahu k úprave podľa štvrtej a piatej hlavy prvej časti Trestného poriadku.</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Čo do výpočtu obmedzujúcich a zaisťujúcich opatrení je ich výpočet demonštratívny a nevylučuje uplatnenie aj iných opatrení, avšak pri ich ukladaní vždy platí, že súd musí zvažovať ich následky na právnickú osobu a jej činnosť a na tretie osoby.</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Z procesného hľadiska sa obmedzujúce a zaisťovacie opatrenia budú ukladať uznesením, proti ktorému bude prípustná sťažnosť, ktorá bude mať odkladný účinok jedine v obmedzenom rozsahu, ktorý vyplýva z odseku 6.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Pri realizácii týchto obmedzujúcich a zaisťujúcich opatrení sa bude postupovať podľa odseku 4, a teda ak napr. súd zakáže právnickej osobe nakladať s nehnuteľnosťami, zašle sa uznesenie súdu príslušnej správe katastra.</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27 </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Aby mohla právnická osoba vôbec vystupovať v trestnom konaní, navrhuje sa osobitná právna úprava vykonávania úkonov v mene právnickej osoby v trestnom konaní. Úprava vychádza z exitujúcich procesných kódexov (Občiansky súdny poriadok, Správny poriadok).</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prvom rade (odsek 1) budú úkony za právnickú osobu vykonávať jej štatutárne orgány. Nevylučuje sa však zastúpenie (odsek 2). Na preukázanie zastúpenia bude však potrebné špecifické plnomocenstvo, z ktorého obsahu vyplynie, že zástupca je fyzickou osobou zvolenou právnickou osobou špecificky na tento účel. Ingerencia súdu alebo prokurátora sa vyžaduje len v prípade, ak nie je možné zabezpečiť konania v mene právnickej osoby podľa navrhovaných odsekov 1 a 2. V tomto prípade sa právnickej osobe ustanoví opatrovník spravidla z radov advokátov, čo však nevylučuje opatrovníctvo aj inou osobou ako advokátom.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Osoba, ktorá bude konať v mene právnickej osoby v trestnom konaní bude mať možnosť využiť v konaní všetky procesné inštitúty, ktoré inak prináležia obvinenému, samozrejme v kontexte povahy toho ktorého inštitútu; k tomu pozri § 1 ods. 2 návrhu zákona a rozsah aplikovateľnosti Trestného poriadku.</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Vykonať hlavné pojednávanie bez prítomnosti osoby oprávnenej konať v mene právnickej osoby bude možné len vo výnimočných situáciách, ktoré sú vymedzené v odseku 6 v analógii k úprave Trestného poriadku.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Právnu úpravu v § 27 je potrebné odlišovať od inštitútu obhajoby, ktorý je upravený v § 28, a teda voľba zástupcu podľa § 27 ods. 2 nijako neobmedzuje právnickú osobu zvoliť si súčasne obhajcu z radov advokátov tak ako každý iný obvinený.</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28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Uvedené ustanovenie upravuje základné ústavné právo obvineného, ktorým je právo na obhajobu (čl. 50 ods. 3 Ústavy Slovenskej republiky). Právo zvoliť obhajcu právnickej osoby ma výlučne štatutárny orgán, takéto oprávnenie neprináleží zvolenému zástupcovi právnickej osoby podľa § 27 ods. 2. Obhajca právnickej osoby nemôže byť súčasne zástupcom právnickej osoby. Vo vzťahu k zvoleniu obhajcu právnickej osobe platia všetky ustanovenia Trestného poriadku s výnimkou ustanovení o tzv. povinnej obhajobe, ktorá sa v prípade právnických osôb z povahy veci nepoužije.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29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Uvedené ustanovenie upravuje následnosť vykonávania procesných úkonov v spoločných konaniach voči fyzickej osobe a právnickej osobe vo vzťahu k výsluchu na hlavnom pojednávaní, záverečnej reči a poslednému slovu. </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30 </w:t>
      </w:r>
    </w:p>
    <w:p w:rsidR="00A53EE0" w:rsidRPr="00A53EE0" w:rsidP="00A53EE0">
      <w:pPr>
        <w:bidi w:val="0"/>
        <w:spacing w:after="0" w:line="240" w:lineRule="auto"/>
        <w:ind w:firstLine="708"/>
        <w:jc w:val="both"/>
        <w:rPr>
          <w:rFonts w:ascii="Times New Roman" w:hAnsi="Times New Roman"/>
          <w:sz w:val="24"/>
          <w:szCs w:val="24"/>
          <w:u w:val="single"/>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Trest zrušenia právnickej osoby sa bude vykonávať formou zrušenia právnickej osoby s likvidáciou. Podľa návrhu zákona právnická osoba vstupuje do likvidácie právoplatnosťou odsudzujúceho rozsudku (pripustenie konceptu, aby v nadväznosti na trestné rozhodnutie sa spúšťal proces rozhodovania o likvidácii v osobitnom procese mimo trestného konania nie je namieste, preto sa účinok vstupu do likvidácie spája už s právoplatnosťou trestného rozsudku). Súd zabezpečí výkon rozsudku tak, že právoplatný rozsudok zašle príslušnému orgánu, ktorý vedie register, do ktorého zápisom právnická osoba vzniká (napr. registrový súd, Ministerstvo vnútra Slovenskej republiky a pod.). Tento orgán na poklade rozhodnutia súdu vykoná zápis v príslušnom registri, čím sa zabezpečí publicita zrušenia právnickej osoby a jej vstup do likvidácie. Samotná likvidácia sa vykoná podľa pravidiel ustanovených osobitnými predpismi, resp. ak takejto osobitnej právnej úpravy niet, likvidácia sa vykoná podľa ustanovení Obchodného zákonníka (k tomu pozri § 20a Občianskeho zákonníka). Náklady spojené s likvidáciou sa budú primárne uhrádzať z majetku zrušovanej právnickej osoby (§ 35 návrhu zákona).   </w:t>
      </w:r>
    </w:p>
    <w:p w:rsidR="00A53EE0" w:rsidP="00A53EE0">
      <w:pPr>
        <w:bidi w:val="0"/>
        <w:spacing w:after="0" w:line="240" w:lineRule="auto"/>
        <w:jc w:val="both"/>
        <w:rPr>
          <w:rFonts w:ascii="Times New Roman" w:hAnsi="Times New Roman"/>
          <w:sz w:val="24"/>
          <w:szCs w:val="24"/>
          <w:u w:val="single"/>
        </w:rPr>
      </w:pPr>
    </w:p>
    <w:p w:rsidR="00412A51" w:rsidP="00A53EE0">
      <w:pPr>
        <w:bidi w:val="0"/>
        <w:spacing w:after="0" w:line="240" w:lineRule="auto"/>
        <w:jc w:val="both"/>
        <w:rPr>
          <w:rFonts w:ascii="Times New Roman" w:hAnsi="Times New Roman"/>
          <w:sz w:val="24"/>
          <w:szCs w:val="24"/>
          <w:u w:val="single"/>
        </w:rPr>
      </w:pPr>
    </w:p>
    <w:p w:rsidR="00412A51" w:rsidP="00A53EE0">
      <w:pPr>
        <w:bidi w:val="0"/>
        <w:spacing w:after="0" w:line="240" w:lineRule="auto"/>
        <w:jc w:val="both"/>
        <w:rPr>
          <w:rFonts w:ascii="Times New Roman" w:hAnsi="Times New Roman"/>
          <w:sz w:val="24"/>
          <w:szCs w:val="24"/>
          <w:u w:val="single"/>
        </w:rPr>
      </w:pPr>
    </w:p>
    <w:p w:rsidR="00412A51" w:rsidP="00A53EE0">
      <w:pPr>
        <w:bidi w:val="0"/>
        <w:spacing w:after="0" w:line="240" w:lineRule="auto"/>
        <w:jc w:val="both"/>
        <w:rPr>
          <w:rFonts w:ascii="Times New Roman" w:hAnsi="Times New Roman"/>
          <w:sz w:val="24"/>
          <w:szCs w:val="24"/>
          <w:u w:val="single"/>
        </w:rPr>
      </w:pPr>
    </w:p>
    <w:p w:rsidR="00412A51"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31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 31 upravuje výkon trestu zákazu činnosti, trestu zákazu prijímať dotácie alebo subvencie, trestu zákazu prijímať pomoc a podporu poskytovanú z fondov Európskej únie a trestu zákazu účasti vo verejnom obstarávaní.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Podľa odseku 1 po právoplatnosti rozsudku, ktorým bol právnickej osobe uložený trest zákazu činnosti, predseda senátu, resp. samosudca zašle rovnopis rozsudku tomu kto vedie obchodný register (vo vzťahu k obchodným spoločnostiam) alebo iný zákonom určený register, zápisom v ktorom právnická osoba vzniká (napr. Ministerstvu vnútra Slovenskej republiky, ktoré vedie register nadácií, register občianskych združení, register neinvestičných fondov, register nadácií a pod.). Súčasne sa rovnopis takého rozsudku zasiela orgánu, ktorý vydáva oprávnenie na výkon tejto činnosti alebo ktorý výkon tejto činnosti eviduje (napr. ministerstvu spravodlivosti vo vzťahu k znaleckým ústavom, živnostenskému úradu a pod.) Výkon činnosti zo strany odsúdenej právnickej osoby, na ktorú sa vzťahuje rozhodnutie súdu o zákaze činnosti, zakladá trestnú zodpovednosť takejto právnickej osoby vo vzťahu k trestnému činu marenia výkonu úradného rozhodnutia podľa § 348 ods. 1 písm. d) Trestného zákona (viď bod 4 v čl. III – novela Trestného zákona).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Podľa odseku 2, len čo sa rozsudok, ktorým bol uložený trest zákazu prijímať verejné dotácie alebo subvencie, stal právoplatným, zašle predseda senátu jeho rovnopis tomu, kto vedie obchodný register alebo iný zákonom určený register, zápisom v ktorom právnická osoba vzniká. Porušenie zákazu prijímať verejné dotácie alebo subvencie právnickou osobou zakladá trestnú zodpovednosť takejto právnickej osoby vo vzťahu k trestnému činu marenia výkonu úradného rozhodnutia podľa novozavedeného písmena e) v § 348 ods. 1 Trestného zákona (viď bod 4 v čl. III – novela Trestného zákona).</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 právoplatnosti rozsudku, ktorým bol uložený trest zákazu prijímať pomoc a podporu poskytovanú z fondov Európskej únie, stal právoplatným, zašle predseda senátu jeho rovnopis Úradu vlády Slovenskej republiky a tomu, kto vedie obchodný register alebo iný zákonom určený register, zápisom v ktorom právnická osoba vzniká. Porušenie zákazu prijímať pomoc a podporu poskytovanú z fondov Európskej únie právnickou osobou zakladá trestnú zodpovednosť takejto právnickej osoby vo vzťahu k trestnému činu marenia výkonu úradného rozhodnutia podľa novozavedeného písmena e) v § 348 ods. 1 Trestného zákona (viď bod 4 v čl. III – novela Trestného zákona).</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Po právoplatnosti rozsudku, ktorým bol právnickej osobe uložený trest zákazu účasti vo verejnom obstarávaní, predseda senátu, resp. samosudca zašle rovnopis rozsudku Úradu pre verejné obstarávanie (pozri aj súvisiacu zmenu zákona č. 25/2006 Z. z. o verejnom obstarávaní a o zmene a doplnení niektorých zákonov v znení neskorších predpisov). Porušenie zákazu účasti vo verejnom obstarávaní právnickou osobou zakladá trestnú zodpovednosť takejto právnickej osoby vo vzťahu k trestnému činu marenia výkonu úradného rozhodnutia podľa novozavedeného písmena e) v § 348 ods. 1 Trestného zákona (viď bod 4 v čl. III – novela Trestného zákona).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32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Ustanovenie upravuje výkon trestu zverejnenia odsudzujúceho rozsudku. Navrhuje sa štandardný mechanizmus, podľa ktorého predseda senátu vyzve právnickú osobu, aby zverejnila právoplatný odsudzujúci rozsudok, a to v určenej lehote, v určenom rozsahu a určeným spôsobom – určenie týchto skutočností bude obsiahnuté už v odsudzujúcom rozsudku. Pre zaistenie riadneho výkonu tohto trestu sa navrhuje oprávnenie predsedu senátu uložiť právnickej osobe poriadkovú pokutu do výšky 16590 eur, a to aj opakovane. Sťažnosť proti rozhodnutiu o uložení poriadkovej pokuty bude prípustná a bude mať odkladný účinok. Náklady spojené so zverejnením odsudzujúceho rozsudku bude znášať právnická osoba.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33 </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Vzhľadom na charakter trestu zákazu prijímať verejné dotácie a subvencie, trestu zákazu prijímať pomoc a podporu poskytovanú z fondov Európskej únie a trestu zákazu účasti vo verejnom obstarávaní sa navrhuje podobne ako v prípade trestu zákazu činnosti, pripustiť podmienečné upustenie od výkonu zvyšku týchto trestov.</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Subsidiárne sa v tomto prípade použijú z hľadiska podmienok podmienečného upustenia od výkonu zvyšku týchto trestov ustanovenia Trestného zákona o podmienečnom upustení od zvyšku trestu zákazu činnosti.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34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ab/>
        <w:t>Vo vzťahu k právnemu styku s cudzinou platí zásada subsidiarity piatej časti Trestného poriadku o právnom styku s cudzinou, ak medzinárodná zmluva alebo osobitný zákon neustanovujú inak, v opačnom prípade sa postupuje podľa medzinárodnej zmluvy alebo osobitného zákona.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tomto odseku sa taktiež rieši postup a konanie v prípade uznávania cudzích rozhodnutí. Platí, že samotné uznávacie konanie sa spravuje príslušnými ustanoveniami piatej časti Trestného poriadku o uznávaní cudzích rozhodnutí, pričom samotný výkon takéhoto uznaného rozhodnutia sa spravuje týmto zákonom.</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35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Navrhované ustanovenie vychádza z § 553 ods. 1 Trestného poriadku, pričom zásadu, podľa ktorej trovy nevyhnutné na vykonanie trestného konania znáša štát modifikuje tak, že tieto trovy sa prioritne uhrádzajú z majetku spoločnosti a až ak tento postup nie je možný, uhrádza ich štát. Tento postup sa uplatní aj v likvidačnom konaní, ktoré nasleduje po skončení trestného konania v súvislosti s výkonom trestu zrušenia právnickej osoby.</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 36</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Rešpektujúc ústavné zásady posudzovania trestnosti (čl. 50 Ústavy Slovenskej republiky) sa navrhuje, aby zákon postihoval výlučne konania, ktoré nastanú po jeho účinnosti.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 37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Transpozičné ustanovenie odkazujúce na prílohu zákona – Zoznam preberaných právne záväzných dokumentov Európskej únie. </w:t>
      </w:r>
    </w:p>
    <w:p w:rsidR="00A53EE0" w:rsidP="00A53EE0">
      <w:pPr>
        <w:bidi w:val="0"/>
        <w:spacing w:after="0" w:line="240" w:lineRule="auto"/>
        <w:jc w:val="both"/>
        <w:rPr>
          <w:rFonts w:ascii="Times New Roman" w:hAnsi="Times New Roman"/>
          <w:b/>
          <w:sz w:val="24"/>
          <w:szCs w:val="24"/>
        </w:rPr>
      </w:pPr>
    </w:p>
    <w:p w:rsidR="00412A51" w:rsidP="00A53EE0">
      <w:pPr>
        <w:bidi w:val="0"/>
        <w:spacing w:after="0" w:line="240" w:lineRule="auto"/>
        <w:jc w:val="both"/>
        <w:rPr>
          <w:rFonts w:ascii="Times New Roman" w:hAnsi="Times New Roman"/>
          <w:b/>
          <w:sz w:val="24"/>
          <w:szCs w:val="24"/>
        </w:rPr>
      </w:pPr>
    </w:p>
    <w:p w:rsidR="00412A51" w:rsidRPr="00A53EE0" w:rsidP="00A53EE0">
      <w:pPr>
        <w:bidi w:val="0"/>
        <w:spacing w:after="0" w:line="240" w:lineRule="auto"/>
        <w:jc w:val="both"/>
        <w:rPr>
          <w:rFonts w:ascii="Times New Roman" w:hAnsi="Times New Roman"/>
          <w:b/>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II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(Občiansky zákonník)</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nevyhnutnom rozsahu sa dopĺňajú zákony upravujúce vzťahy právnických osôb tak, aby v príslušnom registri alebo inej úradnej evidencii mohli byť uvádzané aj tresty uložené právnickej osobe v trestnom konaní a aby trest zrušenia právnickej osoby a jej likvidácia boli vykonateľné.</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tejto súvislosti treba poukázať aj na tú skutočnosť, že podľa právnej úpravy obsiahnutej v čl. I štátnym orgánom, ktoré vedú príslušný register, zápisom v ktorom právnická osoba vznik, sa budú zasielať len rozhodnutia (a teda oznamovať právoplatné uloženie trestov), ktorými sa ukladá trest zrušenia právnickej osoby, trest zákazu účasti vo verejnom obstarávaní, trest zákazu prijímať verejné dotácie alebo subvencie a trest zákazu činnosti; k tomu pozri ustanovenia o výkone týchto trestov. V prípade trestu zrušenia právnickej osoby je rozhodnutie súdu podkladom, pre vykonanie všetkých úkonov spojených s likvidáciou právnickej osoby. V prípade trestov, ktorými sa zakazuje určitá činnosť alebo konania sa takto zabezpečí materiálna publicita obmedzenia činnosti právnickej osoby. Ostatné tresty sa oznamovať nebudú.</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Nakoľko ďalšie novelizačné články obsahujú novelizácie zákonov, ktorých účel je rovnaký, osobitná časť odkazuje na odôvodnenie v čl. II.</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III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(Trestný zákon)</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Podľa platnej právnej úpravy Trestného zákona sa páchateľstvo trestného činu obmedzuje výlučne na fyzické osoby. Trestnú zodpovednosť právnických osôb Trestný zákon v platnom znení nepripúšťa. Zavedenie trestnej zodpovednosti právnických osôb nevyhnutne vyžaduje modifikáciu vymedzenia všeobecného páchateľstva podľa § 19 ods. 2 Trestného zákona, a to tak, že Trestný zákon ako kódex priamo a vyslovene pripustí aj páchateľstvo právnických osôb, pričom právna úprava trestnej zodpovednosti bude upravená v osobitnom zákone, ktorým je zákon navrhovaný v čl. I.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bodom 2 a 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nadväznosti na zavedenie novej právnej úpravy trestnej zodpovednosti právnických osôb sa upúšťa od doterajšieho konceptu postihovania právnických osôb prostredníctvom ochranných opatrení zhabanie majetku (§83a) a zhabanie peňažnej čiastky (§83b). Na tento účel sa ruší doterajšia právna úprava týchto ochranných opatrení v Trestnom zákone.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4</w:t>
      </w:r>
    </w:p>
    <w:p w:rsidR="00A53EE0" w:rsidP="00A53EE0">
      <w:pPr>
        <w:bidi w:val="0"/>
        <w:spacing w:after="0" w:line="240" w:lineRule="auto"/>
        <w:jc w:val="both"/>
        <w:rPr>
          <w:rFonts w:ascii="Times New Roman" w:hAnsi="Times New Roman"/>
          <w:sz w:val="24"/>
          <w:szCs w:val="24"/>
        </w:rPr>
      </w:pPr>
    </w:p>
    <w:p w:rsidR="00B4294C" w:rsidP="00B4294C">
      <w:pPr>
        <w:bidi w:val="0"/>
        <w:spacing w:after="0" w:line="240" w:lineRule="auto"/>
        <w:ind w:firstLine="708"/>
        <w:jc w:val="both"/>
        <w:rPr>
          <w:rFonts w:ascii="Times New Roman" w:hAnsi="Times New Roman"/>
          <w:sz w:val="24"/>
          <w:szCs w:val="24"/>
        </w:rPr>
      </w:pPr>
      <w:r>
        <w:rPr>
          <w:rFonts w:ascii="Times New Roman" w:hAnsi="Times New Roman"/>
          <w:sz w:val="24"/>
          <w:szCs w:val="24"/>
        </w:rPr>
        <w:t>Ide o legislatívno-technickú úpravu v súvislosti s používaním pojmov Európske spoločenstvá a Európska únia.</w:t>
      </w:r>
    </w:p>
    <w:p w:rsidR="00B4294C" w:rsidP="00A53EE0">
      <w:pPr>
        <w:bidi w:val="0"/>
        <w:spacing w:after="0" w:line="240" w:lineRule="auto"/>
        <w:jc w:val="both"/>
        <w:rPr>
          <w:rFonts w:ascii="Times New Roman" w:hAnsi="Times New Roman"/>
          <w:sz w:val="24"/>
          <w:szCs w:val="24"/>
        </w:rPr>
      </w:pPr>
    </w:p>
    <w:p w:rsidR="00B4294C" w:rsidRPr="00B4294C" w:rsidP="00A53EE0">
      <w:pPr>
        <w:bidi w:val="0"/>
        <w:spacing w:after="0" w:line="240" w:lineRule="auto"/>
        <w:jc w:val="both"/>
        <w:rPr>
          <w:rFonts w:ascii="Times New Roman" w:hAnsi="Times New Roman"/>
          <w:sz w:val="24"/>
          <w:szCs w:val="24"/>
          <w:u w:val="single"/>
        </w:rPr>
      </w:pPr>
      <w:r w:rsidRPr="00B4294C">
        <w:rPr>
          <w:rFonts w:ascii="Times New Roman" w:hAnsi="Times New Roman"/>
          <w:sz w:val="24"/>
          <w:szCs w:val="24"/>
          <w:u w:val="single"/>
        </w:rPr>
        <w:t>K bodu 5</w:t>
      </w:r>
    </w:p>
    <w:p w:rsidR="00B4294C" w:rsidP="00A53EE0">
      <w:pPr>
        <w:bidi w:val="0"/>
        <w:spacing w:after="0" w:line="240" w:lineRule="auto"/>
        <w:jc w:val="both"/>
        <w:rPr>
          <w:rFonts w:ascii="Times New Roman" w:hAnsi="Times New Roman"/>
          <w:sz w:val="24"/>
          <w:szCs w:val="24"/>
        </w:rPr>
      </w:pPr>
    </w:p>
    <w:p w:rsidR="00B4294C" w:rsidP="00B4294C">
      <w:pPr>
        <w:bidi w:val="0"/>
        <w:spacing w:after="0" w:line="240" w:lineRule="auto"/>
        <w:ind w:firstLine="708"/>
        <w:jc w:val="both"/>
        <w:rPr>
          <w:rFonts w:ascii="Times New Roman" w:hAnsi="Times New Roman"/>
          <w:sz w:val="24"/>
          <w:szCs w:val="24"/>
        </w:rPr>
      </w:pPr>
      <w:r w:rsidRPr="00B4294C">
        <w:rPr>
          <w:rFonts w:ascii="Times New Roman" w:hAnsi="Times New Roman"/>
          <w:sz w:val="24"/>
          <w:szCs w:val="24"/>
        </w:rPr>
        <w:t>Navrhuje sa upraviť nová skutková podstata trestného činu spočívajúca v neoprávnenom vyrobení, používaní alebo prechovávaní overovacej značky meradla alebo zabezpečovacej značky meradla podľa § 2 písm. k) a l) zákona č. 142/2000 Z. z. o metrológii a o zmene a doplnení niektorých zákonov v znení zákona č. 431/2004 Z. z. na účel použiť ju ako pravú. Potreba ustanovenia navrhovanej novej skutkovej podstaty trestného činu je daná neustálym a výrazným nárastom protispoločenskej činnosti spočívajúcej v neoprávnenom odbere komodít ako elektrická energia, zemný plyn alebo voda, ktorý je podľa osobitných zákonov považovaný za neoprávnený práve v dôsledku porušenia alebo falšovania zabezpečenia proti neoprávnenej manipulácii s meradlom, ktorého funkciu plní overovacia značka meradla alebo zabezpečovacia značka meradla. Iba množstvo odhaleného neoprávnene odobratého zemného plynu v dôsledku poškodených, chýbajúcich alebo falšovaných značiek meradla dosiahlo v roku 2013 takmer 3 milióny m3 (ročná spotreba rodinného domu, ktorý využíva plyn na kúrenie je 1500-2500 m3). Možno pritom dôvodne predpokladať latentnosť páchania tejto trestnej činnosti, pričom odhalené prípady predstavujú iba „špičku ľadovca“ z celkového množstva všetkých takých skutkov. Orgány činné v trestnom konaní v súčasnosti nemôžu postihovať osoby, ktoré najmä organizovanou formou vykonávajú úpravy stavov počítadiel na meradlách spotreby uvedených komodít, a to ani pri zadržaní týchto osôb s nástrojmi (raznicami a značkami) umožňujúcimi neoprávnené označovanie meradiel overovacími značkami alebo zabezpečovacími značkami po úprave stavu meradiel. Prípady dokázaných falošných overovacích značiek a zabezpečovacích značiek následne postupujú okresným úradom na prejednanie priestupku, ktoré ich odložia záznamom a vo veci nevykonávajú žiadne šetrenie smerujúce k odhaleniu páchateľa. Navrhuje sa preto, aby trestným činom bolo samotné neoprávnené vyrobenie overovacej značky alebo zabezpečovacej značky, resp. raznice. Prísnejšie bude posudzovaný taký čin, ktorý bude vykonaný závažnejším spôsobom konania (napr. organizovanou skupinou) alebo z osobitného motívu (napr. na objednávku). Pokiaľ takým činom bude spôsobená škoda, pôjde o súbeh s trestným činom krádeže, nakoľko neoprávnené osadenie overovacej značky a zabezpečovacej značky je vykonávané po znížení stavu na počítadle meradla príslušnej komodity.</w:t>
      </w:r>
    </w:p>
    <w:p w:rsidR="00B4294C" w:rsidP="00A53EE0">
      <w:pPr>
        <w:bidi w:val="0"/>
        <w:spacing w:after="0" w:line="240" w:lineRule="auto"/>
        <w:jc w:val="both"/>
        <w:rPr>
          <w:rFonts w:ascii="Times New Roman" w:hAnsi="Times New Roman"/>
          <w:sz w:val="24"/>
          <w:szCs w:val="24"/>
        </w:rPr>
      </w:pPr>
    </w:p>
    <w:p w:rsidR="00B4294C" w:rsidRPr="00B4294C" w:rsidP="00A53EE0">
      <w:pPr>
        <w:bidi w:val="0"/>
        <w:spacing w:after="0" w:line="240" w:lineRule="auto"/>
        <w:jc w:val="both"/>
        <w:rPr>
          <w:rFonts w:ascii="Times New Roman" w:hAnsi="Times New Roman"/>
          <w:sz w:val="24"/>
          <w:szCs w:val="24"/>
          <w:u w:val="single"/>
        </w:rPr>
      </w:pPr>
      <w:r w:rsidRPr="00B4294C">
        <w:rPr>
          <w:rFonts w:ascii="Times New Roman" w:hAnsi="Times New Roman"/>
          <w:sz w:val="24"/>
          <w:szCs w:val="24"/>
          <w:u w:val="single"/>
        </w:rPr>
        <w:t>K bodom 6 a 7</w:t>
      </w:r>
    </w:p>
    <w:p w:rsidR="00B4294C" w:rsidP="00A53EE0">
      <w:pPr>
        <w:bidi w:val="0"/>
        <w:spacing w:after="0" w:line="240" w:lineRule="auto"/>
        <w:jc w:val="both"/>
        <w:rPr>
          <w:rFonts w:ascii="Times New Roman" w:hAnsi="Times New Roman"/>
          <w:sz w:val="24"/>
          <w:szCs w:val="24"/>
        </w:rPr>
      </w:pPr>
      <w:r>
        <w:rPr>
          <w:rFonts w:ascii="Times New Roman" w:hAnsi="Times New Roman"/>
          <w:sz w:val="24"/>
          <w:szCs w:val="24"/>
        </w:rPr>
        <w:tab/>
      </w:r>
    </w:p>
    <w:p w:rsidR="00B4294C" w:rsidP="00B4294C">
      <w:pPr>
        <w:bidi w:val="0"/>
        <w:spacing w:after="0" w:line="240" w:lineRule="auto"/>
        <w:ind w:firstLine="708"/>
        <w:jc w:val="both"/>
        <w:rPr>
          <w:rFonts w:ascii="Times New Roman" w:hAnsi="Times New Roman"/>
          <w:sz w:val="24"/>
          <w:szCs w:val="24"/>
        </w:rPr>
      </w:pPr>
      <w:r>
        <w:rPr>
          <w:rFonts w:ascii="Times New Roman" w:hAnsi="Times New Roman"/>
          <w:sz w:val="24"/>
          <w:szCs w:val="24"/>
        </w:rPr>
        <w:t>Navrhuje sa precizovať doterajšiu právnu úpravu skutkovej podstaty trestného činu poškodzovania</w:t>
      </w:r>
      <w:r w:rsidRPr="00B4294C">
        <w:rPr>
          <w:rFonts w:ascii="Times New Roman" w:hAnsi="Times New Roman"/>
          <w:sz w:val="24"/>
          <w:szCs w:val="24"/>
        </w:rPr>
        <w:t xml:space="preserve"> finančných záujmov Európskej únie</w:t>
      </w:r>
      <w:r>
        <w:rPr>
          <w:rFonts w:ascii="Times New Roman" w:hAnsi="Times New Roman"/>
          <w:sz w:val="24"/>
          <w:szCs w:val="24"/>
        </w:rPr>
        <w:t xml:space="preserve"> v súlade s požiadavkami aplikačnej praxe. </w:t>
      </w:r>
    </w:p>
    <w:p w:rsidR="00B4294C" w:rsidP="00A53EE0">
      <w:pPr>
        <w:bidi w:val="0"/>
        <w:spacing w:after="0" w:line="240" w:lineRule="auto"/>
        <w:jc w:val="both"/>
        <w:rPr>
          <w:rFonts w:ascii="Times New Roman" w:hAnsi="Times New Roman"/>
          <w:sz w:val="24"/>
          <w:szCs w:val="24"/>
        </w:rPr>
      </w:pPr>
    </w:p>
    <w:p w:rsidR="00B4294C" w:rsidRPr="00B4294C" w:rsidP="00A53EE0">
      <w:pPr>
        <w:bidi w:val="0"/>
        <w:spacing w:after="0" w:line="240" w:lineRule="auto"/>
        <w:jc w:val="both"/>
        <w:rPr>
          <w:rFonts w:ascii="Times New Roman" w:hAnsi="Times New Roman"/>
          <w:sz w:val="24"/>
          <w:szCs w:val="24"/>
          <w:u w:val="single"/>
        </w:rPr>
      </w:pPr>
      <w:r w:rsidRPr="00B4294C">
        <w:rPr>
          <w:rFonts w:ascii="Times New Roman" w:hAnsi="Times New Roman"/>
          <w:sz w:val="24"/>
          <w:szCs w:val="24"/>
          <w:u w:val="single"/>
        </w:rPr>
        <w:t>K bodu 8</w:t>
      </w:r>
    </w:p>
    <w:p w:rsidR="00B4294C" w:rsidP="00A53EE0">
      <w:pPr>
        <w:bidi w:val="0"/>
        <w:spacing w:after="0" w:line="240" w:lineRule="auto"/>
        <w:jc w:val="both"/>
        <w:rPr>
          <w:rFonts w:ascii="Times New Roman" w:hAnsi="Times New Roman"/>
          <w:sz w:val="24"/>
          <w:szCs w:val="24"/>
        </w:rPr>
      </w:pPr>
    </w:p>
    <w:p w:rsidR="00B4294C" w:rsidP="00B4294C">
      <w:pPr>
        <w:bidi w:val="0"/>
        <w:spacing w:after="0" w:line="240" w:lineRule="auto"/>
        <w:ind w:firstLine="708"/>
        <w:jc w:val="both"/>
        <w:rPr>
          <w:rFonts w:ascii="Times New Roman" w:hAnsi="Times New Roman"/>
          <w:sz w:val="24"/>
          <w:szCs w:val="24"/>
        </w:rPr>
      </w:pPr>
      <w:r>
        <w:rPr>
          <w:rFonts w:ascii="Times New Roman" w:hAnsi="Times New Roman"/>
          <w:sz w:val="24"/>
          <w:szCs w:val="24"/>
        </w:rPr>
        <w:t>Ide o legislatívno-technickú úpravu v súvislosti s používaním pojmov Európske spoločenstvá a Európska únia.</w:t>
      </w:r>
    </w:p>
    <w:p w:rsidR="00B4294C" w:rsidP="00A53EE0">
      <w:pPr>
        <w:bidi w:val="0"/>
        <w:spacing w:after="0" w:line="240" w:lineRule="auto"/>
        <w:jc w:val="both"/>
        <w:rPr>
          <w:rFonts w:ascii="Times New Roman" w:hAnsi="Times New Roman"/>
          <w:sz w:val="24"/>
          <w:szCs w:val="24"/>
        </w:rPr>
      </w:pPr>
    </w:p>
    <w:p w:rsidR="00B4294C" w:rsidRPr="00B4294C" w:rsidP="00A53EE0">
      <w:pPr>
        <w:bidi w:val="0"/>
        <w:spacing w:after="0" w:line="240" w:lineRule="auto"/>
        <w:jc w:val="both"/>
        <w:rPr>
          <w:rFonts w:ascii="Times New Roman" w:hAnsi="Times New Roman"/>
          <w:sz w:val="24"/>
          <w:szCs w:val="24"/>
          <w:u w:val="single"/>
        </w:rPr>
      </w:pPr>
      <w:r w:rsidRPr="00B4294C">
        <w:rPr>
          <w:rFonts w:ascii="Times New Roman" w:hAnsi="Times New Roman"/>
          <w:sz w:val="24"/>
          <w:szCs w:val="24"/>
          <w:u w:val="single"/>
        </w:rPr>
        <w:t xml:space="preserve">K bodu </w:t>
      </w:r>
      <w:r>
        <w:rPr>
          <w:rFonts w:ascii="Times New Roman" w:hAnsi="Times New Roman"/>
          <w:sz w:val="24"/>
          <w:szCs w:val="24"/>
          <w:u w:val="single"/>
        </w:rPr>
        <w:t>9</w:t>
      </w:r>
    </w:p>
    <w:p w:rsidR="00B4294C"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Vzhľadom na zavedenie trestnej zodpovednosti právnických osôb osobitným zákonom v čl. I a s tým súvisiacich trestov pre právnické osoby, konkrétne trestu zákazu prijímať dotácie alebo subvencie, zákazu prijímať pomoc a podporu poskytovanú z fondov Európskeho Únie a  zákazu účasti vo verejnom obstarávaní je potrebné rozšíriť súčasný výpočet rozhodnutí, ktorých marenie zakladá trestný čin marenia výkonu úradného rozhodnutia podľa § 348 Trestného zákona. Zavedenie týchto nových trestov spočívajúcich v zákaze určitej činnosti, či konania si nevyhnutne vyžaduje rozšírenie skutkovej podstaty trestného činu marenia výkonu úradného rozhodnutia, čím sa vytvárajú predpoklady pre zabezpečenie riadneho výkonu novo zavádzaných trestov. Svojou povahou ide o tresty podobné ako trest zákazu činnosti [§ 348 ods. 1 písm. d)]. Z povahy veci je zrejmé, že páchateľom trestného činu marenia výkonu úradného rozhodnutia podľa nového písm. e) v § 348 ods. 1 môže byť len právnická osoba.</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Uvedené doplnenie § 348 bude mať v praxi ten následok, že právnická osoba, ktorá poruší súdom uložený zákaz prijímať dotácie a subvencie, zákaz prijímať pomoc a podporu poskytovanú z fondov Európskeho Únie a zákaz účasti vo verejnom obstarávaní sa dopustí protiprávneho konania, ktoré bude napĺňať znaky skutkovej podstaty trestného činu marenia výkonu úradného rozhodnutia.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IV</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(Trestný poriadok)</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bodu 1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Legislatívno-technická úprava znenia ustanovenia v súvislosti so zmenami pod bodom 3.  </w:t>
      </w:r>
    </w:p>
    <w:p w:rsidR="00A53EE0" w:rsidRPr="00A53EE0" w:rsidP="00A53EE0">
      <w:pPr>
        <w:bidi w:val="0"/>
        <w:spacing w:after="0" w:line="240" w:lineRule="auto"/>
        <w:jc w:val="both"/>
        <w:rPr>
          <w:rFonts w:ascii="Times New Roman" w:hAnsi="Times New Roman"/>
          <w:sz w:val="24"/>
          <w:szCs w:val="24"/>
          <w:u w:val="single"/>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2</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ab/>
      </w: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S ohľadom na očakávanú zvýšenú náročnosť vedenia trestného konania zo strany orgánov činných v trestnom konaní sa ustanovuje, že v trestnom konaní proti právnickej osobe sa vykoná vždy vyšetrovanie, ktoré vykoná vyšetrovateľ Policajného zboru, resp.  vyšetrovateľ colnej správy (policajt podľa § 10 ods. 8 písm. a) a b).  </w:t>
        <w:tab/>
      </w:r>
    </w:p>
    <w:p w:rsidR="00A53EE0" w:rsidRPr="00A53EE0" w:rsidP="00A53EE0">
      <w:pPr>
        <w:bidi w:val="0"/>
        <w:spacing w:after="0" w:line="240" w:lineRule="auto"/>
        <w:jc w:val="both"/>
        <w:rPr>
          <w:rFonts w:ascii="Times New Roman" w:hAnsi="Times New Roman"/>
          <w:sz w:val="24"/>
          <w:szCs w:val="24"/>
          <w:highlight w:val="yellow"/>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bodom 3 až 14</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nadväznosti na zavedenie novej právnej úpravy trestnej zodpovednosti právnických osôb sa upúšťa od doterajšieho konceptu postihovania právnických osôb prostredníctvom ukladania ochranných opatrení zhabania peňažnej čiastky podľa § 83a Trestného zákona a zhabania majetku podľa § 83b Trestného zákona. Na tento účel sa ruší doterajšia právna úprava ukladania týchto dvoch ochranných opatrení naprieč Trestným poriadkom, ktorá bola zavedená zákonom č. 224/2010 Z. z. V tejto súvislosti je potrebné uviesť, že zákonom č. 224/2010 Z. z. došlo okrem iného aj k rozšíreniu procesných práv zúčastnenej osoby, t.j. osoby, ktorej majetok je postihovaný ochranným opatrením zhabaním veci. Tento zákonný štandard procesných práv zostáva novou právnou úpravou trestnej zodpovednosti právnických osôb nedotknutý. </w:t>
      </w:r>
    </w:p>
    <w:p w:rsidR="00A53EE0" w:rsidRPr="00A53EE0" w:rsidP="00A53EE0">
      <w:pPr>
        <w:bidi w:val="0"/>
        <w:spacing w:after="0" w:line="240" w:lineRule="auto"/>
        <w:jc w:val="both"/>
        <w:rPr>
          <w:rFonts w:ascii="Times New Roman" w:hAnsi="Times New Roman"/>
          <w:sz w:val="24"/>
          <w:szCs w:val="24"/>
          <w:highlight w:val="yellow"/>
        </w:rPr>
      </w:pP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u w:val="single"/>
        </w:rPr>
        <w:t>K bodom 16 až 19</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nadväznosti na zavedenie trestnej zodpovednosti právnických osôb osobitným zákonom uvedeným v čl. I návrhu sa nanovo sa koncipuje právna úprava výkonu cudzieho rozhodnutia vo vzťahu k právnickým osobám modifikáciou predmetných ustanovení piatej časti Trestného poriadku o právnom styku s cudzinou.</w:t>
      </w:r>
    </w:p>
    <w:p w:rsidR="00412A51"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V</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51/1988 Zb.)</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Samostatnú skupinu novelizovaných zákonov, ktorá je súčasne najpočetnejšia, predstavujú zákony, ktoré regulujú vydávanie povolení, licencií, či oprávnení na výkon rôznorodých špecializovaných činností, kde predpokladom udelenia povolenia (licencie, oprávnenia atď.) je preukázanie bezúhonnosti. Pre tieto zákony je charakteristické, že v prípade fyzických osôb, ktoré žiadajú o udelenie povolenia je ustanovená podmienka bezúhonnosti ako jedna z podmienok udelenia príslušného povolenia. V prípade právnických osôb, vzhľadom na v súčasnosti absentujúcu pravú trestnú zodpovednosť právnických osôb, sa podmienka bezúhonnosti spravidla vzťahuje len na fyzické osoby, ktoré sú štatutárnym orgánom právnickej osoby, prípadne členmi jej dozorných orgánov. Uvedený koncept zostáva návrhom zachovaný, pričom dochádza k rozšíreniu podmienky bezúhonnosti aj na právnickú osobu, ktorá je žiadateľom o vydanie príslušného povolenia a k zmene s tým súvisiacich, najmä procesných, ustanovení.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Podstata novelizácie spočíva primárne v rozšírení podmienok, ktoré musí právnická osoba spĺňať aj o podmienku bezúhonnosti. Ďalej sa podľa potreby a v nevyhnutnom rozsahu menia aj niektoré súvisiace ustanovenia, a to najmä ak ide o preukazovanie splnenia tejto podmienky (výpis z registra trestov ako povinná príloha žiadosti a pod.).</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Súčasne sa do týchto zákonov vzhľadom na závažnosť problematiky trestnej zodpovednosti navrhuje doplniť všetky tieto osobitné zákony o prechodné ustanovenia, ktorých cieľom je zabezpečiť bezproblémovú aplikáciu posudzovania bezúhonnosti právnických osôb v osobitných povoľovacích, či licenčných konaniach, ktoré nebudú ku dňu účinnosti zákona právoplatne skončené. Navrhuje sa, aby sa tieto konania z hľadiska procesného dokončili podľa doterajších predpisov. Ak sa konajúci štátny orgán dozvie počas konania o tom, že právnická osoba bola právoplatné odsúdená pre trestný čin, ktorého spáchaním prestáva byť táto právnická osoba bezúhonnou, má konajúci štátny orgán možnosť neudeliť povolenie, či licenciu. V tomto prípade však pôjde skôr o výnimočné prípady, nakoľko trestnú zodpovednosť právnických osôb možno vyvodzovať len pre skutky, ktoré nastanú po účinnosti zákona (k tomu pozri § 2 ods. 1 Trestného zákona). Ak dôjde k oznámeniu zo strany súdu o právoplatnom odsúdení právnickej osoby po právoplatnom skončení konania podľa osobitného predpisu, ktorý je novelizovaný, tak príslušný štátny orgán začne konanie, ktoré povedie k odňatiu licencie, povolenia alebo oprávnenia z dôvodu, že príslušná právnická osoba nespĺňa podmienky pre jeho vydanie.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bodom 1 a 2</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Účelom zmeny zákona o banskej činnosti je doplnenie podmienky bezúhonnosti právnickej osoby, ktorá je žiadateľom o vydanie banského oprávnenia ako jednej z podmienok, ktorú musí právnická osoba spĺňať pre vydanie tohto oprávnenia. Preukazovať ju bude právnická osoba výpisom z registra trestov.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Dopĺňajú sa prechodné ustanovenia v zmysle vyššie popísaných pravidiel. </w:t>
      </w:r>
    </w:p>
    <w:p w:rsidR="00412A51"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VI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83/1990 Zb.)</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Osobitosťou zákona č. 83/1990 Zb. o združovaní občanov v znení neskorších predpisov je to, že bo prijatý pred zákonom č. 509/1991 Zb. ktorým sa mení, dopĺňa a upravuje Občiansky zákonník a Obchodným zákonníkom. Ako cit. novelizácia Občianskeho zákonníka, tak aj prijatie Obchodného zákonníka okrem iného výrazným spôsobom zasiahlo právnu úpravu právnických osôb, ktorá pretrváva dodnes. Zákon o združovaní občanov je teda v porovnaní s úpravou súkromnoprávnych kódexov prekonaný, keďže je úprava zániku občianskych združení nekorešponduje so všeobecnou úpravou zániku právnických osôb. V zákone o združovaní občanov absentuje inštitút zrušenia právnickej osoby, t.j. postupnosť predpokladaná ako Občianskym zákonníkom, tak aj Obchodným zákonníkom zrušenie – likvidácia – zánik, je v prípade občianskych združení modifikovaná do podoby zánik – likvidácia.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Novelizácia zákona o združovaní občanov v súvislosti so zavedením trestnej zodpovednosti právnických osôb zahŕňa preto rozšírenie dôvodov zániku občianskeho združenia, a to tak, že v právoplatné uloženie trestu zrušenia právnickej osoby bude na základe osobitnej zákonnej úpravy vyvolávať zánik občianskeho združenia (a jeho následnú likvidáciu), nakoľko zákon o združovaní občanov nepozná inštitút zrušenia občianskeho združenia. Z hľadiska dopadov tohto trestu však pôjde o rovnocennú právnu úpravu ako v prípade ostaných právnických osôb.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bode 2 sa rozširuje právna úprava, ktorá zakladá oprávnenie (povinnosť) Ministerstva vnútra Slovenskej republiky vymenovať likvidátora občianskeho združenia, a teda ministerstvo vnútra bude vymenúvať likvidátora aj tých občianskych združení, ku ktorých zániku dôjde v dôsledku právoplatného uloženia trestu zrušenia právnickej osoby.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VII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308/1991 Zb.)</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II.</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VIII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455/1991 Zb.)</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Podľa platného znenia živnostenského zákona je jednou z prekážok prevádzkovania živnosti súdom uložený zákaz činnosti týkajúci sa konkrétnej živnosti (§ 8 ods. 5 cit. zákona). Vzhľadom na zavedenie trestnej zodpovednosti právnických osôb a s tým súvisiacu možnosť uloženia zákazu činnosti, ktorý sa môže týkať aj činnosti vykonávanej na základe živnostenského oprávnenia, je potrebné, aby bola právna úprava doplnená aj o právnické osoby.</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2</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Účelom zmeny § 8 ods. 5 je rozšíriť prekážky prevádzkovania živnosti aj o trest zákazu činnosti uložený právnickej osobe.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Ide o zmenu, ktorou sa zosúlaďuje znenie § 10 ods. 4 s § 6 ods. 3, a to v súvislosti s vydávaním živnostenského oprávnenia založene právnickej osobe, ktorá ešte nebola zapísaná do obchodného registra (t.j. nevznikla).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4</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Tak ako je dôvodom zrušenia živnostenského oprávnenia strata bezúhonnosti pre fyzické osôb, bude dôvodom zrušenia aj v prípade právnických osôb.</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IX</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71/1992 Zb.)</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Zmena zákona o súdnych poplatkoch a poplatku za výpis z registra trestov zohľadňuje existenciu trestnej zodpovednosti právnických osôb pri vydávaní potvrdenia o predchádzajúcom odsúdení v členskom štáte Európskej únie.</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78/1992 Zb.)</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Zmena zákona o daňových poradcoch a Slovenskej komore daňových poradcov má za cieľ jednak zaviesť podmienku bezúhonnosti aj u právnických osôb, ktorá poskytujú daňové poradenstvo a rovnako aj zohľadniť stratu bezúhonnosti právnickej osoby ako podmienku vyčiarknutia zo zoznamu daňových poradcov.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K prechodným ustanoveniam pozri odôvodnenie čl. V.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566/1992 Zb.)</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K čl. XII </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202/1995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XIII a XIV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Pozri odôvodnenie k čl. II.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XV až XIX</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XX</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65/2001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Novelizácia zákona o správe a vymáhaní súdnych pohľadávok má za cieľ zohľadniť zrušenie doterajšieho ochranného opatrenia zhabanie peňažnej čiastky, čo sa prejavuje vypustením zmienky o tomto ochrannom opatrení z platného znenia zákona. </w:t>
      </w:r>
    </w:p>
    <w:p w:rsidR="00A53EE0" w:rsidP="00A53EE0">
      <w:pPr>
        <w:bidi w:val="0"/>
        <w:spacing w:after="0" w:line="240" w:lineRule="auto"/>
        <w:jc w:val="both"/>
        <w:rPr>
          <w:rFonts w:ascii="Times New Roman" w:hAnsi="Times New Roman"/>
          <w:sz w:val="24"/>
          <w:szCs w:val="24"/>
        </w:rPr>
      </w:pPr>
    </w:p>
    <w:p w:rsidR="000E26CE" w:rsidP="00A53EE0">
      <w:pPr>
        <w:bidi w:val="0"/>
        <w:spacing w:after="0" w:line="240" w:lineRule="auto"/>
        <w:jc w:val="both"/>
        <w:rPr>
          <w:rFonts w:ascii="Times New Roman" w:hAnsi="Times New Roman"/>
          <w:sz w:val="24"/>
          <w:szCs w:val="24"/>
        </w:rPr>
      </w:pPr>
    </w:p>
    <w:p w:rsidR="000E26CE"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XXI a XXII</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XXIII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34/2002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Pozri odôvodnenie k čl. II.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XXIV až XXIX</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XXX</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530/2003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Pozri odôvodnenie k čl. II.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XXXI a XXXII</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XXXIII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43/2004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Odsek 5 sa dopĺňa o navrhovanú vetu z dôvodu doplnenia § 48 ods. 2 písm. p) o povinnosť bezúhonnosti zakladateľa dôchodkovej správcovskej spoločnosti (ďalej len „DSS“). T. zn. ak sa podmienka bezúhonnosti vyžaduje u zakladateľa, mala by byť splnená počas celého obdobia existencie DSS. V spojitosti s tým sa v bode 11 rozširujú dôvody pre odobratie povolenia na vznik na činnosť DSS o skutočnosť, že DSS prestala byť bezúhonná osoba.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bodu  2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Podmienka bezúhonnosti sa nanovo bude vyžadovať od zakladateľa DSS, ako aj od akcionára spoločnosti.</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Požiadavka dôveryhodnosti sa navrhuje preniesť aj na fyzickú osobu, ktorá síce spĺňa požiadavku bezúhonnosti, ale zároveň mohla vykonávať niektorú z dôležitých funkcií v inej právnickej osobe, ktorá bola odsúdená za trestný čin a mohla sa priamo podieľať na konaní, ktoré bolo kvalifikované ako trestný čin právnickej osoby, čo môže jej dôveryhodnosť značne znižovať.</w:t>
      </w:r>
    </w:p>
    <w:p w:rsidR="00A53EE0" w:rsidP="00A53EE0">
      <w:pPr>
        <w:bidi w:val="0"/>
        <w:spacing w:after="0" w:line="240" w:lineRule="auto"/>
        <w:jc w:val="both"/>
        <w:rPr>
          <w:rFonts w:ascii="Times New Roman" w:hAnsi="Times New Roman"/>
          <w:sz w:val="24"/>
          <w:szCs w:val="24"/>
        </w:rPr>
      </w:pPr>
    </w:p>
    <w:p w:rsidR="000E26CE" w:rsidP="00A53EE0">
      <w:pPr>
        <w:bidi w:val="0"/>
        <w:spacing w:after="0" w:line="240" w:lineRule="auto"/>
        <w:jc w:val="both"/>
        <w:rPr>
          <w:rFonts w:ascii="Times New Roman" w:hAnsi="Times New Roman"/>
          <w:sz w:val="24"/>
          <w:szCs w:val="24"/>
        </w:rPr>
      </w:pPr>
    </w:p>
    <w:p w:rsidR="000E26CE" w:rsidP="00A53EE0">
      <w:pPr>
        <w:bidi w:val="0"/>
        <w:spacing w:after="0" w:line="240" w:lineRule="auto"/>
        <w:jc w:val="both"/>
        <w:rPr>
          <w:rFonts w:ascii="Times New Roman" w:hAnsi="Times New Roman"/>
          <w:sz w:val="24"/>
          <w:szCs w:val="24"/>
        </w:rPr>
      </w:pPr>
    </w:p>
    <w:p w:rsidR="000E26CE"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4</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Pojem bezúhonnosť sa rozširuje o bezúhonnosť právnickej osoby, preto dochádza k legislatívno-technickej úprave v tomto bode z „fyzickej“ osoby na „osobu“.</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bodu 5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Ide o legislatívno-technickú zmenu v súvislosti s bodom 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6</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Navrhuje sa vhodnosť akcionára s kvalifikovanou účasťou posudzovať aj z hľadiska trestnoprávnej roviny. Požiadavka vhodnosti akcionára sa navrhuje preniesť aj na fyzickú osobu, ktorá síce môže spĺňať požiadavku bezúhonnosti, ale zároveň mohla vykonávať niektorú z dôležitých funkcií v inej právnickej osobe, ktorá bola odsúdená za trestný čin a mohla sa priamo podieľať na konaní, ktoré bolo kvalifikované ako trestný čin právnickej osoby, čo môže jej dôveryhodnosť značne znižovať.</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7</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Vzhľadom na doplnenie podmienok, ktoré musia byť preukázané na udelenie povolenia na vznik a činnosť DSS, je potrebné doplniť aj povinnosť oznamovať zmeny v skutočnostiach preukazujúcich splnenie týchto podmienok.</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8</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 52 ods. 2 sa upravujú, rovnako ako v prípade udelenia povolenia NBS, požiadavky kladené na akcionára pre udelenie predchádzajúceho súhlasu NBS.</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9</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Vzhľadom na to, že fyzická alebo právnická osoba, ktorej majú byť zverené niektoré činnosti DSS by mala spĺňať rovnaké regulatórne štandardy ako samotná DSS, navrhuje sa ukladať podmienku bezúhonnosti osobe, ktorej budú činnosti zverené, s dôrazom na skutočnosť, že môže ísť aj o osobu, ktorá nie je licencovaná, resp. dozorovaná regulátorom.</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10</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Ďalšou právnickou osobou, na ktorú sa vzťahujú požiadavky zákona č. 43/2004 Z. z. o starobnom dôchodkovom sporení je depozitár, ktorým môže byť len banka alebo pobočka zahraničnej banky. Z tohto dôvodu sa na depozitára tiež bude vzťahovať požiadavka bezúhonnosti právnickej osoby.</w:t>
      </w:r>
    </w:p>
    <w:p w:rsidR="00412A51"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Ak bolo voči DSS začaté trestné stíhanie za trestný čin, za ktorý možno uložiť trest zrušenia právnickej osoby, je potrebné chrániť oprávnené záujmy sporiteľov zavedením nútenej správy po tom, ako bolo začaté trestné stíhanie. </w:t>
      </w:r>
    </w:p>
    <w:p w:rsidR="00A53EE0" w:rsidP="00A53EE0">
      <w:pPr>
        <w:bidi w:val="0"/>
        <w:spacing w:after="0" w:line="240" w:lineRule="auto"/>
        <w:jc w:val="both"/>
        <w:rPr>
          <w:rFonts w:ascii="Times New Roman" w:hAnsi="Times New Roman"/>
          <w:sz w:val="24"/>
          <w:szCs w:val="24"/>
        </w:rPr>
      </w:pPr>
    </w:p>
    <w:p w:rsidR="000E26CE"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12</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Ak bude DSS v trestnom konaní uložený trest zákazu činnosti, Národná banka Slovenska jej následne musí odobrať povolenie na vznik a činnosť DSS podľa § 48 a nasl. a nariadiť nútenú správu.</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XXXIV a XXXV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XXXVI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523/2004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Zmena zákon o rozpočtových pravidlách je vyvolaná zavedením nového trestu, ktorým je trest zákazu prijímať dotácie a subvencie, ako aj trest zákazu prijímať pomoc a podporu poskytovanú z fondov Európskej únie. Podstata tohto trestu spočíva v spočíva v tom, že právnickej osobe sa počas doby určenej súdom zakáže uchádzať sa alebo prijať dotáciu, subvenciu, príspevok alebo iné plnenie zo štátneho rozpočtu, z rozpočtu verejnoprávnej inštitúcie, rozpočtu štátneho fondu, rozpočtu vyššieho územného celku alebo rozpočtu obce. </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ab/>
      </w: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Pre dosiahnutie tohto cieľa sa preto navrhuje zakomponovať do všeobecnej úpravy poskytovania dotácií zo štátneho rozpočtu (§ 8a) ako ďalšiu podmienku, ktorá musí byť splnená pre udelenie dotácie, a to podmienku bezúhonnosti v rozsahu neexistencie právoplatného odsúdenia a uloženia trestu zákazu prijímať dotácie alebo subvencie.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Na všeobecnú úpravu v § 8a nadväzujú osobitné zákonné úpravy, ktoré upravujú detailnejšie poskytovanie dotácií, v tej ktorej oblasti verejnej správy. Všetky tieto osobitné zákony požadujú splnenie všeobecných podmienok udelenia dotácie podľa § 8a, a teda podmienka neuloženia trestu zákazu prijímať dotácie alebo subvencie bude platiť aj v týchto predpisoch.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XXXVII až XXXIX</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XL</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583/2004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Na rozdiel od zákona o rozpočtových pravidlách verejnej správy, v zákone o rozpočtových pravidlách územnej samosprávy absentuje detailná úprava poskytovania dotácií z rozpočtov obcí a vyšších územných celkov. Preto novelizácia tohto zákona je vo svojej podstate zavedením zákonnej podmienky bezúhonnosti pre právnické osoby. </w:t>
      </w:r>
    </w:p>
    <w:p w:rsidR="00A53EE0" w:rsidP="00A53EE0">
      <w:pPr>
        <w:bidi w:val="0"/>
        <w:spacing w:after="0" w:line="240" w:lineRule="auto"/>
        <w:jc w:val="both"/>
        <w:rPr>
          <w:rFonts w:ascii="Times New Roman" w:hAnsi="Times New Roman"/>
          <w:sz w:val="24"/>
          <w:szCs w:val="24"/>
        </w:rPr>
      </w:pPr>
    </w:p>
    <w:p w:rsidR="000E26CE" w:rsidP="00A53EE0">
      <w:pPr>
        <w:bidi w:val="0"/>
        <w:spacing w:after="0" w:line="240" w:lineRule="auto"/>
        <w:jc w:val="both"/>
        <w:rPr>
          <w:rFonts w:ascii="Times New Roman" w:hAnsi="Times New Roman"/>
          <w:sz w:val="24"/>
          <w:szCs w:val="24"/>
        </w:rPr>
      </w:pPr>
    </w:p>
    <w:p w:rsidR="000E26CE" w:rsidP="00A53EE0">
      <w:pPr>
        <w:bidi w:val="0"/>
        <w:spacing w:after="0" w:line="240" w:lineRule="auto"/>
        <w:jc w:val="both"/>
        <w:rPr>
          <w:rFonts w:ascii="Times New Roman" w:hAnsi="Times New Roman"/>
          <w:sz w:val="24"/>
          <w:szCs w:val="24"/>
        </w:rPr>
      </w:pPr>
    </w:p>
    <w:p w:rsidR="000E26CE"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XLI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650/2004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Odsek 5 sa dopĺňa o navrhovanú vetu z dôvodu doplnenia § 23 ods. 1 písm. o) o povinnosť bezúhonnosti zakladateľa doplnkovej dôchodkovej spoločnosti (ďalej len „DDS“). T. zn. ak sa podmienka bezúhonnosti vyžaduje u zakladateľa, mala by byť splnená počas celého obdobia existencie DDS. V spojitosti s tým sa v bode 10 rozširujú dôvody pre odobratie povolenia na vznik a činnosť DDS o skutočnosť, že DDS prestala byť bezúhonná osoba.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2</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Ustanovuje sa nová licenčná podmienka pre zakladateľa a akcionára DDS – bezúhonnosť právnickej osoby (uvádza sa bezúhonná „osoba“, čo zahŕňa tak fyzickú, ako aj právnickú osobu).</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Požiadavka dôveryhodnosti sa navrhuje preniesť aj na fyzickú osobu, ktorá síce spĺňa požiadavku bezúhonnosti, ale zároveň mohla vykonávať niektorú z dôležitých funkcií v inej právnickej osobe, ktorá bola odsúdená za trestný čin a mohla sa priamo podieľať na konaní, ktoré bolo kvalifikované ako trestný čin právnickej osoby, čo môže jej dôveryhodnosť značne znižovať.</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4</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Pojem bezúhonnosť sa rozširuje o bezúhonnosť právnickej osoby, preto dochádza k legislatívno-technickej úprave v tomto bode.</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5</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 23 ods. 15 ide o legislatívno-technickú zmenu v súvislosti s bodom 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6</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Vzhľadom na doplnenie podmienok, ktoré musia byť preukázané na udelenie povolenia na vznik a činnosť DDS, je potrebné doplniť aj povinnosť oznamovať zmeny v skutočnostiach preukazujúcich splnenie týchto podmienok.</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7</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 26 ods. 2 sa upravujú, rovnako ako v prípade udelenia povolenia NBS, požiadavky kladené na akcionára pre udelenie predchádzajúceho súhlasu NBS.</w:t>
      </w:r>
    </w:p>
    <w:p w:rsidR="00412A51"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8</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Vzhľadom na zosúladenie právnej úpravy udeľovania predchádzajúceho súhlasu NBS podľa zákona o doplnkovom dôchodkovom sporení s právnou úpravou udeľovania predchádzajúceho súhlasu NBS podľa zákona o starobnom dôchodkovom sporení sa navrhuje, aby na udelenie predchádzajúceho súhlasu NBS na zmenu depozitára bolo potrebné preukázať aj splnenie podmienky odbornej spôsobilosti a dôveryhodnosti členov predstavenstva a prokuristov depozitára a vedúcich zamestnancov depozitára, ktorí zabezpečujú výkon činností depozitára.</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9</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Vzhľadom na to, že fyzická alebo právnická osoba, ktorej majú byť zverené niektoré činnosti DDS by mala spĺňať rovnaké regulatórne štandardy ako samotná DDS, navrhuje sa ukladať podmienku bezúhonnosti aj pre osobu, ktorej budú činnosti zverené, s dôrazom na skutočnosť, že môže ísť aj o osobu, ktorá nie je licencovaná, resp. dozorovaná regulátorom.</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10</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Ďalšou právnickou osobou, na ktorú sa vzťahujú požiadavky zákona č. 650/2004 Z. z. o doplnkovom dôchodkovom sporení je depozitár. Z tohto dôvodu sa na depozitára tiež bude vzťahovať požiadavka bezúhonnosti právnickej osoby.</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Ak bolo voči DDS začaté trestné stíhanie za trestný čin, za ktorý možno uložiť trest zrušenia právnickej osoby, je potrebné chrániť oprávnené záujmy účastníkov a poberateľov dávok zavedením nútenej správy, po tom, ako bolo začaté trestné stíhanie.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12</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Ak bude DDS v trestnom konaní uložený trest zákazu činnosti, Národná banka Slovenska jej následne musí odobrať povolenie na vznik a činnosť DDS podľa § 23 a nasl. a nariadiť nútenú správu.</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XLII a XLIII</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XLIV</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7/2005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bodom 1 až 3</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Ide o legislatívno-technické úpravy v nadväznosti za zrušenie právnej úpravy ochranného opatrenia zhabanie majetku. </w:t>
      </w:r>
    </w:p>
    <w:p w:rsidR="00A53EE0" w:rsidP="00A53EE0">
      <w:pPr>
        <w:bidi w:val="0"/>
        <w:spacing w:after="0" w:line="240" w:lineRule="auto"/>
        <w:jc w:val="both"/>
        <w:rPr>
          <w:rFonts w:ascii="Times New Roman" w:hAnsi="Times New Roman"/>
          <w:sz w:val="24"/>
          <w:szCs w:val="24"/>
        </w:rPr>
      </w:pPr>
    </w:p>
    <w:p w:rsidR="000E26CE" w:rsidP="00A53EE0">
      <w:pPr>
        <w:bidi w:val="0"/>
        <w:spacing w:after="0" w:line="240" w:lineRule="auto"/>
        <w:jc w:val="both"/>
        <w:rPr>
          <w:rFonts w:ascii="Times New Roman" w:hAnsi="Times New Roman"/>
          <w:sz w:val="24"/>
          <w:szCs w:val="24"/>
        </w:rPr>
      </w:pPr>
    </w:p>
    <w:p w:rsidR="000E26CE" w:rsidP="00A53EE0">
      <w:pPr>
        <w:bidi w:val="0"/>
        <w:spacing w:after="0" w:line="240" w:lineRule="auto"/>
        <w:jc w:val="both"/>
        <w:rPr>
          <w:rFonts w:ascii="Times New Roman" w:hAnsi="Times New Roman"/>
          <w:sz w:val="24"/>
          <w:szCs w:val="24"/>
        </w:rPr>
      </w:pPr>
    </w:p>
    <w:p w:rsidR="000E26CE"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 xml:space="preserve">K bodu 4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Výkon rozhodnutí súdov v trestnom konaní, ktoré postihujú celý majetok odsúdeného sa realizuje prostredníctvom konkurzného konania, pričom tento koncept bol zavedený zákonom č. 224/2010 Z. z. a zostáva zachovaný aj novou právnou úpravou, pričom v rámci zákona o konkurze a reštrukturalizácii sa súčasne vykonávajú nevyhnutné zmeny pre riadny a efektívny výkon trestu prepadnutia majetku.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Navrhuje sa výslovne vyjadriť pravidlo, ktoré je riešením takej situácie, kedy po vyhlásení konkurzu bol konkurz zrušený z dôvodu, že majetok dlžníka (úpadcu) nepostačuje ani na úhradu pohľadávok proti podstate.  Ak má dlžník dostatok majetku na uspokojenie veriteľov, javí sa ako adekvátne, aby z dôvodu obmedzenia účinkov trestu na iné osoby ich pohľadávky, ktoré sú povahou seniorné, voči (nútene likvidovanej) majetkovej podstate dlžníka mali absolútnu prioritu na uspokojenie. Ak však majetková podstata dlžníka nestačí ani na to, aby sa uhradili vôbec čo i len náklady kolektívneho konania zameraného na uspokojenie veriteľov, takéto konanie nemôže ďalej pokračovať, konkurz musí byť zrušený a majetok dlžníka, ktorý po skončení konania zostal bude použitý na uspokojenie nároku štátu z prepadnutia majetku. Veritelia majú pritom možnosť nepriaznivé následky zrušenia konkurzu pre nedostatok majetku odvrátiť využitím oprávnenia na zloženie preddavku na náklady konkurzu. Uplatnenie tohto inštitútu prichádza do úvahy najmä vtedy, ak konkurzná podstata dlžníka by mala byť tvorená z veľkej časti len nárokmi z titulu odporovateľnosti právnych úkonov.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5</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Predkladateľ má za to, že v aplikačnej praxi nebude výnimočnou situácia, kedy počas obdobia, kedy bolo voči právnickej osobe začaté trestné konanie a (kumulatívne) v tomto konaní boli uložené obmedzujúce alebo zaisťovacie opatrenia a ukončením tohto konania, bude na majetok dlžníka - právnickej osoby - vyhlásený konkurz. Vyhlásenie konkurzu neruší účinky opatrení, o ktorých bolo rozhodnuté v trestnom konaní. Príslušným orgánom pokiaľ ide o majetok, ktorých sa tieto opatrenia týkajú bude konkurzný súd. Vychádza sa z toho, že práve tento súd bude v stave najlepšie vyhodnotiť, či tento majetok je potrebné speňažiť a prípadný výťažok zo speňaženia takéhoto majetku do skončenia trestného konania od ostatných výťažkov osobitne uschovať, alebo nie. Pokiaľ ide o majetok, kde inak správca musí k jeho speňaženiu pristúpiť urýchlene, keďže ide o majetok bezprostredne ohrozený skazou, zničením alebo iným podstatným znehodnotením, musí správca veľmi efektívne (bezodkladne) požiadať o súhlas so speňažením takéhoto majetku toho, kto je oprávnený rozhodovať o zrušení zaistenia. Aj po speňažení takéhoto majetku je však potrebné, aby výťažok ako tzv. surogačné plnenie správca viedol osobitne a oddelene od iných výťažkov, aby nedošlo k ich zmiešaniu.</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Ďalším osobitným pravidlom pre konkurz vedený na majetok právnickej osoby v čase, kedy je voči nej vedené trestné konanie a v tomto trestnom konaní boli uložené obmedzujúce alebo zaisťovacie opatrenia (bez ohľadu na ich rozsah), je pravidlo o možnosti súdu vymeniť (odvolať a ustanoviť nového) správcu aj vtedy, ak nejde o prípady opakovaného, či závažného porušenia povinností zo strany správcu. Odvolanie proti tomuto rozhodnutiu súdu nie je prípustné. Po odvolaní správcu sa uplatní pravidlo o zvolaní schôdze veriteľov a hlasovaní o návrhu na schválenie nového správcu. Súd však takýmto návrhom nie je viazaný a môže správcu schváleného schôdzou veriteľov odmietnuť ustanoviť a ustanoviť správcu bez návrhu schôdze veriteľov (obdobný postup ako podľa druhej vety § 42 ods. 5).</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Tretie osobitné pravidlo upravuje nevyhnutnosť osobitného vedenia výťažkov zo speňaženia zaisteného majetku. Rozvrh, pokiaľ ide o výťažok zo speňaženia takéhoto majetku je možné splniť len vtedy, ak na to dá súhlas ten, kto je oprávnený rozhodovať o zrušení zaistenia. </w:t>
      </w:r>
    </w:p>
    <w:p w:rsidR="00A53EE0" w:rsidRPr="00A53EE0" w:rsidP="00A53EE0">
      <w:pPr>
        <w:bidi w:val="0"/>
        <w:spacing w:after="0" w:line="240" w:lineRule="auto"/>
        <w:jc w:val="both"/>
        <w:rPr>
          <w:rFonts w:ascii="Times New Roman" w:hAnsi="Times New Roman"/>
          <w:sz w:val="24"/>
          <w:szCs w:val="24"/>
        </w:rPr>
      </w:pPr>
      <w:r w:rsidRPr="00A53EE0">
        <w:rPr>
          <w:rFonts w:ascii="Times New Roman" w:hAnsi="Times New Roman"/>
          <w:sz w:val="24"/>
          <w:szCs w:val="24"/>
        </w:rPr>
        <w:t xml:space="preserve">  </w:t>
      </w: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Osobitne sa rieši aj situácia, kedy sa trestné konanie voči právnickej osobe začalo v čase, kedy už na jej majetok bol vyhlásený konkurz. Uplatnia sa primerane obdobné osobitné pravidlá ako platia pre prípad, kedy začatie trestného konania a (kumulatívne) uloženie obmedzujúcich alebo zaisťovacích opatrení, týkajúcich sa čo i len časti majetku, predchádzalo vyhláseniu konkurzu. Účinky tých úkonov (hmotnoprávnych, procesných), ktoré boli uskutočnené pred týmto dňom zostávajú zachované.</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XLV a XLVI</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XLVII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85/2005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bode 1 ide o analogickú úpravu detailne popísaná v odôvodnení k čl. II. V bode 2 sa rozširuje okruh dôvodov pre zrušenie politickej strany alebo hnutia, a to o dôvod právoplatného uloženia trestu zrušenia právnickej osoby.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XLVIII až LI</w:t>
      </w:r>
    </w:p>
    <w:p w:rsidR="00A53EE0" w:rsidRPr="00A53EE0" w:rsidP="00A53EE0">
      <w:pPr>
        <w:bidi w:val="0"/>
        <w:spacing w:after="0" w:line="240" w:lineRule="auto"/>
        <w:jc w:val="both"/>
        <w:rPr>
          <w:rFonts w:ascii="Times New Roman" w:hAnsi="Times New Roman"/>
          <w:b/>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LII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25/2006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Právoplatné odsúdenie v trestnom konaní má v súčasnosti význam vo verejnom obstarávaní v súvislosti s fyzickými osobami pri posudzovaní podmienok účasti vo verejnom obstarávaní a pri posudzovaní splnenia podmienok výkon funkcie v príslušnom orgáne. Je to dané povahou veci, nakoľko právnickú osobu nie je možné v súčasnosti právoplatne odsúdiť vo význame vyslovenia viny, čo však nevylučuje uloženie ochranných opatrení (nepravá trestná zodpovednosť). Ak sa zavedie trestná zodpovednosť právnických, je namieste ju zohľadniť v zákone o verejnom obstarávaní v rozsahu ako u fyzických osôb, t.j. tam kde je právoplatné odsúdenie v trestnom konaní na škodu fyzickej osobe, bude aj na škodu právnickej osobe.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Návrh zákona zavádza nový druh trestu, ktorým je zákaz účasti vo verejnom obstarávaní. Z hľadiska dôsledkov tohto trestu sú tieto rovnaké ako v prípade administratívnej sankcie zákazu účasti vo verejnom obstarávaní uloženom Úradom pre verejné obstarávanie. To znamená, že právoplatné uloženie tohto trestu by malo vyvolať rovnaké dopady na právnickú osobu ako uloženie zákazu účasti zo strany Úradu pre verejné obstarávanie, a to v ktoromkoľvek štádiu verejného obstarávania. </w:t>
      </w:r>
    </w:p>
    <w:p w:rsidR="00A53EE0" w:rsidP="00A53EE0">
      <w:pPr>
        <w:bidi w:val="0"/>
        <w:spacing w:after="0" w:line="240" w:lineRule="auto"/>
        <w:jc w:val="both"/>
        <w:rPr>
          <w:rFonts w:ascii="Times New Roman" w:hAnsi="Times New Roman"/>
          <w:sz w:val="24"/>
          <w:szCs w:val="24"/>
        </w:rPr>
      </w:pPr>
    </w:p>
    <w:p w:rsidR="000E26CE" w:rsidP="00A53EE0">
      <w:pPr>
        <w:bidi w:val="0"/>
        <w:spacing w:after="0" w:line="240" w:lineRule="auto"/>
        <w:jc w:val="both"/>
        <w:rPr>
          <w:rFonts w:ascii="Times New Roman" w:hAnsi="Times New Roman"/>
          <w:sz w:val="24"/>
          <w:szCs w:val="24"/>
        </w:rPr>
      </w:pPr>
    </w:p>
    <w:p w:rsidR="000E26CE"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Medzi podmienky účasti vo verejnom obstarávaní týkajúce sa osobného postavenia sa navrhuje doplniť podmienku neuloženia trestu zákazu účasti vo verejnom obstarávaní.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tejto súvislosti je potrebné upozorniť na to, že podmienky týkajúce sa osobného postavenia podľa platného znenia § 26 ods. 1 písm. a) a b) sa budú vzťahovať aj na právnickú osobu, a to aj bez zmeny tejto právnej úpravy. Tento záver možno odvodiť z dikcie úvodnej vety § 26 ods. 1 a z písmen a) a b) „...len ten, kto...“, resp. „nebol on...“. Za súčasného stavu je zrejmé, že právoplatné odsúdenie sa týka len fyzických osôb, nakoľko niet trestnej zodpovednosti právnických osôb.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2</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Splnenie podmienky podľa nového písmena h) v odseku 1 sa bude preukazovať výpisom z registra trestov.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bodom 3 a 4</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Ide o legislatívno-technické zmeny vyvolané prečíslovaním písmen v odseku 1.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bodom 8 až 10</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Zákonom č. 95/2013 Z. z. bol zavedený nový typ sankcie ukladanej Úradom pre verejné obstarávanie, ktorou je zákaz účasti vo verejnom obstarávaní a v tejto súvislosti aj register osôb so zákazom účasti vo verejnom obstarávaní.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Vzhľadom na zavedenie trestu zákazu účasti vo verejnom obstarávaní a jeho blízku povahu administratívnej sankcii ukladanej Úradom pre verejné obstarávanie (vylúčenie z účasti vo verejnom obstarávaní na určitý čas vyplývajúci z rozhodnutia o sankcii/treste) je namieste, aby sa do registra osôb zo zákazom zapisovali aj právnické osoby, ktorým súd uloží trest zákazu účasti vo verejnom obstarávaní. </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praxi súd, ktorý uloží právnickej osobe trest zákazu účasti vo verejnom obstarávaní zašle Úradu pre verejné obstarávanie rovnopis právoplatného rozsudku, ktorý bude podkladom pre vykonanie zápisu v registri osôb so zákazom. Nakoľko z rozsudku súdu bude zrejmá aj doba na akú sa trest ukladá, rovnopis rozhodnutia súdu bude súčasne aj podkladom pre vyčiarknutie z registra osôb so zákazom (§ 149a ods. 6).</w:t>
      </w: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  </w:t>
      </w:r>
    </w:p>
    <w:p w:rsidR="00A53EE0" w:rsidRPr="00A53EE0" w:rsidP="00A53EE0">
      <w:pPr>
        <w:bidi w:val="0"/>
        <w:spacing w:after="0" w:line="240" w:lineRule="auto"/>
        <w:jc w:val="both"/>
        <w:rPr>
          <w:rFonts w:ascii="Times New Roman" w:hAnsi="Times New Roman"/>
          <w:sz w:val="24"/>
          <w:szCs w:val="24"/>
          <w:u w:val="single"/>
        </w:rPr>
      </w:pPr>
      <w:r w:rsidRPr="00A53EE0">
        <w:rPr>
          <w:rFonts w:ascii="Times New Roman" w:hAnsi="Times New Roman"/>
          <w:sz w:val="24"/>
          <w:szCs w:val="24"/>
          <w:u w:val="single"/>
        </w:rPr>
        <w:t>K bodu 10</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Navrhované znenie prechodného ustanovenia zákona zakotvuje povinnosť verejné obstarávania vyhlásené pred účinnosťou navrhovaného zákona dokončiť podľa doterajších predpisov. Vzhľadom na zavádzanie novej podmienky účasti by totiž v prípade verejných obstarávaní začatých pred účinnosťou navrhovaného zákona mohli nastávať problémy pri vyhodnocovaní podmienok účasti v zmysle § 33 zákona č. 25/2006 Z. z. o verejnom obstarávaní a o zmene a doplnení niektorých zákonov v znení neskorších predpisov, podľa ktorého sú verejní obstarávatelia, obstarávatelia a osoby podľa § 7 zákona o verejnom obstarávaní povinní posudzovať splnenie podmienok účasti v súlade s vopred definovanými podmienkami určenými napr. v oznámení o vyhlásení verejného obstarávania a v súťažných podkladoch. V praxi by sa tak tieto osoby v rámci vyhodnocovania novo zavedenej podmienky účasti podľa navrhovaného § 26 ods. 1 písm. h) zákona o verejnom obstarávaní (t. j. ktorá nebola definovaná v ich skorších úkonoch) museli riadiť nejasne definovaným a adresovaným úkonom „upovedomenia príslušného súdu“, čím by zároveň boli nútené konať v rozpore s § 33 zákona o verejnom obstarávaní. Situáciu, kedy by vo verejnom obstarávaní vyhlásenom pred účinnosťou navrhovaného zákona jednému zo záujemcov, resp. uchádzačov bol právoplatne uložený trest zákazu účasti vo verejnom obstarávaní, je možné pokryť aplikáciou ustanovenia § 26 ods. 1 písm. a) a b) zákona o verejnom obstarávaní, resp. ustanovenia § 26 ods. 1 písm. g) zákona o verejnom obstarávaní.</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LIII a LIV</w:t>
      </w:r>
    </w:p>
    <w:p w:rsidR="00A53EE0" w:rsidRPr="00A53EE0" w:rsidP="00A53EE0">
      <w:pPr>
        <w:bidi w:val="0"/>
        <w:spacing w:after="0" w:line="240" w:lineRule="auto"/>
        <w:ind w:firstLine="708"/>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LV</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330/2007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V zákone o registri trestov sa vykonávajú nevyhnutné zmeny, ktoré majú za cieľ jednak umožniť evidenciu údajov o trestnom stíhaní právnických osôb a súčasne umožniť vydávanie výpisov a odpisov z registra trestov na účely preukazovania bezúhonnosti v nadväznosti na rozvoj informačných systémov Generálnej prokuratúry Slovenskej republiky.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LVI až LXI</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LXII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528/2008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nadväznosti na zavedenie nových trestov, ktorým sú trest zákazu prijímať dotácie alebo subvencie, trest zákazu prijímať pomoc a podporu poskytovanú z fondov Európskej únie alebo trest zákazu účasti vo verejnom obstarávaní sa navrhuje doplnenie zákona č. 528/2008 Z. z. o pomoci a podpore poskytovanej z fondov Európskeho spoločenstva v znení neskorších predpisov o novú podmienku udelenia pomoci alebo podpory z fondov EÚ, ktorou je negatívna podmienka neuloženia trestu zákazu prijímať pomoc a podporu poskytovanú z fondov Európskej únie.</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LXIII až LXXI</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LXXII</w:t>
      </w:r>
    </w:p>
    <w:p w:rsidR="00A53EE0" w:rsidRPr="00A53EE0" w:rsidP="00A53EE0">
      <w:pPr>
        <w:bidi w:val="0"/>
        <w:spacing w:after="0" w:line="240" w:lineRule="auto"/>
        <w:jc w:val="both"/>
        <w:rPr>
          <w:rFonts w:ascii="Times New Roman" w:hAnsi="Times New Roman"/>
          <w:i/>
          <w:sz w:val="24"/>
          <w:szCs w:val="24"/>
        </w:rPr>
      </w:pPr>
      <w:r w:rsidRPr="00A53EE0">
        <w:rPr>
          <w:rFonts w:ascii="Times New Roman" w:hAnsi="Times New Roman"/>
          <w:i/>
          <w:sz w:val="24"/>
          <w:szCs w:val="24"/>
        </w:rPr>
        <w:t>(zákon č. 183/2011 Z. z.)</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 xml:space="preserve">Zmena reaguje na zrušenie ochranného opatrenia zhabanie peňažnej čiastky. Nakoľko novelizovaný zákon bol koncipovaný od začiatku aj pre potreby výkonu trestných rozhodnutí postihujúcich určenú peňažnú čiastku voči právnickým osobám, nie je potrebné meniť ďalšie ustanovenia, nakoľko na peňažný trest sa aplikuje bez ohľadu na to, že či týka fyzickej osoby alebo právnickej osoby.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LXXIII až LXXXV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Pozri odôvodnenie k čl. V.</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K čl. LXXXVI</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Vzhľadom na legitímnu požiadavku na vytvorenie praktických predpokladov pre aplikáciu novej právnej úpravy sa navrhuje, aby zákon nadobudol účinnosť 1. júla 2016, čo súčasne zabezpečuje dostatočne dlhú legisvakančnú lehotu.</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jc w:val="both"/>
        <w:rPr>
          <w:rFonts w:ascii="Times New Roman" w:hAnsi="Times New Roman"/>
          <w:b/>
          <w:sz w:val="24"/>
          <w:szCs w:val="24"/>
        </w:rPr>
      </w:pPr>
      <w:r w:rsidRPr="00A53EE0">
        <w:rPr>
          <w:rFonts w:ascii="Times New Roman" w:hAnsi="Times New Roman"/>
          <w:b/>
          <w:sz w:val="24"/>
          <w:szCs w:val="24"/>
        </w:rPr>
        <w:t xml:space="preserve">K prílohe </w:t>
      </w:r>
    </w:p>
    <w:p w:rsidR="00A53EE0" w:rsidRPr="00A53EE0" w:rsidP="00A53EE0">
      <w:pPr>
        <w:bidi w:val="0"/>
        <w:spacing w:after="0" w:line="240" w:lineRule="auto"/>
        <w:jc w:val="both"/>
        <w:rPr>
          <w:rFonts w:ascii="Times New Roman" w:hAnsi="Times New Roman"/>
          <w:sz w:val="24"/>
          <w:szCs w:val="24"/>
        </w:rPr>
      </w:pPr>
    </w:p>
    <w:p w:rsidR="00A53EE0" w:rsidRPr="00A53EE0" w:rsidP="00A53EE0">
      <w:pPr>
        <w:bidi w:val="0"/>
        <w:spacing w:after="0" w:line="240" w:lineRule="auto"/>
        <w:ind w:firstLine="708"/>
        <w:jc w:val="both"/>
        <w:rPr>
          <w:rFonts w:ascii="Times New Roman" w:hAnsi="Times New Roman"/>
          <w:sz w:val="24"/>
          <w:szCs w:val="24"/>
        </w:rPr>
      </w:pPr>
      <w:r w:rsidRPr="00A53EE0">
        <w:rPr>
          <w:rFonts w:ascii="Times New Roman" w:hAnsi="Times New Roman"/>
          <w:sz w:val="24"/>
          <w:szCs w:val="24"/>
        </w:rPr>
        <w:t>V súlade s požiadavkou podľa čl. 4 Legislatívnych pravidiel vlády Slovenskej republiky sa v zákone zavádza transpozičná príloha.</w:t>
      </w:r>
    </w:p>
    <w:p w:rsidR="00D21F83" w:rsidRPr="00A53EE0" w:rsidP="00A53EE0">
      <w:pPr>
        <w:bidi w:val="0"/>
        <w:spacing w:after="0" w:line="240" w:lineRule="auto"/>
        <w:jc w:val="both"/>
        <w:rPr>
          <w:rFonts w:ascii="Times New Roman" w:hAnsi="Times New Roman"/>
          <w:sz w:val="24"/>
          <w:szCs w:val="24"/>
        </w:rPr>
      </w:pPr>
    </w:p>
    <w:p w:rsidR="008E3453" w:rsidRPr="008E3453" w:rsidP="008E3453">
      <w:pPr>
        <w:bidi w:val="0"/>
        <w:spacing w:after="0" w:line="240" w:lineRule="auto"/>
        <w:jc w:val="both"/>
        <w:rPr>
          <w:rFonts w:ascii="Times New Roman" w:hAnsi="Times New Roman"/>
          <w:sz w:val="24"/>
          <w:szCs w:val="24"/>
        </w:rPr>
      </w:pPr>
      <w:r w:rsidRPr="008E3453">
        <w:rPr>
          <w:rFonts w:ascii="Times New Roman" w:hAnsi="Times New Roman"/>
          <w:sz w:val="24"/>
          <w:szCs w:val="24"/>
        </w:rPr>
        <w:t xml:space="preserve">V Bratislave, </w:t>
      </w:r>
      <w:r w:rsidR="009A4362">
        <w:rPr>
          <w:rFonts w:ascii="Times New Roman" w:hAnsi="Times New Roman"/>
          <w:sz w:val="24"/>
          <w:szCs w:val="24"/>
        </w:rPr>
        <w:t>26. augusta 2015</w:t>
      </w:r>
    </w:p>
    <w:p w:rsidR="008E3453" w:rsidRPr="008E3453" w:rsidP="008E3453">
      <w:pPr>
        <w:bidi w:val="0"/>
        <w:spacing w:after="0" w:line="240" w:lineRule="auto"/>
        <w:jc w:val="both"/>
        <w:rPr>
          <w:rFonts w:ascii="Times New Roman" w:hAnsi="Times New Roman"/>
          <w:sz w:val="24"/>
          <w:szCs w:val="24"/>
        </w:rPr>
      </w:pPr>
    </w:p>
    <w:p w:rsidR="008E3453" w:rsidRPr="008E3453" w:rsidP="008E3453">
      <w:pPr>
        <w:bidi w:val="0"/>
        <w:spacing w:after="0" w:line="240" w:lineRule="auto"/>
        <w:jc w:val="both"/>
        <w:rPr>
          <w:rFonts w:ascii="Times New Roman" w:hAnsi="Times New Roman"/>
          <w:sz w:val="24"/>
          <w:szCs w:val="24"/>
        </w:rPr>
      </w:pPr>
    </w:p>
    <w:p w:rsidR="008E3453" w:rsidRPr="008E3453" w:rsidP="008E3453">
      <w:pPr>
        <w:bidi w:val="0"/>
        <w:spacing w:after="0" w:line="240" w:lineRule="auto"/>
        <w:jc w:val="both"/>
        <w:rPr>
          <w:rFonts w:ascii="Times New Roman" w:hAnsi="Times New Roman"/>
          <w:sz w:val="24"/>
          <w:szCs w:val="24"/>
        </w:rPr>
      </w:pPr>
    </w:p>
    <w:p w:rsidR="008E3453" w:rsidRPr="008E3453" w:rsidP="008E3453">
      <w:pPr>
        <w:bidi w:val="0"/>
        <w:spacing w:after="0" w:line="240" w:lineRule="auto"/>
        <w:jc w:val="both"/>
        <w:rPr>
          <w:rFonts w:ascii="Times New Roman" w:hAnsi="Times New Roman"/>
          <w:sz w:val="24"/>
          <w:szCs w:val="24"/>
        </w:rPr>
      </w:pPr>
    </w:p>
    <w:p w:rsidR="008E3453" w:rsidRPr="008E3453" w:rsidP="008E3453">
      <w:pPr>
        <w:bidi w:val="0"/>
        <w:spacing w:after="0" w:line="240" w:lineRule="auto"/>
        <w:jc w:val="both"/>
        <w:rPr>
          <w:rFonts w:ascii="Times New Roman" w:hAnsi="Times New Roman"/>
          <w:sz w:val="24"/>
          <w:szCs w:val="24"/>
        </w:rPr>
      </w:pPr>
    </w:p>
    <w:p w:rsidR="008E3453" w:rsidRPr="008E3453" w:rsidP="008E3453">
      <w:pPr>
        <w:bidi w:val="0"/>
        <w:spacing w:after="0" w:line="240" w:lineRule="auto"/>
        <w:jc w:val="both"/>
        <w:rPr>
          <w:rFonts w:ascii="Times New Roman" w:hAnsi="Times New Roman"/>
          <w:sz w:val="24"/>
          <w:szCs w:val="24"/>
        </w:rPr>
      </w:pPr>
    </w:p>
    <w:p w:rsidR="008E3453" w:rsidRPr="008E3453" w:rsidP="008E3453">
      <w:pPr>
        <w:bidi w:val="0"/>
        <w:spacing w:after="0" w:line="240" w:lineRule="auto"/>
        <w:jc w:val="center"/>
        <w:rPr>
          <w:rFonts w:ascii="Times New Roman" w:hAnsi="Times New Roman"/>
          <w:b/>
          <w:sz w:val="24"/>
          <w:szCs w:val="24"/>
        </w:rPr>
      </w:pPr>
      <w:r w:rsidRPr="008E3453">
        <w:rPr>
          <w:rFonts w:ascii="Times New Roman" w:hAnsi="Times New Roman"/>
          <w:b/>
          <w:sz w:val="24"/>
          <w:szCs w:val="24"/>
        </w:rPr>
        <w:t>Robert Fico</w:t>
      </w:r>
      <w:r w:rsidR="00F84514">
        <w:rPr>
          <w:rFonts w:ascii="Times New Roman" w:hAnsi="Times New Roman"/>
          <w:b/>
          <w:sz w:val="24"/>
          <w:szCs w:val="24"/>
        </w:rPr>
        <w:t>, v.r.</w:t>
      </w:r>
    </w:p>
    <w:p w:rsidR="008E3453" w:rsidRPr="008E3453" w:rsidP="008E3453">
      <w:pPr>
        <w:bidi w:val="0"/>
        <w:spacing w:after="0" w:line="240" w:lineRule="auto"/>
        <w:jc w:val="center"/>
        <w:rPr>
          <w:rFonts w:ascii="Times New Roman" w:hAnsi="Times New Roman"/>
          <w:sz w:val="24"/>
          <w:szCs w:val="24"/>
        </w:rPr>
      </w:pPr>
      <w:r w:rsidRPr="008E3453">
        <w:rPr>
          <w:rFonts w:ascii="Times New Roman" w:hAnsi="Times New Roman"/>
          <w:sz w:val="24"/>
          <w:szCs w:val="24"/>
        </w:rPr>
        <w:t>predseda vlády Slovenskej republiky</w:t>
      </w:r>
    </w:p>
    <w:p w:rsidR="008E3453" w:rsidRPr="008E3453" w:rsidP="008E3453">
      <w:pPr>
        <w:bidi w:val="0"/>
        <w:spacing w:after="0" w:line="240" w:lineRule="auto"/>
        <w:jc w:val="center"/>
        <w:rPr>
          <w:rFonts w:ascii="Times New Roman" w:hAnsi="Times New Roman"/>
          <w:sz w:val="24"/>
          <w:szCs w:val="24"/>
        </w:rPr>
      </w:pPr>
    </w:p>
    <w:p w:rsidR="008E3453" w:rsidRPr="008E3453" w:rsidP="008E3453">
      <w:pPr>
        <w:bidi w:val="0"/>
        <w:spacing w:after="0" w:line="240" w:lineRule="auto"/>
        <w:jc w:val="center"/>
        <w:rPr>
          <w:rFonts w:ascii="Times New Roman" w:hAnsi="Times New Roman"/>
          <w:sz w:val="24"/>
          <w:szCs w:val="24"/>
        </w:rPr>
      </w:pPr>
    </w:p>
    <w:p w:rsidR="008E3453" w:rsidRPr="008E3453" w:rsidP="008E3453">
      <w:pPr>
        <w:bidi w:val="0"/>
        <w:spacing w:after="0" w:line="240" w:lineRule="auto"/>
        <w:jc w:val="center"/>
        <w:rPr>
          <w:rFonts w:ascii="Times New Roman" w:hAnsi="Times New Roman"/>
          <w:sz w:val="24"/>
          <w:szCs w:val="24"/>
        </w:rPr>
      </w:pPr>
    </w:p>
    <w:p w:rsidR="008E3453" w:rsidRPr="008E3453" w:rsidP="008E3453">
      <w:pPr>
        <w:bidi w:val="0"/>
        <w:spacing w:after="0" w:line="240" w:lineRule="auto"/>
        <w:jc w:val="center"/>
        <w:rPr>
          <w:rFonts w:ascii="Times New Roman" w:hAnsi="Times New Roman"/>
          <w:sz w:val="24"/>
          <w:szCs w:val="24"/>
        </w:rPr>
      </w:pPr>
    </w:p>
    <w:p w:rsidR="008E3453" w:rsidRPr="008E3453" w:rsidP="008E3453">
      <w:pPr>
        <w:bidi w:val="0"/>
        <w:spacing w:after="0" w:line="240" w:lineRule="auto"/>
        <w:jc w:val="center"/>
        <w:rPr>
          <w:rFonts w:ascii="Times New Roman" w:hAnsi="Times New Roman"/>
          <w:sz w:val="24"/>
          <w:szCs w:val="24"/>
        </w:rPr>
      </w:pPr>
    </w:p>
    <w:p w:rsidR="008E3453" w:rsidRPr="008E3453" w:rsidP="008E3453">
      <w:pPr>
        <w:bidi w:val="0"/>
        <w:spacing w:after="0" w:line="240" w:lineRule="auto"/>
        <w:jc w:val="center"/>
        <w:rPr>
          <w:rFonts w:ascii="Times New Roman" w:hAnsi="Times New Roman"/>
          <w:sz w:val="24"/>
          <w:szCs w:val="24"/>
        </w:rPr>
      </w:pPr>
    </w:p>
    <w:p w:rsidR="00F84514" w:rsidRPr="008E3453" w:rsidP="00F84514">
      <w:pPr>
        <w:bidi w:val="0"/>
        <w:spacing w:after="0" w:line="240" w:lineRule="auto"/>
        <w:jc w:val="center"/>
        <w:rPr>
          <w:rFonts w:ascii="Times New Roman" w:hAnsi="Times New Roman"/>
          <w:b/>
          <w:sz w:val="24"/>
          <w:szCs w:val="24"/>
        </w:rPr>
      </w:pPr>
      <w:r w:rsidRPr="008E3453" w:rsidR="008E3453">
        <w:rPr>
          <w:rFonts w:ascii="Times New Roman" w:hAnsi="Times New Roman"/>
          <w:b/>
          <w:sz w:val="24"/>
          <w:szCs w:val="24"/>
        </w:rPr>
        <w:t>Tomáš Borec</w:t>
      </w:r>
      <w:r>
        <w:rPr>
          <w:rFonts w:ascii="Times New Roman" w:hAnsi="Times New Roman"/>
          <w:b/>
          <w:sz w:val="24"/>
          <w:szCs w:val="24"/>
        </w:rPr>
        <w:t>, v.r.</w:t>
      </w:r>
    </w:p>
    <w:p w:rsidR="00D21F83" w:rsidRPr="00A53EE0" w:rsidP="008E3453">
      <w:pPr>
        <w:bidi w:val="0"/>
        <w:spacing w:after="0" w:line="240" w:lineRule="auto"/>
        <w:jc w:val="center"/>
        <w:rPr>
          <w:rFonts w:ascii="Times New Roman" w:hAnsi="Times New Roman"/>
          <w:sz w:val="24"/>
          <w:szCs w:val="24"/>
        </w:rPr>
      </w:pPr>
      <w:r w:rsidRPr="008E3453" w:rsidR="008E3453">
        <w:rPr>
          <w:rFonts w:ascii="Times New Roman" w:hAnsi="Times New Roman"/>
          <w:sz w:val="24"/>
          <w:szCs w:val="24"/>
        </w:rPr>
        <w:t>minister spravodlivosti Slovenskej republiky</w:t>
      </w:r>
    </w:p>
    <w:p w:rsidR="00D21F83" w:rsidRPr="00A53EE0" w:rsidP="00A53EE0">
      <w:pPr>
        <w:bidi w:val="0"/>
        <w:spacing w:after="0" w:line="240" w:lineRule="auto"/>
        <w:jc w:val="both"/>
        <w:rPr>
          <w:rFonts w:ascii="Times New Roman" w:hAnsi="Times New Roman"/>
          <w:sz w:val="24"/>
          <w:szCs w:val="24"/>
        </w:rPr>
      </w:pPr>
    </w:p>
    <w:p w:rsidR="00D21F83" w:rsidRPr="00A53EE0" w:rsidP="00A53EE0">
      <w:pPr>
        <w:bidi w:val="0"/>
        <w:spacing w:after="0" w:line="240" w:lineRule="auto"/>
        <w:jc w:val="both"/>
        <w:rPr>
          <w:rFonts w:ascii="Times New Roman" w:hAnsi="Times New Roman"/>
          <w:b/>
          <w:bCs/>
          <w:color w:val="000000"/>
          <w:sz w:val="24"/>
          <w:szCs w:val="24"/>
        </w:rPr>
      </w:pPr>
    </w:p>
    <w:p w:rsidR="00D21F83" w:rsidRPr="00A53EE0" w:rsidP="00A53EE0">
      <w:pPr>
        <w:bidi w:val="0"/>
        <w:spacing w:after="0" w:line="240" w:lineRule="auto"/>
        <w:rPr>
          <w:rFonts w:ascii="Times New Roman" w:hAnsi="Times New Roman"/>
          <w:sz w:val="24"/>
          <w:szCs w:val="24"/>
        </w:rPr>
      </w:pPr>
    </w:p>
    <w:sectPr w:rsidSect="005133BB">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3BB" w:rsidRPr="005133BB">
    <w:pPr>
      <w:pStyle w:val="Footer"/>
      <w:bidi w:val="0"/>
      <w:jc w:val="center"/>
      <w:rPr>
        <w:rFonts w:ascii="Times New Roman" w:hAnsi="Times New Roman"/>
        <w:sz w:val="24"/>
      </w:rPr>
    </w:pPr>
    <w:r w:rsidRPr="005133BB">
      <w:rPr>
        <w:rFonts w:ascii="Times New Roman" w:hAnsi="Times New Roman"/>
        <w:sz w:val="24"/>
      </w:rPr>
      <w:fldChar w:fldCharType="begin"/>
    </w:r>
    <w:r w:rsidRPr="005133BB">
      <w:rPr>
        <w:rFonts w:ascii="Times New Roman" w:hAnsi="Times New Roman"/>
        <w:sz w:val="24"/>
      </w:rPr>
      <w:instrText>PAGE   \* MERGEFORMAT</w:instrText>
    </w:r>
    <w:r w:rsidRPr="005133BB">
      <w:rPr>
        <w:rFonts w:ascii="Times New Roman" w:hAnsi="Times New Roman"/>
        <w:sz w:val="24"/>
      </w:rPr>
      <w:fldChar w:fldCharType="separate"/>
    </w:r>
    <w:r w:rsidR="00F84514">
      <w:rPr>
        <w:rFonts w:ascii="Times New Roman" w:hAnsi="Times New Roman"/>
        <w:noProof/>
        <w:sz w:val="24"/>
      </w:rPr>
      <w:t>46</w:t>
    </w:r>
    <w:r w:rsidRPr="005133BB">
      <w:rPr>
        <w:rFonts w:ascii="Times New Roman" w:hAnsi="Times New Roman"/>
        <w:sz w:val="24"/>
      </w:rPr>
      <w:fldChar w:fldCharType="end"/>
    </w:r>
  </w:p>
  <w:p w:rsidR="005133BB" w:rsidRPr="005133BB">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7E61924"/>
    <w:lvl w:ilvl="0">
      <w:start w:val="1"/>
      <w:numFmt w:val="bullet"/>
      <w:lvlText w:val=""/>
      <w:lvlJc w:val="left"/>
      <w:pPr>
        <w:tabs>
          <w:tab w:val="num" w:pos="643"/>
        </w:tabs>
        <w:ind w:left="643" w:hanging="360"/>
      </w:pPr>
      <w:rPr>
        <w:rFonts w:ascii="Symbol" w:hAnsi="Symbol" w:hint="default"/>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14F35E6C"/>
    <w:multiLevelType w:val="hybridMultilevel"/>
    <w:tmpl w:val="AFCEF4E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8520325"/>
    <w:multiLevelType w:val="hybridMultilevel"/>
    <w:tmpl w:val="81D442B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2B31478"/>
    <w:multiLevelType w:val="hybridMultilevel"/>
    <w:tmpl w:val="FAE2440A"/>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FA64795"/>
    <w:multiLevelType w:val="hybridMultilevel"/>
    <w:tmpl w:val="1FE4F8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1091C3C"/>
    <w:multiLevelType w:val="hybridMultilevel"/>
    <w:tmpl w:val="693A4C2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33C6B47"/>
    <w:multiLevelType w:val="hybridMultilevel"/>
    <w:tmpl w:val="C32AB8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0"/>
  </w:num>
  <w:num w:numId="2">
    <w:abstractNumId w:val="0"/>
  </w:num>
  <w:num w:numId="3">
    <w:abstractNumId w:val="2"/>
  </w:num>
  <w:num w:numId="4">
    <w:abstractNumId w:val="5"/>
  </w:num>
  <w:num w:numId="5">
    <w:abstractNumId w:val="3"/>
  </w:num>
  <w:num w:numId="6">
    <w:abstractNumId w:val="6"/>
  </w:num>
  <w:num w:numId="7">
    <w:abstractNumId w:val="7"/>
  </w:num>
  <w:num w:numId="8">
    <w:abstractNumId w:val="8"/>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914781"/>
    <w:rsid w:val="00016B6A"/>
    <w:rsid w:val="00036E8B"/>
    <w:rsid w:val="00050686"/>
    <w:rsid w:val="000E26CE"/>
    <w:rsid w:val="000F7CE5"/>
    <w:rsid w:val="00177E4D"/>
    <w:rsid w:val="001B493D"/>
    <w:rsid w:val="00266008"/>
    <w:rsid w:val="002C717F"/>
    <w:rsid w:val="002E0D2B"/>
    <w:rsid w:val="00332C68"/>
    <w:rsid w:val="00412A51"/>
    <w:rsid w:val="004656A2"/>
    <w:rsid w:val="00473AE3"/>
    <w:rsid w:val="005133BB"/>
    <w:rsid w:val="00575145"/>
    <w:rsid w:val="00583247"/>
    <w:rsid w:val="00583C8A"/>
    <w:rsid w:val="005B325B"/>
    <w:rsid w:val="005F3A9F"/>
    <w:rsid w:val="00715960"/>
    <w:rsid w:val="007F6072"/>
    <w:rsid w:val="008C0407"/>
    <w:rsid w:val="008E3453"/>
    <w:rsid w:val="008F657D"/>
    <w:rsid w:val="00914781"/>
    <w:rsid w:val="009533A2"/>
    <w:rsid w:val="009747DA"/>
    <w:rsid w:val="009A4362"/>
    <w:rsid w:val="00A53EE0"/>
    <w:rsid w:val="00A5561D"/>
    <w:rsid w:val="00A833B0"/>
    <w:rsid w:val="00AC2746"/>
    <w:rsid w:val="00AC5199"/>
    <w:rsid w:val="00B4294C"/>
    <w:rsid w:val="00B82B70"/>
    <w:rsid w:val="00BF288A"/>
    <w:rsid w:val="00C5048A"/>
    <w:rsid w:val="00CC1F4C"/>
    <w:rsid w:val="00CC656B"/>
    <w:rsid w:val="00D21F83"/>
    <w:rsid w:val="00DC0CAC"/>
    <w:rsid w:val="00DD27AF"/>
    <w:rsid w:val="00DE336B"/>
    <w:rsid w:val="00E01591"/>
    <w:rsid w:val="00E232DF"/>
    <w:rsid w:val="00F84514"/>
    <w:rsid w:val="00FA053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1"/>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914781"/>
    <w:pPr>
      <w:ind w:left="720"/>
      <w:contextualSpacing/>
      <w:jc w:val="left"/>
    </w:pPr>
  </w:style>
  <w:style w:type="paragraph" w:styleId="BodyText">
    <w:name w:val="Body Text"/>
    <w:basedOn w:val="Normal"/>
    <w:link w:val="ZkladntextChar"/>
    <w:uiPriority w:val="99"/>
    <w:rsid w:val="00914781"/>
    <w:pPr>
      <w:spacing w:after="0" w:line="240" w:lineRule="auto"/>
      <w:jc w:val="both"/>
    </w:pPr>
    <w:rPr>
      <w:rFonts w:ascii="Verdana" w:hAnsi="Verdana" w:cs="Verdana"/>
      <w:sz w:val="24"/>
      <w:szCs w:val="24"/>
      <w:lang w:eastAsia="sk-SK"/>
    </w:rPr>
  </w:style>
  <w:style w:type="character" w:customStyle="1" w:styleId="ZkladntextChar">
    <w:name w:val="Základný text Char"/>
    <w:basedOn w:val="DefaultParagraphFont"/>
    <w:link w:val="BodyText"/>
    <w:uiPriority w:val="99"/>
    <w:locked/>
    <w:rsid w:val="00914781"/>
    <w:rPr>
      <w:rFonts w:ascii="Verdana" w:hAnsi="Verdana" w:cs="Verdana"/>
      <w:sz w:val="24"/>
      <w:szCs w:val="24"/>
      <w:rtl w:val="0"/>
      <w:cs w:val="0"/>
      <w:lang w:val="x-none" w:eastAsia="sk-SK"/>
    </w:rPr>
  </w:style>
  <w:style w:type="paragraph" w:styleId="BalloonText">
    <w:name w:val="Balloon Text"/>
    <w:basedOn w:val="Normal"/>
    <w:link w:val="TextbublinyChar"/>
    <w:uiPriority w:val="99"/>
    <w:semiHidden/>
    <w:unhideWhenUsed/>
    <w:rsid w:val="002C717F"/>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C717F"/>
    <w:rPr>
      <w:rFonts w:ascii="Tahoma" w:hAnsi="Tahoma" w:cs="Tahoma"/>
      <w:sz w:val="16"/>
      <w:szCs w:val="16"/>
      <w:rtl w:val="0"/>
      <w:cs w:val="0"/>
    </w:rPr>
  </w:style>
  <w:style w:type="paragraph" w:styleId="ListBullet2">
    <w:name w:val="List Bullet 2"/>
    <w:basedOn w:val="Normal"/>
    <w:autoRedefine/>
    <w:uiPriority w:val="99"/>
    <w:rsid w:val="00D21F83"/>
    <w:pPr>
      <w:autoSpaceDE w:val="0"/>
      <w:autoSpaceDN w:val="0"/>
      <w:adjustRightInd w:val="0"/>
      <w:spacing w:after="0" w:line="240" w:lineRule="auto"/>
      <w:ind w:left="1407"/>
      <w:jc w:val="both"/>
    </w:pPr>
    <w:rPr>
      <w:rFonts w:ascii="Times New Roman" w:hAnsi="Times New Roman"/>
      <w:sz w:val="24"/>
      <w:szCs w:val="20"/>
      <w:lang w:eastAsia="sk-SK"/>
    </w:rPr>
  </w:style>
  <w:style w:type="paragraph" w:styleId="Header">
    <w:name w:val="header"/>
    <w:basedOn w:val="Normal"/>
    <w:link w:val="HlavikaChar"/>
    <w:uiPriority w:val="99"/>
    <w:unhideWhenUsed/>
    <w:rsid w:val="005133B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133BB"/>
    <w:rPr>
      <w:rFonts w:cs="Times New Roman"/>
      <w:rtl w:val="0"/>
      <w:cs w:val="0"/>
    </w:rPr>
  </w:style>
  <w:style w:type="paragraph" w:styleId="Footer">
    <w:name w:val="footer"/>
    <w:basedOn w:val="Normal"/>
    <w:link w:val="PtaChar"/>
    <w:uiPriority w:val="99"/>
    <w:unhideWhenUsed/>
    <w:rsid w:val="005133B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133B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16FD0-C32C-46B3-8E3D-0C51E8D3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26</TotalTime>
  <Pages>46</Pages>
  <Words>17739</Words>
  <Characters>101113</Characters>
  <Application>Microsoft Office Word</Application>
  <DocSecurity>0</DocSecurity>
  <Lines>0</Lines>
  <Paragraphs>0</Paragraphs>
  <ScaleCrop>false</ScaleCrop>
  <Company/>
  <LinksUpToDate>false</LinksUpToDate>
  <CharactersWithSpaces>118615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PALUS  Juraj</cp:lastModifiedBy>
  <cp:revision>23</cp:revision>
  <cp:lastPrinted>2014-06-22T10:20:00Z</cp:lastPrinted>
  <dcterms:created xsi:type="dcterms:W3CDTF">2014-07-29T15:11:00Z</dcterms:created>
  <dcterms:modified xsi:type="dcterms:W3CDTF">2015-08-27T08:22:00Z</dcterms:modified>
</cp:coreProperties>
</file>