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3E9D" w:rsidRPr="0069393B" w:rsidP="003B3E9D">
      <w:pPr>
        <w:autoSpaceDE/>
        <w:autoSpaceDN/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B3E9D" w:rsidRPr="0069393B" w:rsidP="003B3E9D">
      <w:pPr>
        <w:autoSpaceDE/>
        <w:autoSpaceDN/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A.1. Názov materiálu: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BF239D" w:rsidP="00C919C6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BF239D" w:rsidR="00D31824">
        <w:rPr>
          <w:rFonts w:ascii="Times New Roman" w:hAnsi="Times New Roman"/>
          <w:sz w:val="24"/>
          <w:szCs w:val="24"/>
        </w:rPr>
        <w:t xml:space="preserve">Návrh zákona </w:t>
      </w:r>
      <w:r w:rsidRPr="00BF239D" w:rsidR="00C919C6">
        <w:rPr>
          <w:rFonts w:ascii="Times New Roman" w:hAnsi="Times New Roman"/>
          <w:sz w:val="24"/>
          <w:szCs w:val="24"/>
        </w:rPr>
        <w:t xml:space="preserve">o </w:t>
      </w:r>
      <w:r w:rsidRPr="00BF239D" w:rsidR="00BF239D">
        <w:rPr>
          <w:rFonts w:ascii="Times New Roman" w:hAnsi="Times New Roman"/>
          <w:sz w:val="24"/>
          <w:szCs w:val="24"/>
        </w:rPr>
        <w:t>zrušení Fondu národného majetku Slovenskej republiky a o zmene a doplnení niektorých zákonov</w:t>
      </w:r>
    </w:p>
    <w:p w:rsidR="00C919C6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Termín začatia a ukončenia PPK: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A.2. Vplyvy: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/>
      </w:tblPr>
      <w:tblGrid>
        <w:gridCol w:w="3726"/>
        <w:gridCol w:w="1242"/>
        <w:gridCol w:w="1260"/>
        <w:gridCol w:w="1393"/>
      </w:tblGrid>
      <w:tr>
        <w:tblPrEx>
          <w:tblW w:w="76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Pozitívne</w:t>
            </w:r>
            <w:r w:rsidRPr="0069393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Žiadne</w:t>
            </w:r>
            <w:r w:rsidRPr="0069393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Negatívne</w:t>
            </w:r>
            <w:r w:rsidRPr="0069393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7621" w:type="dxa"/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F30303">
            <w:pPr>
              <w:tabs>
                <w:tab w:val="left" w:pos="1143"/>
              </w:tabs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7621" w:type="dxa"/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 w:rsidR="00D3182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7621" w:type="dxa"/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824" w:rsidRPr="0069393B" w:rsidP="00D31824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D31824" w:rsidRPr="0069393B" w:rsidP="00D31824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- vplyvy  na hospodárenie obyvateľstva,</w:t>
            </w:r>
          </w:p>
          <w:p w:rsidR="00D31824" w:rsidRPr="0069393B" w:rsidP="00D31824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- sociálnu exklúziu,</w:t>
            </w:r>
          </w:p>
          <w:p w:rsidR="00D31824" w:rsidRPr="0069393B" w:rsidP="00D31824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- rovnosť príležitostí a rodovú rovnosť</w:t>
            </w:r>
          </w:p>
          <w:p w:rsidR="00D31824" w:rsidRPr="0069393B" w:rsidP="00D31824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- 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31824" w:rsidRPr="0069393B" w:rsidP="00D31824">
            <w:pPr>
              <w:autoSpaceDE/>
              <w:autoSpaceDN/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x </w:t>
            </w:r>
          </w:p>
        </w:tc>
      </w:tr>
      <w:tr>
        <w:tblPrEx>
          <w:tblW w:w="7621" w:type="dxa"/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 w:rsidR="00D3182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7621" w:type="dxa"/>
          <w:tblCellMar>
            <w:top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Cs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93B" w:rsidR="00D3182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Cs/>
          <w:sz w:val="24"/>
          <w:u w:val="single"/>
        </w:rPr>
      </w:pPr>
      <w:r w:rsidRPr="0069393B">
        <w:rPr>
          <w:rFonts w:ascii="Times New Roman" w:hAnsi="Times New Roman"/>
          <w:b/>
          <w:sz w:val="16"/>
          <w:szCs w:val="16"/>
        </w:rPr>
        <w:t>*</w:t>
      </w:r>
      <w:r w:rsidRPr="0069393B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Cs/>
          <w:sz w:val="16"/>
          <w:szCs w:val="16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bCs/>
          <w:sz w:val="24"/>
        </w:rPr>
      </w:pPr>
      <w:r w:rsidRPr="0069393B">
        <w:rPr>
          <w:rFonts w:ascii="Times New Roman" w:hAnsi="Times New Roman"/>
          <w:b/>
          <w:bCs/>
          <w:sz w:val="24"/>
        </w:rPr>
        <w:t>A.3. Poznámky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bCs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Ad vplyv na rozpočet verejnej správy.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 w:rsidR="003B3E9D">
        <w:rPr>
          <w:rFonts w:ascii="Times New Roman" w:hAnsi="Times New Roman"/>
          <w:sz w:val="24"/>
        </w:rPr>
        <w:t xml:space="preserve">Celková výška finančného </w:t>
      </w:r>
      <w:r w:rsidR="00C633A6">
        <w:rPr>
          <w:rFonts w:ascii="Times New Roman" w:hAnsi="Times New Roman"/>
          <w:sz w:val="24"/>
        </w:rPr>
        <w:t xml:space="preserve">vplyvu </w:t>
      </w:r>
      <w:r w:rsidRPr="0069393B" w:rsidR="00A46652">
        <w:rPr>
          <w:rFonts w:ascii="Times New Roman" w:hAnsi="Times New Roman"/>
          <w:sz w:val="24"/>
        </w:rPr>
        <w:t>za vykazované obdobie (2016 až 2018</w:t>
      </w:r>
      <w:r w:rsidRPr="0069393B" w:rsidR="003B3E9D">
        <w:rPr>
          <w:rFonts w:ascii="Times New Roman" w:hAnsi="Times New Roman"/>
          <w:sz w:val="24"/>
        </w:rPr>
        <w:t>) je pozitívna</w:t>
      </w:r>
      <w:r w:rsidRPr="0069393B" w:rsidR="00A46652">
        <w:rPr>
          <w:rFonts w:ascii="Times New Roman" w:hAnsi="Times New Roman"/>
          <w:sz w:val="24"/>
        </w:rPr>
        <w:t>.</w:t>
      </w:r>
      <w:r w:rsidRPr="0069393B" w:rsidR="003B3E9D">
        <w:rPr>
          <w:rFonts w:ascii="Times New Roman" w:hAnsi="Times New Roman"/>
          <w:sz w:val="24"/>
        </w:rPr>
        <w:t xml:space="preserve"> </w:t>
      </w:r>
      <w:r w:rsidRPr="0069393B" w:rsidR="00A46652">
        <w:rPr>
          <w:rFonts w:ascii="Times New Roman" w:hAnsi="Times New Roman"/>
          <w:sz w:val="24"/>
        </w:rPr>
        <w:t xml:space="preserve">V porovnaní s rozpočtom </w:t>
      </w:r>
      <w:r w:rsidRPr="0069393B" w:rsidR="00A46652">
        <w:rPr>
          <w:rFonts w:ascii="Times New Roman" w:hAnsi="Times New Roman"/>
          <w:sz w:val="24"/>
          <w:szCs w:val="24"/>
        </w:rPr>
        <w:t>Fondu národného majetku Slovenskej republiky</w:t>
      </w:r>
      <w:r w:rsidRPr="0069393B" w:rsidR="00A46652">
        <w:rPr>
          <w:rFonts w:ascii="Times New Roman" w:hAnsi="Times New Roman"/>
          <w:sz w:val="24"/>
        </w:rPr>
        <w:t xml:space="preserve"> </w:t>
      </w:r>
      <w:r w:rsidR="007B7AAA">
        <w:rPr>
          <w:rFonts w:ascii="Times New Roman" w:hAnsi="Times New Roman"/>
          <w:sz w:val="24"/>
        </w:rPr>
        <w:t>sa</w:t>
      </w:r>
      <w:r w:rsidRPr="0069393B" w:rsidR="003B3E9D">
        <w:rPr>
          <w:rFonts w:ascii="Times New Roman" w:hAnsi="Times New Roman"/>
          <w:sz w:val="24"/>
        </w:rPr>
        <w:t xml:space="preserve"> </w:t>
      </w:r>
      <w:r w:rsidRPr="0069393B" w:rsidR="00A46652">
        <w:rPr>
          <w:rFonts w:ascii="Times New Roman" w:hAnsi="Times New Roman"/>
          <w:sz w:val="24"/>
        </w:rPr>
        <w:t xml:space="preserve">počíta s ročnou úsporou vo výške </w:t>
      </w:r>
      <w:r w:rsidRPr="0069393B" w:rsidR="00C76979">
        <w:rPr>
          <w:rFonts w:ascii="Times New Roman" w:hAnsi="Times New Roman"/>
          <w:sz w:val="24"/>
        </w:rPr>
        <w:t>405 606</w:t>
      </w:r>
      <w:r w:rsidRPr="0069393B" w:rsidR="00A46652">
        <w:rPr>
          <w:rFonts w:ascii="Times New Roman" w:hAnsi="Times New Roman"/>
          <w:sz w:val="24"/>
        </w:rPr>
        <w:t xml:space="preserve"> Eur t.j. spolu za sledované obdobie 2016 až 2018 zníženie výdavkov v sume </w:t>
      </w:r>
      <w:r w:rsidRPr="0069393B" w:rsidR="00C76979">
        <w:rPr>
          <w:rFonts w:ascii="Times New Roman" w:hAnsi="Times New Roman"/>
          <w:sz w:val="24"/>
        </w:rPr>
        <w:t>1 216 818</w:t>
      </w:r>
      <w:r w:rsidRPr="0069393B" w:rsidR="00A46652">
        <w:rPr>
          <w:rFonts w:ascii="Times New Roman" w:hAnsi="Times New Roman"/>
          <w:sz w:val="24"/>
        </w:rPr>
        <w:t xml:space="preserve"> Eur.</w:t>
      </w:r>
      <w:r w:rsidRPr="0069393B">
        <w:rPr>
          <w:rFonts w:ascii="Times New Roman" w:hAnsi="Times New Roman"/>
          <w:sz w:val="24"/>
        </w:rPr>
        <w:t xml:space="preserve"> Predpokladané úspory sú </w:t>
      </w:r>
      <w:r w:rsidRPr="0069393B" w:rsidR="001F716E">
        <w:rPr>
          <w:rFonts w:ascii="Times New Roman" w:hAnsi="Times New Roman"/>
          <w:sz w:val="24"/>
        </w:rPr>
        <w:t xml:space="preserve">predovšetkým </w:t>
      </w:r>
      <w:r w:rsidRPr="0069393B">
        <w:rPr>
          <w:rFonts w:ascii="Times New Roman" w:hAnsi="Times New Roman"/>
          <w:sz w:val="24"/>
        </w:rPr>
        <w:t>dôsledkom zníženia celkového počtu zamestnancov</w:t>
      </w:r>
      <w:r w:rsidR="00C32D45">
        <w:rPr>
          <w:rFonts w:ascii="Times New Roman" w:hAnsi="Times New Roman"/>
          <w:sz w:val="24"/>
        </w:rPr>
        <w:t xml:space="preserve"> po zrušení Fondu národného majetku Slovenskej republiky, nakoľko sa nepredpokladá prechod všetkých doterajších zamestnancov na Ministerstvo hospodárstva Slovenskej republiky</w:t>
      </w:r>
      <w:r w:rsidRPr="0069393B">
        <w:rPr>
          <w:rFonts w:ascii="Times New Roman" w:hAnsi="Times New Roman"/>
          <w:sz w:val="24"/>
        </w:rPr>
        <w:t>.</w:t>
      </w:r>
    </w:p>
    <w:p w:rsidR="001B7FE1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2460D2" w:rsidP="002460D2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2460D2">
        <w:rPr>
          <w:rFonts w:ascii="Times New Roman" w:hAnsi="Times New Roman"/>
          <w:sz w:val="24"/>
        </w:rPr>
        <w:t xml:space="preserve">Uvedené zníženie výdavkov a počtu zamestnancov je už zapracované v návrhu rozpočtu Fondu národného majetku SR na roky 2016 až 2018, ktorý vyplynul z prerokovania pôvodného </w:t>
      </w:r>
      <w:r>
        <w:rPr>
          <w:rFonts w:ascii="Times New Roman" w:hAnsi="Times New Roman"/>
          <w:sz w:val="24"/>
        </w:rPr>
        <w:t xml:space="preserve">návrhu </w:t>
      </w:r>
      <w:r w:rsidRPr="002460D2">
        <w:rPr>
          <w:rFonts w:ascii="Times New Roman" w:hAnsi="Times New Roman"/>
          <w:sz w:val="24"/>
        </w:rPr>
        <w:t xml:space="preserve">rozpočtu </w:t>
      </w:r>
      <w:r>
        <w:rPr>
          <w:rFonts w:ascii="Times New Roman" w:hAnsi="Times New Roman"/>
          <w:sz w:val="24"/>
        </w:rPr>
        <w:t>Fondu národného majetku SR s Ministerstvom financií SR a ktorý je súčasťou aktuálneho rozpočtu verejnej správy na roky 2016 až 2018.</w:t>
      </w:r>
    </w:p>
    <w:p w:rsidR="002460D2" w:rsidP="002460D2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1B7FE1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="008F03C2">
        <w:rPr>
          <w:rFonts w:ascii="Times New Roman" w:hAnsi="Times New Roman"/>
          <w:sz w:val="24"/>
        </w:rPr>
        <w:t xml:space="preserve">Ministerstvo hospodárstva Slovenskej republiky </w:t>
      </w:r>
      <w:r w:rsidRPr="0069393B">
        <w:rPr>
          <w:rFonts w:ascii="Times New Roman" w:hAnsi="Times New Roman"/>
          <w:sz w:val="24"/>
        </w:rPr>
        <w:t>preberie k 1</w:t>
      </w:r>
      <w:r w:rsidRPr="00F24281">
        <w:rPr>
          <w:rFonts w:ascii="Times New Roman" w:hAnsi="Times New Roman"/>
          <w:sz w:val="24"/>
        </w:rPr>
        <w:t>.</w:t>
      </w:r>
      <w:r w:rsidRPr="00F24281" w:rsidR="00F24281">
        <w:rPr>
          <w:rFonts w:ascii="Times New Roman" w:hAnsi="Times New Roman"/>
          <w:sz w:val="24"/>
        </w:rPr>
        <w:t xml:space="preserve"> janu</w:t>
      </w:r>
      <w:r w:rsidRPr="00A54D30" w:rsidR="00F24281">
        <w:rPr>
          <w:rFonts w:ascii="Times New Roman" w:hAnsi="Times New Roman"/>
          <w:sz w:val="24"/>
        </w:rPr>
        <w:t>ár</w:t>
      </w:r>
      <w:r w:rsidR="00F24281">
        <w:rPr>
          <w:rFonts w:ascii="Times New Roman" w:hAnsi="Times New Roman"/>
          <w:sz w:val="24"/>
        </w:rPr>
        <w:t>u</w:t>
      </w:r>
      <w:r w:rsidRPr="00A54D30" w:rsidR="00F24281">
        <w:rPr>
          <w:rFonts w:ascii="Times New Roman" w:hAnsi="Times New Roman"/>
          <w:sz w:val="24"/>
        </w:rPr>
        <w:t xml:space="preserve"> </w:t>
      </w:r>
      <w:r w:rsidR="00F24281">
        <w:rPr>
          <w:rFonts w:ascii="Times New Roman" w:hAnsi="Times New Roman"/>
          <w:sz w:val="24"/>
        </w:rPr>
        <w:t>2</w:t>
      </w:r>
      <w:r w:rsidRPr="00F24281">
        <w:rPr>
          <w:rFonts w:ascii="Times New Roman" w:hAnsi="Times New Roman"/>
          <w:sz w:val="24"/>
        </w:rPr>
        <w:t>016</w:t>
      </w:r>
      <w:r w:rsidRPr="0069393B">
        <w:rPr>
          <w:rFonts w:ascii="Times New Roman" w:hAnsi="Times New Roman"/>
          <w:sz w:val="24"/>
        </w:rPr>
        <w:t xml:space="preserve"> </w:t>
      </w:r>
      <w:r w:rsidRPr="0069393B" w:rsidR="00774B4A">
        <w:rPr>
          <w:rFonts w:ascii="Times New Roman" w:hAnsi="Times New Roman"/>
          <w:sz w:val="24"/>
        </w:rPr>
        <w:t>majetok</w:t>
      </w:r>
      <w:r w:rsidRPr="0069393B" w:rsidR="002F3B33">
        <w:rPr>
          <w:rFonts w:ascii="Times New Roman" w:hAnsi="Times New Roman"/>
          <w:sz w:val="24"/>
        </w:rPr>
        <w:t>,</w:t>
      </w:r>
      <w:r w:rsidRPr="0069393B" w:rsidR="00774B4A">
        <w:rPr>
          <w:rFonts w:ascii="Times New Roman" w:hAnsi="Times New Roman"/>
          <w:sz w:val="24"/>
        </w:rPr>
        <w:t xml:space="preserve"> a</w:t>
      </w:r>
      <w:r w:rsidRPr="0069393B" w:rsidR="002F3B33">
        <w:rPr>
          <w:rFonts w:ascii="Times New Roman" w:hAnsi="Times New Roman"/>
          <w:sz w:val="24"/>
        </w:rPr>
        <w:t>j</w:t>
      </w:r>
      <w:r w:rsidRPr="0069393B" w:rsidR="00774B4A">
        <w:rPr>
          <w:rFonts w:ascii="Times New Roman" w:hAnsi="Times New Roman"/>
          <w:sz w:val="24"/>
        </w:rPr>
        <w:t xml:space="preserve"> </w:t>
      </w:r>
      <w:r w:rsidRPr="0069393B">
        <w:rPr>
          <w:rFonts w:ascii="Times New Roman" w:hAnsi="Times New Roman"/>
          <w:sz w:val="24"/>
        </w:rPr>
        <w:t xml:space="preserve">záväzky </w:t>
      </w:r>
      <w:r w:rsidRPr="0069393B" w:rsidR="002F3B33">
        <w:rPr>
          <w:rFonts w:ascii="Times New Roman" w:hAnsi="Times New Roman"/>
          <w:sz w:val="24"/>
        </w:rPr>
        <w:t xml:space="preserve">a podmienené záväzky (najmä z prebiehajúcich súdnych sporov) </w:t>
      </w:r>
      <w:r w:rsidRPr="0069393B">
        <w:rPr>
          <w:rFonts w:ascii="Times New Roman" w:hAnsi="Times New Roman"/>
          <w:sz w:val="24"/>
        </w:rPr>
        <w:t>Fondu národného majetku</w:t>
      </w:r>
      <w:r w:rsidRPr="0069393B" w:rsidR="00774B4A">
        <w:rPr>
          <w:rFonts w:ascii="Times New Roman" w:hAnsi="Times New Roman"/>
          <w:sz w:val="24"/>
        </w:rPr>
        <w:t>. S uhrádzaním záväzkov bude nevyhnutne spojený odliv finančných prostriedkov</w:t>
      </w:r>
      <w:r w:rsidR="003E1805">
        <w:rPr>
          <w:rFonts w:ascii="Times New Roman" w:hAnsi="Times New Roman"/>
          <w:sz w:val="24"/>
        </w:rPr>
        <w:t>, ktorých výšku nie je možné v súčasnosti explicitne určiť</w:t>
      </w:r>
      <w:r w:rsidRPr="0069393B" w:rsidR="00774B4A">
        <w:rPr>
          <w:rFonts w:ascii="Times New Roman" w:hAnsi="Times New Roman"/>
          <w:sz w:val="24"/>
        </w:rPr>
        <w:t>.</w:t>
      </w:r>
      <w:r w:rsidRPr="0069393B" w:rsidR="009D50EA">
        <w:rPr>
          <w:rFonts w:ascii="Times New Roman" w:hAnsi="Times New Roman"/>
          <w:sz w:val="24"/>
        </w:rPr>
        <w:t xml:space="preserve"> Z titulu samotného prebratia záväzkov však </w:t>
      </w:r>
      <w:r w:rsidRPr="0069393B" w:rsidR="004B373A">
        <w:rPr>
          <w:rFonts w:ascii="Times New Roman" w:hAnsi="Times New Roman"/>
          <w:sz w:val="24"/>
        </w:rPr>
        <w:t>neprichádza k zmene v</w:t>
      </w:r>
      <w:r w:rsidRPr="0069393B" w:rsidR="00D26FC6">
        <w:rPr>
          <w:rFonts w:ascii="Times New Roman" w:hAnsi="Times New Roman"/>
          <w:sz w:val="24"/>
        </w:rPr>
        <w:t xml:space="preserve"> celkových</w:t>
      </w:r>
      <w:r w:rsidRPr="0069393B" w:rsidR="004B373A">
        <w:rPr>
          <w:rFonts w:ascii="Times New Roman" w:hAnsi="Times New Roman"/>
          <w:sz w:val="24"/>
        </w:rPr>
        <w:t xml:space="preserve"> výdavkoch verejnej správy</w:t>
      </w:r>
      <w:r w:rsidRPr="0069393B" w:rsidR="009D50EA">
        <w:rPr>
          <w:rFonts w:ascii="Times New Roman" w:hAnsi="Times New Roman"/>
          <w:sz w:val="24"/>
        </w:rPr>
        <w:t>, keďže sa jedná o prechod záväzkov z jedného subjektu verejnej správy na druhý</w:t>
      </w:r>
      <w:r w:rsidRPr="0069393B" w:rsidR="004B373A">
        <w:rPr>
          <w:rFonts w:ascii="Times New Roman" w:hAnsi="Times New Roman"/>
          <w:sz w:val="24"/>
        </w:rPr>
        <w:t>.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  <w:r w:rsidRPr="0069393B">
        <w:rPr>
          <w:rFonts w:ascii="Times New Roman" w:hAnsi="Times New Roman"/>
          <w:sz w:val="24"/>
        </w:rPr>
        <w:t>Kvan</w:t>
      </w:r>
      <w:r w:rsidRPr="0069393B" w:rsidR="002F3B33">
        <w:rPr>
          <w:rFonts w:ascii="Times New Roman" w:hAnsi="Times New Roman"/>
          <w:sz w:val="24"/>
        </w:rPr>
        <w:t xml:space="preserve">titatívne vyjadrenie </w:t>
      </w:r>
      <w:r w:rsidR="00C633A6">
        <w:rPr>
          <w:rFonts w:ascii="Times New Roman" w:hAnsi="Times New Roman"/>
          <w:sz w:val="24"/>
        </w:rPr>
        <w:t xml:space="preserve">vplyvov </w:t>
      </w:r>
      <w:r w:rsidRPr="0069393B" w:rsidR="002F3B33">
        <w:rPr>
          <w:rFonts w:ascii="Times New Roman" w:hAnsi="Times New Roman"/>
          <w:sz w:val="24"/>
        </w:rPr>
        <w:t xml:space="preserve">a </w:t>
      </w:r>
      <w:r w:rsidRPr="0069393B">
        <w:rPr>
          <w:rFonts w:ascii="Times New Roman" w:hAnsi="Times New Roman"/>
          <w:sz w:val="24"/>
        </w:rPr>
        <w:t>komentár sú uvedené v prílohe „</w:t>
      </w:r>
      <w:r w:rsidRPr="0069393B">
        <w:rPr>
          <w:rFonts w:ascii="Times New Roman" w:hAnsi="Times New Roman"/>
          <w:bCs/>
          <w:sz w:val="24"/>
        </w:rPr>
        <w:t>Vplyvy na rozpočet verejnej správy, na zamestnanosť vo verejnej správe a financovanie návrhu“.</w:t>
      </w: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Ad vplyvy na podnikateľské prostredie.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Nedochádza k zvýšeniu regulačného zaťaž</w:t>
      </w:r>
      <w:r w:rsidRPr="0069393B" w:rsidR="00D80C46">
        <w:rPr>
          <w:rFonts w:ascii="Times New Roman" w:hAnsi="Times New Roman"/>
          <w:sz w:val="24"/>
        </w:rPr>
        <w:t>enia podnikateľského prostredia, ani sa n</w:t>
      </w:r>
      <w:r w:rsidRPr="0069393B" w:rsidR="00D80C46">
        <w:rPr>
          <w:rFonts w:ascii="Times New Roman" w:hAnsi="Times New Roman"/>
          <w:sz w:val="24"/>
          <w:szCs w:val="24"/>
        </w:rPr>
        <w:t>eočakáva vplyv na zvýšenie resp. zníženie nákladov a prínosov pre podnikateľské subjekty.</w:t>
      </w: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 w:rsidR="00237021">
        <w:rPr>
          <w:rFonts w:ascii="Times New Roman" w:hAnsi="Times New Roman"/>
          <w:sz w:val="24"/>
        </w:rPr>
        <w:t>Ad s</w:t>
      </w:r>
      <w:r w:rsidRPr="0069393B">
        <w:rPr>
          <w:rFonts w:ascii="Times New Roman" w:hAnsi="Times New Roman"/>
          <w:sz w:val="24"/>
        </w:rPr>
        <w:t>ociálne vplyvy.</w:t>
      </w:r>
    </w:p>
    <w:p w:rsidR="00237021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="00180F61">
        <w:rPr>
          <w:rFonts w:ascii="Times New Roman" w:hAnsi="Times New Roman"/>
          <w:sz w:val="24"/>
        </w:rPr>
        <w:t>Z</w:t>
      </w:r>
      <w:r w:rsidRPr="0069393B">
        <w:rPr>
          <w:rFonts w:ascii="Times New Roman" w:hAnsi="Times New Roman"/>
          <w:sz w:val="24"/>
        </w:rPr>
        <w:t>rušenie Fondu národného majetku Slovenskej republiky bude mať negatívny vplyv na zamestnanosť z dôvodu predpokladaného zníženia počtu zamestnancov</w:t>
      </w:r>
      <w:r w:rsidR="006041BC">
        <w:rPr>
          <w:rFonts w:ascii="Times New Roman" w:hAnsi="Times New Roman"/>
          <w:sz w:val="24"/>
        </w:rPr>
        <w:t xml:space="preserve"> po zrušení Fondu národného majetku Slovenskej republiky, nakoľko sa </w:t>
      </w:r>
      <w:r w:rsidR="00C32D45">
        <w:rPr>
          <w:rFonts w:ascii="Times New Roman" w:hAnsi="Times New Roman"/>
          <w:sz w:val="24"/>
        </w:rPr>
        <w:t>ne</w:t>
      </w:r>
      <w:r w:rsidR="006041BC">
        <w:rPr>
          <w:rFonts w:ascii="Times New Roman" w:hAnsi="Times New Roman"/>
          <w:sz w:val="24"/>
        </w:rPr>
        <w:t>predpokladá</w:t>
      </w:r>
      <w:r w:rsidR="00C32D45">
        <w:rPr>
          <w:rFonts w:ascii="Times New Roman" w:hAnsi="Times New Roman"/>
          <w:sz w:val="24"/>
        </w:rPr>
        <w:t xml:space="preserve"> prechod všetkých doterajších zamestnancov na Ministerstvo hospodárstva Slovenskej republiky</w:t>
      </w:r>
      <w:r w:rsidRPr="0069393B" w:rsidR="00237021">
        <w:rPr>
          <w:rFonts w:ascii="Times New Roman" w:hAnsi="Times New Roman"/>
          <w:sz w:val="24"/>
        </w:rPr>
        <w:t>.</w:t>
      </w: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Ad vplyvy na životné prostredie.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Nedochádza k žiadnemu vplyvu na životné prostredie.</w:t>
      </w: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t>Ad vplyvy na informatizáciu spoločnosti.</w:t>
      </w:r>
    </w:p>
    <w:p w:rsidR="00BC2983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  <w:r w:rsidRPr="0069393B">
        <w:rPr>
          <w:rFonts w:ascii="Times New Roman" w:hAnsi="Times New Roman"/>
          <w:sz w:val="24"/>
        </w:rPr>
        <w:br/>
        <w:t>Nedochádza k žiadnemu vplyvu na informatizáciu spoločnosti.</w:t>
      </w:r>
    </w:p>
    <w:p w:rsidR="00F402B5" w:rsidRPr="0069393B" w:rsidP="00BC2983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BC2983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sz w:val="24"/>
        </w:rPr>
      </w:pPr>
      <w:r w:rsidRPr="0069393B">
        <w:rPr>
          <w:rFonts w:ascii="Times New Roman" w:hAnsi="Times New Roman"/>
          <w:b/>
          <w:sz w:val="24"/>
        </w:rPr>
        <w:t>A.4. Alternatívne riešenia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2"/>
          <w:szCs w:val="22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sz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sz w:val="24"/>
          <w:szCs w:val="24"/>
        </w:rPr>
      </w:pPr>
      <w:r w:rsidRPr="0069393B">
        <w:rPr>
          <w:rFonts w:ascii="Times New Roman" w:hAnsi="Times New Roman"/>
          <w:b/>
          <w:sz w:val="24"/>
        </w:rPr>
        <w:t xml:space="preserve">A.5. Stanovisko gestorov 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  <w:sz w:val="24"/>
          <w:szCs w:val="24"/>
        </w:rPr>
      </w:pPr>
      <w:r w:rsidRPr="0069393B">
        <w:rPr>
          <w:rFonts w:ascii="Times New Roman" w:hAnsi="Times New Roman"/>
          <w:sz w:val="24"/>
          <w:szCs w:val="24"/>
        </w:rPr>
        <w:br w:type="page"/>
        <w:t>Príloha č. 2</w:t>
      </w: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sz w:val="24"/>
          <w:szCs w:val="24"/>
        </w:rPr>
      </w:pPr>
      <w:r w:rsidRPr="0069393B">
        <w:rPr>
          <w:rFonts w:ascii="Times New Roman" w:hAnsi="Times New Roman"/>
          <w:b/>
          <w:sz w:val="24"/>
          <w:szCs w:val="24"/>
        </w:rPr>
        <w:t>2.1. Zhrnutie vplyvov na rozpočet verejnej správy v návrhu</w:t>
      </w: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</w:rPr>
      </w:pPr>
      <w:r w:rsidRPr="0069393B">
        <w:rPr>
          <w:rFonts w:ascii="Times New Roman" w:hAnsi="Times New Roman"/>
        </w:rPr>
        <w:t xml:space="preserve">Tabuľka č. 1 </w:t>
      </w:r>
    </w:p>
    <w:tbl>
      <w:tblPr>
        <w:tblStyle w:val="TableNormal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Vplyvy na 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 na rozpočet verejnej správy </w:t>
            </w:r>
            <w:r w:rsidRPr="0069393B" w:rsidR="00237021">
              <w:rPr>
                <w:rFonts w:ascii="Times New Roman" w:hAnsi="Times New Roman"/>
                <w:b/>
                <w:bCs/>
                <w:sz w:val="24"/>
                <w:szCs w:val="24"/>
              </w:rPr>
              <w:t>(v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eur)</w:t>
            </w:r>
            <w:r w:rsidR="00830B0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2018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23702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</w:t>
            </w: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-405 606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23702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23702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1694E" w:rsidRPr="0069393B" w:rsidP="0031694E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1694E" w:rsidRPr="0069393B" w:rsidP="0031694E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1694E" w:rsidRPr="0069393B" w:rsidP="0031694E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0224E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9393B" w:rsidR="00C7697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C76979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0224E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9393B" w:rsidR="00C7697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0224E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69393B" w:rsidR="00C7697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3454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i/>
                <w:sz w:val="24"/>
                <w:szCs w:val="24"/>
              </w:rPr>
              <w:t>- z toho vplyv na ŠR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3454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3454" w:rsidRPr="0069393B" w:rsidP="00303454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3454" w:rsidRPr="0069393B" w:rsidP="00303454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3454" w:rsidRPr="0069393B" w:rsidP="00303454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 w:rsidR="002370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:rsidR="003B3E9D" w:rsidRPr="0069393B" w:rsidP="00830B02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  <w:r w:rsidR="00830B02">
        <w:rPr>
          <w:rFonts w:ascii="Times New Roman" w:hAnsi="Times New Roman"/>
          <w:sz w:val="24"/>
          <w:szCs w:val="24"/>
        </w:rPr>
        <w:t>*) oproti schválenému rozpočtu FNM SR na rok 2015 a návrhu rozpočtu FNM SR na rok</w:t>
      </w:r>
      <w:r w:rsidR="00F24281">
        <w:rPr>
          <w:rFonts w:ascii="Times New Roman" w:hAnsi="Times New Roman"/>
          <w:sz w:val="24"/>
          <w:szCs w:val="24"/>
        </w:rPr>
        <w:t>y</w:t>
      </w:r>
      <w:r w:rsidR="00830B02">
        <w:rPr>
          <w:rFonts w:ascii="Times New Roman" w:hAnsi="Times New Roman"/>
          <w:sz w:val="24"/>
          <w:szCs w:val="24"/>
        </w:rPr>
        <w:t xml:space="preserve"> 2016 </w:t>
      </w:r>
      <w:r w:rsidR="00F24281">
        <w:rPr>
          <w:rFonts w:ascii="Times New Roman" w:hAnsi="Times New Roman"/>
          <w:sz w:val="24"/>
          <w:szCs w:val="24"/>
        </w:rPr>
        <w:t>až 2018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2.2. Financovanie návrhu</w:t>
      </w: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</w:rPr>
      </w:pPr>
      <w:r w:rsidRPr="0069393B">
        <w:rPr>
          <w:rFonts w:ascii="Times New Roman" w:hAnsi="Times New Roman"/>
        </w:rPr>
        <w:t>Tabuľka č. 2</w:t>
      </w:r>
    </w:p>
    <w:tbl>
      <w:tblPr>
        <w:tblStyle w:val="TableNormal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76"/>
        <w:gridCol w:w="1264"/>
        <w:gridCol w:w="1264"/>
        <w:gridCol w:w="1264"/>
        <w:gridCol w:w="1613"/>
      </w:tblGrid>
      <w:tr>
        <w:tblPrEx>
          <w:tblW w:w="9781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Financovanie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 na rozpočet verejnej správy </w:t>
            </w:r>
            <w:r w:rsidRPr="0069393B" w:rsidR="00FC4F59">
              <w:rPr>
                <w:rFonts w:ascii="Times New Roman" w:hAnsi="Times New Roman"/>
                <w:b/>
                <w:bCs/>
                <w:sz w:val="24"/>
                <w:szCs w:val="24"/>
              </w:rPr>
              <w:t>(v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eur)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4F59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C4F59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C4F59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C4F59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C4F59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2018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694E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1357BC">
            <w:pPr>
              <w:autoSpaceDE/>
              <w:autoSpaceDN/>
              <w:bidi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1357BC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694E" w:rsidRPr="0069393B" w:rsidP="001357BC">
            <w:pPr>
              <w:autoSpaceDE/>
              <w:autoSpaceDN/>
              <w:bidi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C4F59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81" w:type="dxa"/>
          <w:tblInd w:w="-7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</w:tr>
    </w:tbl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Návrh na riešenie úbytku príjmov alebo zvýšených výdavkov podľa § 33 ods. 1 zákona č. 523/2004 Z. z. o rozpočtových pravidlách verejnej správy: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2.3. Popis a charakteristika návrhu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2.3.1. Popis návrhu: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2C34" w:rsidRPr="00EB660D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69393B" w:rsidR="00801440">
        <w:rPr>
          <w:rFonts w:ascii="Times New Roman" w:hAnsi="Times New Roman"/>
          <w:sz w:val="24"/>
          <w:szCs w:val="24"/>
        </w:rPr>
        <w:t xml:space="preserve">Návrh zákona upravuje </w:t>
      </w:r>
      <w:r w:rsidRPr="0069393B" w:rsidR="00C919C6">
        <w:rPr>
          <w:rFonts w:ascii="Times New Roman" w:hAnsi="Times New Roman"/>
          <w:sz w:val="24"/>
          <w:szCs w:val="24"/>
        </w:rPr>
        <w:t xml:space="preserve">zrušenie Fondu národného majetku Slovenskej republiky </w:t>
      </w:r>
      <w:r w:rsidR="00081B55">
        <w:rPr>
          <w:rFonts w:ascii="Times New Roman" w:hAnsi="Times New Roman"/>
          <w:sz w:val="24"/>
          <w:szCs w:val="24"/>
        </w:rPr>
        <w:t xml:space="preserve">(ďalej len „FNM“) </w:t>
      </w:r>
      <w:r w:rsidRPr="0069393B" w:rsidR="00801440">
        <w:rPr>
          <w:rFonts w:ascii="Times New Roman" w:hAnsi="Times New Roman"/>
          <w:sz w:val="24"/>
          <w:szCs w:val="24"/>
        </w:rPr>
        <w:t>a</w:t>
      </w:r>
      <w:r w:rsidR="00081B55">
        <w:rPr>
          <w:rFonts w:ascii="Times New Roman" w:hAnsi="Times New Roman"/>
          <w:sz w:val="24"/>
          <w:szCs w:val="24"/>
        </w:rPr>
        <w:t xml:space="preserve"> prechod </w:t>
      </w:r>
      <w:r w:rsidR="00B91DD4">
        <w:rPr>
          <w:rFonts w:ascii="Times New Roman" w:hAnsi="Times New Roman"/>
          <w:sz w:val="24"/>
          <w:szCs w:val="24"/>
        </w:rPr>
        <w:t xml:space="preserve">jeho </w:t>
      </w:r>
      <w:r w:rsidR="00081B55">
        <w:rPr>
          <w:rFonts w:ascii="Times New Roman" w:hAnsi="Times New Roman"/>
          <w:sz w:val="24"/>
          <w:szCs w:val="24"/>
        </w:rPr>
        <w:t>práv a povinností</w:t>
      </w:r>
      <w:r w:rsidRPr="00081B55" w:rsidR="00081B55">
        <w:rPr>
          <w:rFonts w:ascii="Times New Roman" w:hAnsi="Times New Roman"/>
          <w:sz w:val="24"/>
          <w:szCs w:val="24"/>
        </w:rPr>
        <w:t xml:space="preserve"> </w:t>
      </w:r>
      <w:r w:rsidR="00081B55">
        <w:rPr>
          <w:rFonts w:ascii="Times New Roman" w:hAnsi="Times New Roman"/>
          <w:sz w:val="24"/>
          <w:szCs w:val="24"/>
        </w:rPr>
        <w:t>vyplývajúcich</w:t>
      </w:r>
      <w:r w:rsidRPr="0070221C" w:rsidR="00081B55">
        <w:rPr>
          <w:rFonts w:ascii="Times New Roman" w:hAnsi="Times New Roman"/>
          <w:sz w:val="24"/>
          <w:szCs w:val="24"/>
        </w:rPr>
        <w:t xml:space="preserve"> z právnych vzťahov, ktorých účastníkom </w:t>
      </w:r>
      <w:r w:rsidR="00081B55">
        <w:rPr>
          <w:rFonts w:ascii="Times New Roman" w:hAnsi="Times New Roman"/>
          <w:sz w:val="24"/>
          <w:szCs w:val="24"/>
        </w:rPr>
        <w:t>bude FNM do 31.12.2015</w:t>
      </w:r>
      <w:r w:rsidRPr="0025738D" w:rsidR="00081B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1DD4">
        <w:rPr>
          <w:rFonts w:ascii="Times New Roman" w:hAnsi="Times New Roman"/>
          <w:sz w:val="24"/>
          <w:szCs w:val="24"/>
        </w:rPr>
        <w:t>na štát v zastúpení Ministerstvom hospodárstva Slovenskej republiky (ďalej len „Ministerstvo“)</w:t>
      </w:r>
      <w:r w:rsidRPr="0069393B" w:rsidR="00801440">
        <w:rPr>
          <w:rFonts w:ascii="Times New Roman" w:hAnsi="Times New Roman"/>
          <w:sz w:val="24"/>
          <w:szCs w:val="24"/>
        </w:rPr>
        <w:t xml:space="preserve">. </w:t>
      </w:r>
    </w:p>
    <w:p w:rsidR="00A12C34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512441" w:rsidRPr="0069393B" w:rsidP="00CF51A7">
      <w:pPr>
        <w:pStyle w:val="ListParagraph"/>
        <w:tabs>
          <w:tab w:val="left" w:pos="426"/>
        </w:tabs>
        <w:autoSpaceDE/>
        <w:autoSpaceDN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="00F06E7B">
        <w:rPr>
          <w:rFonts w:ascii="Times New Roman" w:hAnsi="Times New Roman"/>
          <w:sz w:val="24"/>
          <w:szCs w:val="24"/>
        </w:rPr>
        <w:t xml:space="preserve">Štát v zastúpení Ministerstva </w:t>
      </w:r>
      <w:r w:rsidRPr="0069393B">
        <w:rPr>
          <w:rFonts w:ascii="Times New Roman" w:hAnsi="Times New Roman"/>
          <w:sz w:val="24"/>
          <w:szCs w:val="24"/>
        </w:rPr>
        <w:t xml:space="preserve">ako právny nástupca Fondu národného majetku </w:t>
      </w:r>
      <w:r w:rsidRPr="0069393B" w:rsidR="002F3B33">
        <w:rPr>
          <w:rFonts w:ascii="Times New Roman" w:hAnsi="Times New Roman"/>
          <w:sz w:val="24"/>
          <w:szCs w:val="24"/>
        </w:rPr>
        <w:t>preberie okrem majetku,</w:t>
      </w:r>
      <w:r w:rsidRPr="0069393B">
        <w:rPr>
          <w:rFonts w:ascii="Times New Roman" w:hAnsi="Times New Roman"/>
          <w:sz w:val="24"/>
          <w:szCs w:val="24"/>
        </w:rPr>
        <w:t xml:space="preserve"> </w:t>
      </w:r>
      <w:r w:rsidRPr="0069393B" w:rsidR="002F3B33">
        <w:rPr>
          <w:rFonts w:ascii="Times New Roman" w:hAnsi="Times New Roman"/>
          <w:sz w:val="24"/>
          <w:szCs w:val="24"/>
        </w:rPr>
        <w:t xml:space="preserve">aj </w:t>
      </w:r>
      <w:r w:rsidRPr="0069393B">
        <w:rPr>
          <w:rFonts w:ascii="Times New Roman" w:hAnsi="Times New Roman"/>
          <w:sz w:val="24"/>
          <w:szCs w:val="24"/>
        </w:rPr>
        <w:t>záväzky</w:t>
      </w:r>
      <w:r w:rsidRPr="0069393B" w:rsidR="002F3B33">
        <w:rPr>
          <w:rFonts w:ascii="Times New Roman" w:hAnsi="Times New Roman"/>
          <w:sz w:val="24"/>
          <w:szCs w:val="24"/>
        </w:rPr>
        <w:t xml:space="preserve"> a podmienené záväzky</w:t>
      </w:r>
      <w:r w:rsidRPr="0069393B">
        <w:rPr>
          <w:rFonts w:ascii="Times New Roman" w:hAnsi="Times New Roman"/>
          <w:sz w:val="24"/>
          <w:szCs w:val="24"/>
        </w:rPr>
        <w:t xml:space="preserve"> Fondu národného majetku (vrátane záväzkov z vydaných dlhopisov, </w:t>
      </w:r>
      <w:r w:rsidRPr="0069393B" w:rsidR="001B7FE1">
        <w:rPr>
          <w:rFonts w:ascii="Times New Roman" w:hAnsi="Times New Roman"/>
          <w:sz w:val="24"/>
          <w:szCs w:val="24"/>
        </w:rPr>
        <w:t>vystavených zmeniek, záväzkov z</w:t>
      </w:r>
      <w:r w:rsidRPr="0069393B" w:rsidR="00142889">
        <w:rPr>
          <w:rFonts w:ascii="Times New Roman" w:hAnsi="Times New Roman"/>
          <w:sz w:val="24"/>
          <w:szCs w:val="24"/>
        </w:rPr>
        <w:t> </w:t>
      </w:r>
      <w:r w:rsidRPr="0069393B" w:rsidR="001B7FE1">
        <w:rPr>
          <w:rFonts w:ascii="Times New Roman" w:hAnsi="Times New Roman"/>
          <w:sz w:val="24"/>
          <w:szCs w:val="24"/>
        </w:rPr>
        <w:t>ručenia</w:t>
      </w:r>
      <w:r w:rsidRPr="0069393B" w:rsidR="00142889">
        <w:rPr>
          <w:rFonts w:ascii="Times New Roman" w:hAnsi="Times New Roman"/>
          <w:sz w:val="24"/>
          <w:szCs w:val="24"/>
        </w:rPr>
        <w:t>, záväzkov vyplývajúcich z rozhodnutí o privatizácii</w:t>
      </w:r>
      <w:r w:rsidRPr="0069393B" w:rsidR="001B7FE1">
        <w:rPr>
          <w:rFonts w:ascii="Times New Roman" w:hAnsi="Times New Roman"/>
          <w:sz w:val="24"/>
          <w:szCs w:val="24"/>
        </w:rPr>
        <w:t xml:space="preserve"> ako aj záväzkov zo súdnych sporov)</w:t>
      </w:r>
      <w:r w:rsidRPr="0069393B" w:rsidR="00F50D57">
        <w:rPr>
          <w:rFonts w:ascii="Times New Roman" w:hAnsi="Times New Roman"/>
          <w:sz w:val="24"/>
          <w:szCs w:val="24"/>
        </w:rPr>
        <w:t>.</w:t>
      </w:r>
    </w:p>
    <w:p w:rsidR="00CF51A7" w:rsidRPr="0069393B" w:rsidP="00CF51A7">
      <w:pPr>
        <w:pStyle w:val="ListParagraph"/>
        <w:tabs>
          <w:tab w:val="left" w:pos="426"/>
        </w:tabs>
        <w:autoSpaceDE/>
        <w:autoSpaceDN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  <w:r w:rsidRPr="0069393B">
        <w:rPr>
          <w:rFonts w:ascii="Times New Roman" w:hAnsi="Times New Roman"/>
          <w:b/>
          <w:bCs/>
          <w:sz w:val="24"/>
          <w:szCs w:val="24"/>
        </w:rPr>
        <w:t>2.3.2. Výpočty vplyvov na verejné financie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69393B">
        <w:rPr>
          <w:rFonts w:ascii="Times New Roman" w:hAnsi="Times New Roman"/>
          <w:sz w:val="24"/>
          <w:szCs w:val="24"/>
        </w:rPr>
        <w:t xml:space="preserve">Celková výška finančného </w:t>
      </w:r>
      <w:r w:rsidR="000F600D">
        <w:rPr>
          <w:rFonts w:ascii="Times New Roman" w:hAnsi="Times New Roman"/>
          <w:sz w:val="24"/>
          <w:szCs w:val="24"/>
        </w:rPr>
        <w:t xml:space="preserve">vplyvu </w:t>
      </w:r>
      <w:r w:rsidRPr="0069393B" w:rsidR="00B403E7">
        <w:rPr>
          <w:rFonts w:ascii="Times New Roman" w:hAnsi="Times New Roman"/>
          <w:sz w:val="24"/>
          <w:szCs w:val="24"/>
        </w:rPr>
        <w:t>za vykazované obdobie 2016 až 2018</w:t>
      </w:r>
      <w:r w:rsidRPr="0069393B">
        <w:rPr>
          <w:rFonts w:ascii="Times New Roman" w:hAnsi="Times New Roman"/>
          <w:sz w:val="24"/>
          <w:szCs w:val="24"/>
        </w:rPr>
        <w:t xml:space="preserve"> je pozitívna. 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02B5" w:rsidRPr="0069393B" w:rsidP="00CF51A7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69393B" w:rsidR="00E1763F">
        <w:rPr>
          <w:rFonts w:ascii="Times New Roman" w:hAnsi="Times New Roman"/>
          <w:sz w:val="24"/>
          <w:szCs w:val="24"/>
        </w:rPr>
        <w:t>Neočakáva sa žiadny vplyv na príjmovú stránku verejných financií, rozdiely sú predpokladané len na strane výdavkov.</w:t>
      </w:r>
      <w:r w:rsidRPr="0069393B" w:rsidR="00E176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393B" w:rsidR="00CF51A7">
        <w:rPr>
          <w:rFonts w:ascii="Times New Roman" w:hAnsi="Times New Roman"/>
          <w:sz w:val="24"/>
          <w:szCs w:val="24"/>
        </w:rPr>
        <w:t xml:space="preserve">V porovnaní s Fondom národného majetku sa predpokladá so znížením výdavkov verejnej správy. Toto zníženie pramení najmä </w:t>
      </w:r>
      <w:r w:rsidRPr="0069393B" w:rsidR="00E1763F">
        <w:rPr>
          <w:rFonts w:ascii="Times New Roman" w:hAnsi="Times New Roman"/>
          <w:sz w:val="24"/>
          <w:szCs w:val="24"/>
        </w:rPr>
        <w:t>z predpokladu nižšieho počtu</w:t>
      </w:r>
      <w:r w:rsidRPr="0069393B" w:rsidR="00CF51A7">
        <w:rPr>
          <w:rFonts w:ascii="Times New Roman" w:hAnsi="Times New Roman"/>
          <w:sz w:val="24"/>
          <w:szCs w:val="24"/>
        </w:rPr>
        <w:t xml:space="preserve"> zamestnancov </w:t>
      </w:r>
      <w:r w:rsidR="00C32D45">
        <w:rPr>
          <w:rFonts w:ascii="Times New Roman" w:hAnsi="Times New Roman"/>
          <w:sz w:val="24"/>
        </w:rPr>
        <w:t>po zrušení Fondu národného majetku Slovenskej republiky, nakoľko sa nepredpokladá prechod všetkých doterajších zamestnancov na Ministerstvo hospodárstva Slovenskej republiky</w:t>
      </w:r>
      <w:r w:rsidRPr="0069393B" w:rsidR="00163E27">
        <w:rPr>
          <w:rFonts w:ascii="Times New Roman" w:hAnsi="Times New Roman"/>
          <w:sz w:val="24"/>
          <w:szCs w:val="24"/>
        </w:rPr>
        <w:t>.</w:t>
      </w:r>
      <w:r w:rsidRPr="0069393B" w:rsidR="00E1763F">
        <w:rPr>
          <w:rFonts w:ascii="Times New Roman" w:hAnsi="Times New Roman"/>
          <w:sz w:val="24"/>
          <w:szCs w:val="24"/>
        </w:rPr>
        <w:t xml:space="preserve"> </w:t>
      </w:r>
    </w:p>
    <w:p w:rsidR="00F402B5" w:rsidRPr="0069393B" w:rsidP="00CF51A7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CF51A7" w:rsidRPr="0069393B" w:rsidP="00CF51A7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69393B" w:rsidR="00E1763F">
        <w:rPr>
          <w:rFonts w:ascii="Times New Roman" w:hAnsi="Times New Roman"/>
          <w:sz w:val="24"/>
          <w:szCs w:val="24"/>
        </w:rPr>
        <w:t>Zhrnutie rozpočtovaných úspor je uvedené nižšie v tabuľke.</w:t>
      </w:r>
    </w:p>
    <w:p w:rsidR="005E79DE" w:rsidRPr="0069393B" w:rsidP="00CF51A7">
      <w:p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</w:p>
    <w:p w:rsidR="00B403E7" w:rsidRPr="0069393B" w:rsidP="00B403E7">
      <w:pPr>
        <w:keepLines/>
        <w:tabs>
          <w:tab w:val="num" w:pos="1080"/>
        </w:tabs>
        <w:bidi w:val="0"/>
        <w:jc w:val="both"/>
        <w:rPr>
          <w:rFonts w:ascii="Times New Roman" w:hAnsi="Times New Roman" w:cs="Calibri"/>
          <w:i/>
          <w:sz w:val="24"/>
          <w:szCs w:val="24"/>
        </w:rPr>
      </w:pPr>
      <w:r w:rsidRPr="0069393B">
        <w:rPr>
          <w:rFonts w:ascii="Times New Roman" w:hAnsi="Times New Roman"/>
          <w:bCs/>
          <w:i/>
          <w:sz w:val="24"/>
          <w:szCs w:val="24"/>
        </w:rPr>
        <w:t xml:space="preserve">Vyjadrenie úspor </w:t>
      </w:r>
      <w:r w:rsidRPr="0069393B">
        <w:rPr>
          <w:rFonts w:ascii="Times New Roman" w:hAnsi="Times New Roman" w:cs="Calibri"/>
          <w:i/>
          <w:sz w:val="24"/>
          <w:szCs w:val="24"/>
        </w:rPr>
        <w:t>podľa ekonomickej klasifikácie v jednotlivých rokoch:</w:t>
      </w:r>
    </w:p>
    <w:p w:rsidR="00B403E7" w:rsidRPr="0069393B" w:rsidP="00B403E7">
      <w:pPr>
        <w:keepLines/>
        <w:tabs>
          <w:tab w:val="num" w:pos="1080"/>
        </w:tabs>
        <w:bidi w:val="0"/>
        <w:jc w:val="both"/>
        <w:rPr>
          <w:rFonts w:ascii="Times New Roman" w:hAnsi="Times New Roman" w:cs="Calibri"/>
          <w:i/>
          <w:sz w:val="24"/>
          <w:szCs w:val="24"/>
        </w:rPr>
      </w:pPr>
    </w:p>
    <w:p w:rsidR="00EA34A3" w:rsidP="009E0B47">
      <w:pPr>
        <w:bidi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Podrobné z</w:t>
      </w:r>
      <w:r w:rsidRPr="0069393B" w:rsidR="00B403E7">
        <w:rPr>
          <w:rFonts w:ascii="Times New Roman" w:hAnsi="Times New Roman"/>
          <w:b/>
          <w:bCs/>
          <w:color w:val="000000"/>
          <w:sz w:val="24"/>
          <w:szCs w:val="24"/>
        </w:rPr>
        <w:t>níženie kategórií rozpočtu Agentúry oproti FNM SR na roky 2016 až 2018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A4721" w:rsidRPr="00830B02" w:rsidP="009E0B47">
      <w:pPr>
        <w:bidi w:val="0"/>
        <w:rPr>
          <w:rFonts w:ascii="Times New Roman" w:hAnsi="Times New Roman"/>
          <w:bCs/>
          <w:color w:val="000000"/>
          <w:sz w:val="24"/>
          <w:szCs w:val="24"/>
        </w:rPr>
      </w:pPr>
      <w:r w:rsidRPr="00830B02" w:rsidR="00B403E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403E7" w:rsidRPr="0069393B" w:rsidP="00B403E7">
      <w:pPr>
        <w:bidi w:val="0"/>
        <w:ind w:left="7080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69393B">
        <w:rPr>
          <w:rFonts w:ascii="Times New Roman" w:hAnsi="Times New Roman"/>
          <w:bCs/>
          <w:color w:val="000000"/>
          <w:sz w:val="24"/>
          <w:szCs w:val="24"/>
        </w:rPr>
        <w:t>v eur</w:t>
      </w:r>
    </w:p>
    <w:p w:rsidR="00B403E7" w:rsidRPr="0069393B" w:rsidP="003B3E9D">
      <w:pPr>
        <w:autoSpaceDE/>
        <w:autoSpaceDN/>
        <w:bidi w:val="0"/>
        <w:rPr>
          <w:rFonts w:ascii="Times New Roman" w:hAnsi="Times New Roman"/>
          <w:sz w:val="24"/>
          <w:szCs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085B65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  <w:sectPr w:rsidSect="005F2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rtlGutter/>
          <w:docGrid w:linePitch="360"/>
        </w:sectPr>
      </w:pPr>
    </w:p>
    <w:tbl>
      <w:tblPr>
        <w:tblStyle w:val="TableNormal"/>
        <w:tblW w:w="8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569"/>
        <w:gridCol w:w="1320"/>
        <w:gridCol w:w="1483"/>
        <w:gridCol w:w="1521"/>
      </w:tblGrid>
      <w:tr>
        <w:tblPrEx>
          <w:tblW w:w="8893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03E7" w:rsidRPr="0069393B" w:rsidP="005E79DE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403E7" w:rsidRPr="0069393B" w:rsidP="00B403E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2016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403E7" w:rsidRPr="0069393B" w:rsidP="00B403E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2017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403E7" w:rsidRPr="0069393B" w:rsidP="00B403E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2018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610 - mzdy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-219 423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-219 423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-219 423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620 - odvody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-106 859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-106 859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-106 859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630 - tovary a služby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-74 808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-74 808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-74 808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640 - bežné transfery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+10 484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+10 484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+10 484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154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710 - kapitálové výdavky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-15 000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-15 000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-15 000</w:t>
            </w:r>
          </w:p>
        </w:tc>
      </w:tr>
      <w:tr>
        <w:tblPrEx>
          <w:tblW w:w="8893" w:type="dxa"/>
          <w:tblInd w:w="-72" w:type="dxa"/>
          <w:tblCellMar>
            <w:left w:w="70" w:type="dxa"/>
            <w:right w:w="70" w:type="dxa"/>
          </w:tblCellMar>
        </w:tblPrEx>
        <w:trPr>
          <w:trHeight w:val="72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76979" w:rsidRPr="0069393B" w:rsidP="00C76979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 w:val="24"/>
                <w:szCs w:val="24"/>
              </w:rPr>
              <w:t> SPOLU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6979" w:rsidRPr="0069393B" w:rsidP="00C7697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-405 606</w:t>
            </w:r>
          </w:p>
        </w:tc>
      </w:tr>
    </w:tbl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  <w:sectPr w:rsidSect="006138E6">
          <w:type w:val="continuous"/>
          <w:pgSz w:w="11906" w:h="16838"/>
          <w:pgMar w:top="1417" w:right="1417" w:bottom="1417" w:left="1417" w:header="708" w:footer="708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tbl>
      <w:tblPr>
        <w:tblStyle w:val="TableNormal"/>
        <w:tblpPr w:leftFromText="141" w:rightFromText="141" w:vertAnchor="page" w:horzAnchor="margin" w:tblpXSpec="center" w:tblpY="2011"/>
        <w:tblW w:w="15238" w:type="dxa"/>
        <w:tblCellMar>
          <w:left w:w="70" w:type="dxa"/>
          <w:right w:w="70" w:type="dxa"/>
        </w:tblCellMar>
      </w:tblPr>
      <w:tblGrid>
        <w:gridCol w:w="6443"/>
        <w:gridCol w:w="1500"/>
        <w:gridCol w:w="1500"/>
        <w:gridCol w:w="1500"/>
        <w:gridCol w:w="1500"/>
        <w:gridCol w:w="2795"/>
      </w:tblGrid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5BD4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F5BD4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F5BD4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F5BD4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F5BD4" w:rsidRPr="0069393B" w:rsidP="001357BC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2018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5BD4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Daňové príjmy (100)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Nedaňové príjmy (200)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Granty a transfery (300)</w:t>
            </w:r>
            <w:r w:rsidRPr="0069393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238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EF5BD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 w:rsidR="00EF5BD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FFFFFF"/>
                <w:sz w:val="24"/>
                <w:szCs w:val="24"/>
              </w:rPr>
              <w:t> </w:t>
            </w:r>
          </w:p>
        </w:tc>
      </w:tr>
    </w:tbl>
    <w:p w:rsidR="003B3E9D" w:rsidRPr="0069393B" w:rsidP="003B3E9D">
      <w:pPr>
        <w:tabs>
          <w:tab w:val="num" w:pos="1080"/>
        </w:tabs>
        <w:autoSpaceDE/>
        <w:autoSpaceDN/>
        <w:bidi w:val="0"/>
        <w:jc w:val="right"/>
        <w:rPr>
          <w:rFonts w:ascii="Times New Roman" w:hAnsi="Times New Roman"/>
          <w:bCs/>
        </w:rPr>
      </w:pPr>
      <w:r w:rsidRPr="0069393B">
        <w:rPr>
          <w:rFonts w:ascii="Times New Roman" w:hAnsi="Times New Roman"/>
          <w:bCs/>
        </w:rPr>
        <w:t xml:space="preserve">Tabuľka č. 4 </w:t>
      </w: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</w:rPr>
      </w:pPr>
      <w:r w:rsidRPr="0069393B">
        <w:rPr>
          <w:rFonts w:ascii="Times New Roman" w:hAnsi="Times New Roman"/>
          <w:bCs/>
        </w:rPr>
        <w:t>1 –  príjmy rozpísať až do položiek platnej ekonomickej klasifikácie</w:t>
      </w:r>
    </w:p>
    <w:p w:rsidR="003B3E9D" w:rsidRPr="0069393B" w:rsidP="003B3E9D">
      <w:pPr>
        <w:tabs>
          <w:tab w:val="num" w:pos="1080"/>
        </w:tabs>
        <w:autoSpaceDE/>
        <w:autoSpaceDN/>
        <w:bidi w:val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F24281" w:rsidP="003B3E9D">
      <w:pPr>
        <w:tabs>
          <w:tab w:val="num" w:pos="1080"/>
        </w:tabs>
        <w:autoSpaceDE/>
        <w:autoSpaceDN/>
        <w:bidi w:val="0"/>
        <w:ind w:right="-578"/>
        <w:jc w:val="right"/>
        <w:rPr>
          <w:rFonts w:ascii="Times New Roman" w:hAnsi="Times New Roman"/>
          <w:bCs/>
        </w:rPr>
      </w:pPr>
      <w:r w:rsidRPr="0069393B" w:rsidR="003B3E9D">
        <w:rPr>
          <w:rFonts w:ascii="Times New Roman" w:hAnsi="Times New Roman"/>
          <w:bCs/>
        </w:rPr>
        <w:t xml:space="preserve"> </w:t>
      </w:r>
    </w:p>
    <w:p w:rsidR="003B3E9D" w:rsidRPr="0069393B" w:rsidP="003B3E9D">
      <w:pPr>
        <w:tabs>
          <w:tab w:val="num" w:pos="1080"/>
        </w:tabs>
        <w:autoSpaceDE/>
        <w:autoSpaceDN/>
        <w:bidi w:val="0"/>
        <w:ind w:right="-578"/>
        <w:jc w:val="right"/>
        <w:rPr>
          <w:rFonts w:ascii="Times New Roman" w:hAnsi="Times New Roman"/>
          <w:bCs/>
        </w:rPr>
      </w:pPr>
      <w:r w:rsidRPr="0069393B">
        <w:rPr>
          <w:rFonts w:ascii="Times New Roman" w:hAnsi="Times New Roman"/>
          <w:bCs/>
        </w:rPr>
        <w:t xml:space="preserve">Tabuľka č. 5 </w:t>
      </w: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A54D30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</w:rPr>
      </w:pPr>
      <w:r w:rsidRPr="0069393B">
        <w:rPr>
          <w:rFonts w:ascii="Times New Roman" w:hAnsi="Times New Roman"/>
          <w:bCs/>
        </w:rPr>
        <w:t>2 –  výdavky rozpísať až do položiek platnej ekonomickej klasifikácie</w:t>
      </w:r>
    </w:p>
    <w:tbl>
      <w:tblPr>
        <w:tblStyle w:val="TableNormal"/>
        <w:tblpPr w:leftFromText="141" w:rightFromText="141" w:vertAnchor="text" w:horzAnchor="page" w:tblpX="632" w:tblpY="354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2018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9393B">
              <w:rPr>
                <w:rFonts w:ascii="Times New Roman" w:hAnsi="Times New Roman"/>
                <w:b/>
                <w:bCs/>
              </w:rPr>
              <w:t>390 606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9393B">
              <w:rPr>
                <w:rFonts w:ascii="Times New Roman" w:hAnsi="Times New Roman"/>
                <w:b/>
                <w:bCs/>
              </w:rPr>
              <w:t>390 606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9393B">
              <w:rPr>
                <w:rFonts w:ascii="Times New Roman" w:hAnsi="Times New Roman"/>
                <w:b/>
                <w:bCs/>
              </w:rPr>
              <w:t>390 606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-219 423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-219 423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-219 423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vertAlign w:val="superscript"/>
              </w:rPr>
            </w:pPr>
            <w:r w:rsidRPr="0069393B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-106 859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-106 859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-106 859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vertAlign w:val="superscript"/>
              </w:rPr>
            </w:pPr>
            <w:r w:rsidRPr="0069393B">
              <w:rPr>
                <w:rFonts w:ascii="Times New Roman" w:hAnsi="Times New Roman"/>
              </w:rPr>
              <w:t xml:space="preserve">  Tovary a služby (630)</w:t>
            </w:r>
            <w:r w:rsidRPr="006939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-74 808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-74 808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-74 808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 xml:space="preserve">  Bežné transfery (640)</w:t>
            </w:r>
            <w:r w:rsidRPr="006939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+10 484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+10 484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9393B">
              <w:rPr>
                <w:rFonts w:ascii="Times New Roman" w:hAnsi="Times New Roman"/>
                <w:color w:val="000000"/>
                <w:szCs w:val="24"/>
              </w:rPr>
              <w:t>+10 484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 xml:space="preserve">  Splácanie úrokov a ostatné platby súvisiace s úvermi, pôžičkami a NFV (650)</w:t>
            </w:r>
            <w:r w:rsidRPr="006939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9393B">
              <w:rPr>
                <w:rFonts w:ascii="Times New Roman" w:hAnsi="Times New Roman"/>
                <w:b/>
              </w:rPr>
              <w:t>-15 000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9393B">
              <w:rPr>
                <w:rFonts w:ascii="Times New Roman" w:hAnsi="Times New Roman"/>
                <w:b/>
              </w:rPr>
              <w:t>-15 000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69393B">
              <w:rPr>
                <w:rFonts w:ascii="Times New Roman" w:hAnsi="Times New Roman"/>
                <w:b/>
              </w:rPr>
              <w:t>-15 000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 xml:space="preserve">  Obstarávanie kapitálových aktív (710)</w:t>
            </w:r>
            <w:r w:rsidRPr="006939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>-15 000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>-15 000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24281" w:rsidRPr="0069393B" w:rsidP="00F24281">
            <w:pPr>
              <w:bidi w:val="0"/>
              <w:jc w:val="right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>-15 000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 xml:space="preserve">  Kapitálové transfery (720)</w:t>
            </w:r>
            <w:r w:rsidRPr="0069393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-405 606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-405 606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</w:rPr>
              <w:t>-405 606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color w:val="FFFFFF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Cs/>
              </w:rPr>
              <w:t xml:space="preserve">  Bežné výdavky</w:t>
            </w:r>
            <w:r w:rsidRPr="0069393B">
              <w:rPr>
                <w:rFonts w:ascii="Times New Roman" w:hAnsi="Times New Roman"/>
                <w:b/>
                <w:bCs/>
              </w:rPr>
              <w:t xml:space="preserve"> </w:t>
            </w:r>
            <w:r w:rsidRPr="0069393B">
              <w:rPr>
                <w:rFonts w:ascii="Times New Roman" w:hAnsi="Times New Roman"/>
                <w:bCs/>
              </w:rPr>
              <w:t>(600)</w:t>
            </w:r>
            <w:r w:rsidRPr="0069393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/>
                <w:bCs/>
              </w:rPr>
              <w:t xml:space="preserve"> </w:t>
            </w:r>
            <w:r w:rsidRPr="0069393B">
              <w:rPr>
                <w:rFonts w:ascii="Times New Roman" w:hAnsi="Times New Roman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</w:rPr>
            </w:pPr>
            <w:r w:rsidRPr="0069393B">
              <w:rPr>
                <w:rFonts w:ascii="Times New Roman" w:hAnsi="Times New Roman"/>
                <w:bCs/>
              </w:rPr>
              <w:t xml:space="preserve">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bCs/>
              </w:rPr>
            </w:pPr>
            <w:r w:rsidRPr="0069393B">
              <w:rPr>
                <w:rFonts w:ascii="Times New Roman" w:hAnsi="Times New Roman"/>
                <w:bCs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4281" w:rsidRPr="0069393B" w:rsidP="00F24281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24281" w:rsidRPr="0069393B" w:rsidP="00F24281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E9D" w:rsidRPr="0069393B" w:rsidP="003B3E9D">
      <w:pPr>
        <w:tabs>
          <w:tab w:val="num" w:pos="1080"/>
        </w:tabs>
        <w:autoSpaceDE/>
        <w:autoSpaceDN/>
        <w:bidi w:val="0"/>
        <w:ind w:left="-900"/>
        <w:jc w:val="both"/>
        <w:rPr>
          <w:rFonts w:ascii="Times New Roman" w:hAnsi="Times New Roman"/>
          <w:bCs/>
        </w:rPr>
      </w:pPr>
    </w:p>
    <w:p w:rsidR="003B3E9D" w:rsidRPr="0069393B" w:rsidP="00F24281">
      <w:pPr>
        <w:tabs>
          <w:tab w:val="num" w:pos="1080"/>
        </w:tabs>
        <w:autoSpaceDE/>
        <w:autoSpaceDN/>
        <w:bidi w:val="0"/>
        <w:jc w:val="right"/>
        <w:rPr>
          <w:rFonts w:ascii="Times New Roman" w:hAnsi="Times New Roman"/>
          <w:bCs/>
          <w:sz w:val="24"/>
        </w:rPr>
      </w:pPr>
      <w:r w:rsidRPr="0069393B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69393B">
        <w:rPr>
          <w:rFonts w:ascii="Times New Roman" w:hAnsi="Times New Roman"/>
          <w:bCs/>
        </w:rPr>
        <w:t>Tabuľka č. 6</w:t>
      </w: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tbl>
      <w:tblPr>
        <w:tblStyle w:val="TableNormal"/>
        <w:tblW w:w="25390" w:type="dxa"/>
        <w:tblInd w:w="-784" w:type="dxa"/>
        <w:tblCellMar>
          <w:left w:w="70" w:type="dxa"/>
          <w:right w:w="70" w:type="dxa"/>
        </w:tblCellMar>
      </w:tblPr>
      <w:tblGrid>
        <w:gridCol w:w="7221"/>
        <w:gridCol w:w="1982"/>
        <w:gridCol w:w="2086"/>
        <w:gridCol w:w="2822"/>
        <w:gridCol w:w="1473"/>
        <w:gridCol w:w="1051"/>
        <w:gridCol w:w="160"/>
        <w:gridCol w:w="160"/>
        <w:gridCol w:w="249"/>
        <w:gridCol w:w="320"/>
        <w:gridCol w:w="2042"/>
        <w:gridCol w:w="2762"/>
        <w:gridCol w:w="1442"/>
        <w:gridCol w:w="1620"/>
      </w:tblGrid>
      <w:tr>
        <w:tblPrEx>
          <w:tblW w:w="25390" w:type="dxa"/>
          <w:tblInd w:w="-784" w:type="dxa"/>
          <w:tblCellMar>
            <w:left w:w="70" w:type="dxa"/>
            <w:right w:w="70" w:type="dxa"/>
          </w:tblCellMar>
        </w:tblPrEx>
        <w:trPr>
          <w:gridAfter w:val="5"/>
          <w:wAfter w:w="8186" w:type="dxa"/>
          <w:trHeight w:val="255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25390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584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tbl>
            <w:tblPr>
              <w:tblStyle w:val="TableNormal"/>
              <w:tblpPr w:leftFromText="141" w:rightFromText="141" w:vertAnchor="text" w:horzAnchor="margin" w:tblpXSpec="center" w:tblpY="33"/>
              <w:tblW w:w="15434" w:type="dxa"/>
              <w:tblCellMar>
                <w:left w:w="70" w:type="dxa"/>
                <w:right w:w="70" w:type="dxa"/>
              </w:tblCellMar>
            </w:tblPr>
            <w:tblGrid>
              <w:gridCol w:w="6449"/>
              <w:gridCol w:w="1437"/>
              <w:gridCol w:w="1788"/>
              <w:gridCol w:w="2418"/>
              <w:gridCol w:w="1722"/>
              <w:gridCol w:w="1620"/>
            </w:tblGrid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55"/>
              </w:trPr>
              <w:tc>
                <w:tcPr>
                  <w:tcW w:w="6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Zamestnanosť</w:t>
                  </w:r>
                </w:p>
              </w:tc>
              <w:tc>
                <w:tcPr>
                  <w:tcW w:w="73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Vplyv na rozpočet verejnej správy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noWrap/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poznámka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255"/>
              </w:trPr>
              <w:tc>
                <w:tcPr>
                  <w:tcW w:w="6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center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center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center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center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>Počet zamestnancov celkom*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 xml:space="preserve">   z toho vplyv na ŠR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>Priemerný mzdový výdavok (v eurách)*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1 662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1 662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69393B" w:rsidR="007766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39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662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 xml:space="preserve">   z toho vplyv na ŠR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Osobné výdavky celkom (v eurách)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7766C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 w:rsidR="00EF2310">
                    <w:rPr>
                      <w:rFonts w:ascii="Times New Roman" w:hAnsi="Times New Roman"/>
                      <w:b/>
                      <w:bCs/>
                      <w:color w:val="FFFFFF"/>
                    </w:rPr>
                    <w:t>-326 282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7766C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 w:rsidR="00EF2310">
                    <w:rPr>
                      <w:rFonts w:ascii="Times New Roman" w:hAnsi="Times New Roman"/>
                      <w:b/>
                      <w:bCs/>
                      <w:color w:val="FFFFFF"/>
                    </w:rPr>
                    <w:t>-326 282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textDirection w:val="lrTb"/>
                  <w:vAlign w:val="top"/>
                </w:tcPr>
                <w:p w:rsidR="00072238" w:rsidRPr="0069393B" w:rsidP="007766C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 w:rsidR="00EF2310">
                    <w:rPr>
                      <w:rFonts w:ascii="Times New Roman" w:hAnsi="Times New Roman"/>
                      <w:b/>
                      <w:bCs/>
                      <w:color w:val="FFFFFF"/>
                    </w:rPr>
                    <w:t>-326 282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  <w:color w:val="FFFFFF"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 xml:space="preserve">Mzdy, platy, služobné príjmy a ostatné osobné vyrovnania (610)*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-219 423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-219 423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-219 423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 xml:space="preserve">   z toho vplyv na ŠR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EF2310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EF2310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EF2310">
                  <w:pPr>
                    <w:autoSpaceDE/>
                    <w:autoSpaceDN/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>Poistné a príspevok do poisťovní (620)*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-106 859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-106 859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EF2310">
                  <w:pPr>
                    <w:bidi w:val="0"/>
                    <w:jc w:val="center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69393B">
                    <w:rPr>
                      <w:rFonts w:ascii="Times New Roman" w:hAnsi="Times New Roman"/>
                      <w:color w:val="000000"/>
                      <w:szCs w:val="24"/>
                    </w:rPr>
                    <w:t>-106 859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  <w:b/>
                      <w:bCs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> </w:t>
                  </w:r>
                </w:p>
              </w:tc>
            </w:tr>
            <w:tr>
              <w:tblPrEx>
                <w:tblW w:w="15434" w:type="dxa"/>
                <w:tblCellMar>
                  <w:left w:w="70" w:type="dxa"/>
                  <w:right w:w="70" w:type="dxa"/>
                </w:tblCellMar>
              </w:tblPrEx>
              <w:trPr>
                <w:trHeight w:val="255"/>
              </w:trPr>
              <w:tc>
                <w:tcPr>
                  <w:tcW w:w="6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  <w:b/>
                      <w:bCs/>
                    </w:rPr>
                    <w:t xml:space="preserve">   z toho vplyv na ŠR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center"/>
                </w:tcPr>
                <w:p w:rsidR="00072238" w:rsidRPr="0069393B" w:rsidP="00072238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jc w:val="right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jc w:val="right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jc w:val="right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lrTb"/>
                  <w:vAlign w:val="bottom"/>
                </w:tcPr>
                <w:p w:rsidR="00072238" w:rsidRPr="0069393B" w:rsidP="00072238">
                  <w:pPr>
                    <w:bidi w:val="0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 w:rsidR="00072238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sz w:val="24"/>
                <w:szCs w:val="24"/>
              </w:rPr>
              <w:t>Poznámky: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25390" w:type="dxa"/>
          <w:tblInd w:w="-784" w:type="dxa"/>
          <w:tblCellMar>
            <w:left w:w="70" w:type="dxa"/>
            <w:right w:w="70" w:type="dxa"/>
          </w:tblCellMar>
        </w:tblPrEx>
        <w:trPr>
          <w:gridAfter w:val="6"/>
          <w:wAfter w:w="8435" w:type="dxa"/>
          <w:trHeight w:val="255"/>
        </w:trPr>
        <w:tc>
          <w:tcPr>
            <w:tcW w:w="155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tbl>
            <w:tblPr>
              <w:tblStyle w:val="TableNormal"/>
              <w:tblpPr w:leftFromText="141" w:rightFromText="141" w:bottomFromText="160" w:vertAnchor="text" w:horzAnchor="margin" w:tblpXSpec="center" w:tblpY="170"/>
              <w:tblW w:w="151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35"/>
              <w:gridCol w:w="2479"/>
            </w:tblGrid>
            <w:tr>
              <w:tblPrEx>
                <w:tblW w:w="15114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126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textDirection w:val="lrTb"/>
                  <w:vAlign w:val="top"/>
                  <w:hideMark/>
                </w:tcPr>
                <w:p w:rsidR="005C162A" w:rsidRPr="0069393B" w:rsidP="005C162A">
                  <w:pPr>
                    <w:pStyle w:val="NormalWeb"/>
                    <w:bidi w:val="0"/>
                    <w:spacing w:before="0" w:beforeAutospacing="0" w:after="0" w:afterAutospacing="0" w:line="256" w:lineRule="auto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Priemerný mzdový výdavok je tvorený podielom mzdových výdavkov na jedného zamestnanca na jeden kalendárny mesiac bežného roka</w:t>
                  </w:r>
                </w:p>
              </w:tc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textDirection w:val="lrTb"/>
                  <w:vAlign w:val="bottom"/>
                  <w:hideMark/>
                </w:tcPr>
                <w:p w:rsidR="005C162A" w:rsidRPr="0069393B" w:rsidP="005C162A">
                  <w:pPr>
                    <w:pStyle w:val="NormalWeb"/>
                    <w:bidi w:val="0"/>
                    <w:spacing w:before="0" w:beforeAutospacing="0" w:after="0" w:afterAutospacing="0" w:line="256" w:lineRule="auto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blPrEx>
                <w:tblW w:w="15114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55"/>
              </w:trPr>
              <w:tc>
                <w:tcPr>
                  <w:tcW w:w="15114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textDirection w:val="lrTb"/>
                  <w:vAlign w:val="bottom"/>
                  <w:hideMark/>
                </w:tcPr>
                <w:p w:rsidR="005C162A" w:rsidRPr="0069393B" w:rsidP="005C162A">
                  <w:pPr>
                    <w:pStyle w:val="NormalWeb"/>
                    <w:bidi w:val="0"/>
                    <w:spacing w:before="0" w:beforeAutospacing="0" w:after="0" w:afterAutospacing="0" w:line="256" w:lineRule="auto"/>
                    <w:rPr>
                      <w:rFonts w:ascii="Times New Roman" w:hAnsi="Times New Roman"/>
                    </w:rPr>
                  </w:pPr>
                  <w:r w:rsidRPr="0069393B">
                    <w:rPr>
                      <w:rFonts w:ascii="Times New Roman" w:hAnsi="Times New Roman"/>
                    </w:rPr>
      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      </w:r>
                </w:p>
              </w:tc>
            </w:tr>
          </w:tbl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A37D9" w:rsidRPr="0069393B" w:rsidP="00DA37D9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  <w:sectPr w:rsidSect="005F2C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134" w:right="1418" w:bottom="1418" w:left="1418" w:header="709" w:footer="709" w:gutter="0"/>
          <w:lnNumType w:distance="0"/>
          <w:pgNumType w:start="9"/>
          <w:cols w:space="708"/>
          <w:noEndnote w:val="0"/>
          <w:titlePg/>
          <w:bidi w:val="0"/>
          <w:docGrid w:linePitch="360"/>
        </w:sectPr>
      </w:pP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  <w:bCs/>
          <w:sz w:val="26"/>
          <w:szCs w:val="28"/>
        </w:rPr>
      </w:pPr>
      <w:r w:rsidRPr="0069393B">
        <w:rPr>
          <w:rFonts w:ascii="Times New Roman" w:hAnsi="Times New Roman"/>
          <w:bCs/>
          <w:sz w:val="26"/>
          <w:szCs w:val="28"/>
        </w:rPr>
        <w:t>Príloha č. 3</w:t>
      </w: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0201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. Aký je predpokladaný charakter a rozsah nákladov a prínosov?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3E9D" w:rsidRPr="0069393B" w:rsidP="00F402B5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CC2241">
              <w:rPr>
                <w:rFonts w:ascii="Times New Roman" w:hAnsi="Times New Roman"/>
                <w:sz w:val="24"/>
                <w:szCs w:val="24"/>
              </w:rPr>
              <w:t>Ne</w:t>
            </w:r>
            <w:r w:rsidRPr="0069393B" w:rsidR="00F402B5">
              <w:rPr>
                <w:rFonts w:ascii="Times New Roman" w:hAnsi="Times New Roman"/>
                <w:sz w:val="24"/>
                <w:szCs w:val="24"/>
              </w:rPr>
              <w:t xml:space="preserve">očakáva sa vplyv na zvýšenie resp. </w:t>
            </w:r>
            <w:r w:rsidRPr="0069393B" w:rsidR="00CC2241">
              <w:rPr>
                <w:rFonts w:ascii="Times New Roman" w:hAnsi="Times New Roman"/>
                <w:sz w:val="24"/>
                <w:szCs w:val="24"/>
              </w:rPr>
              <w:t xml:space="preserve">zníženie nákladov a prínosov </w:t>
            </w:r>
            <w:r w:rsidRPr="0069393B" w:rsidR="00F402B5">
              <w:rPr>
                <w:rFonts w:ascii="Times New Roman" w:hAnsi="Times New Roman"/>
                <w:sz w:val="24"/>
                <w:szCs w:val="24"/>
              </w:rPr>
              <w:t>pre</w:t>
            </w:r>
            <w:r w:rsidRPr="0069393B" w:rsidR="00CC2241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69393B" w:rsidR="000201E7">
              <w:rPr>
                <w:rFonts w:ascii="Times New Roman" w:hAnsi="Times New Roman"/>
                <w:sz w:val="24"/>
                <w:szCs w:val="24"/>
              </w:rPr>
              <w:t>odnikateľské subjekty.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  <w:p w:rsidR="003B3E9D" w:rsidRPr="0069393B" w:rsidP="003B3E9D">
            <w:pPr>
              <w:autoSpaceDE/>
              <w:autoSpaceDN/>
              <w:bidi w:val="0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0201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0201E7">
              <w:rPr>
                <w:rFonts w:ascii="Times New Roman" w:hAnsi="Times New Roman"/>
                <w:sz w:val="24"/>
                <w:szCs w:val="24"/>
              </w:rPr>
              <w:t>Neočakáva sa žiadny dopad na fungovanie podnikateľských subjektov.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. Aké sú predpokladané spoločensko–ekonomické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Žiadne.</w:t>
            </w:r>
          </w:p>
        </w:tc>
      </w:tr>
    </w:tbl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  <w:r w:rsidRPr="0069393B">
        <w:rPr>
          <w:rFonts w:ascii="Times New Roman" w:hAnsi="Times New Roman"/>
          <w:bCs/>
          <w:sz w:val="24"/>
        </w:rPr>
        <w:br w:type="page"/>
      </w: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  <w:sz w:val="24"/>
          <w:szCs w:val="28"/>
        </w:rPr>
      </w:pPr>
      <w:r w:rsidRPr="0069393B">
        <w:rPr>
          <w:rFonts w:ascii="Times New Roman" w:hAnsi="Times New Roman"/>
          <w:sz w:val="24"/>
          <w:szCs w:val="28"/>
        </w:rPr>
        <w:t>Príloha č. 4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sz w:val="28"/>
          <w:szCs w:val="28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sz w:val="28"/>
          <w:szCs w:val="28"/>
        </w:rPr>
      </w:pPr>
      <w:r w:rsidRPr="0069393B"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 w:rsidR="008454A6">
              <w:rPr>
                <w:rFonts w:ascii="Times New Roman" w:hAnsi="Times New Roman"/>
                <w:sz w:val="24"/>
                <w:szCs w:val="24"/>
              </w:rPr>
              <w:t>Materiál nemá vplyv na hospodárenie domácností.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54A6" w:rsidRPr="0069393B" w:rsidP="008454A6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Z hľadiska príjmov na priemerného obyvateľa a ovplyvnené skupiny domácnosti nemá vplyv.</w:t>
            </w:r>
          </w:p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- Rast alebo pokles príjmov/výdavkov                  za jednotlivé ovplyvnené  skupiny domácností</w:t>
            </w:r>
          </w:p>
          <w:p w:rsidR="003B3E9D" w:rsidRPr="0069393B" w:rsidP="003B3E9D">
            <w:pPr>
              <w:autoSpaceDE/>
              <w:autoSpaceDN/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8454A6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8454A6">
              <w:rPr>
                <w:rFonts w:ascii="Times New Roman" w:hAnsi="Times New Roman"/>
                <w:sz w:val="24"/>
                <w:szCs w:val="24"/>
              </w:rPr>
              <w:t>Žiadny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Zhodnoťte vplyv na rovnosť príležitostí: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Zhodnoťte vplyv na rodovú rovnosť.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54A6" w:rsidRPr="0069393B" w:rsidP="008454A6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Z hľadiska vplyvu na rovnosť príležitosti nemá vplyv.</w:t>
            </w:r>
          </w:p>
          <w:p w:rsidR="008454A6" w:rsidRPr="0069393B" w:rsidP="008454A6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8454A6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 w:rsidR="008454A6">
              <w:rPr>
                <w:rFonts w:ascii="Times New Roman" w:hAnsi="Times New Roman"/>
                <w:sz w:val="24"/>
                <w:szCs w:val="24"/>
              </w:rPr>
              <w:t>Z hľadiska vplyvu na rodovú rovnosť nemá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Zhodnoťte vplyvy na zamestnanosť.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Aké sú  vplyvy na zamestnanosť 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Ktoré skupiny zamestnancov budú ohrozené schválením predkladaného materiálu 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Cs/>
                <w:sz w:val="24"/>
                <w:szCs w:val="24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3B" w:rsidR="008454A6">
              <w:rPr>
                <w:rFonts w:ascii="Times New Roman" w:hAnsi="Times New Roman"/>
                <w:sz w:val="24"/>
                <w:szCs w:val="24"/>
              </w:rPr>
              <w:t>Predkladaný materiál predpokladá zníženie počtu pracovných miest o </w:t>
            </w:r>
            <w:r w:rsidRPr="0069393B" w:rsidR="005C162A">
              <w:rPr>
                <w:rFonts w:ascii="Times New Roman" w:hAnsi="Times New Roman"/>
                <w:sz w:val="24"/>
                <w:szCs w:val="24"/>
              </w:rPr>
              <w:t>11</w:t>
            </w:r>
            <w:r w:rsidRPr="0069393B" w:rsidR="003034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393B" w:rsidR="008454A6">
              <w:rPr>
                <w:rFonts w:ascii="Times New Roman" w:hAnsi="Times New Roman"/>
                <w:sz w:val="24"/>
                <w:szCs w:val="24"/>
              </w:rPr>
              <w:t>v</w:t>
            </w:r>
            <w:r w:rsidR="007B7AAA">
              <w:rPr>
                <w:rFonts w:ascii="Times New Roman" w:hAnsi="Times New Roman"/>
                <w:sz w:val="24"/>
                <w:szCs w:val="24"/>
              </w:rPr>
              <w:t> </w:t>
            </w:r>
            <w:r w:rsidRPr="0069393B" w:rsidR="007B7AAA">
              <w:rPr>
                <w:rFonts w:ascii="Times New Roman" w:hAnsi="Times New Roman"/>
                <w:sz w:val="24"/>
                <w:szCs w:val="24"/>
              </w:rPr>
              <w:t>porovnaní</w:t>
            </w:r>
            <w:r w:rsidR="007B7AAA">
              <w:rPr>
                <w:rFonts w:ascii="Times New Roman" w:hAnsi="Times New Roman"/>
                <w:sz w:val="24"/>
                <w:szCs w:val="24"/>
              </w:rPr>
              <w:t xml:space="preserve"> s doterajším počtom zamestnancov </w:t>
            </w:r>
            <w:r w:rsidRPr="0069393B" w:rsidR="008454A6">
              <w:rPr>
                <w:rFonts w:ascii="Times New Roman" w:hAnsi="Times New Roman"/>
                <w:sz w:val="24"/>
                <w:szCs w:val="24"/>
              </w:rPr>
              <w:t>FNM.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sz w:val="28"/>
          <w:szCs w:val="28"/>
        </w:rPr>
      </w:pPr>
    </w:p>
    <w:p w:rsidR="003B3E9D" w:rsidRPr="0069393B" w:rsidP="003B3E9D">
      <w:pPr>
        <w:tabs>
          <w:tab w:val="num" w:pos="1080"/>
        </w:tabs>
        <w:autoSpaceDE/>
        <w:autoSpaceDN/>
        <w:bidi w:val="0"/>
        <w:jc w:val="both"/>
        <w:rPr>
          <w:rFonts w:ascii="Times New Roman" w:hAnsi="Times New Roman"/>
          <w:bCs/>
          <w:sz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  <w:bCs/>
          <w:sz w:val="24"/>
          <w:szCs w:val="28"/>
        </w:rPr>
      </w:pPr>
      <w:r w:rsidRPr="0069393B">
        <w:rPr>
          <w:rFonts w:ascii="Times New Roman" w:hAnsi="Times New Roman"/>
          <w:bCs/>
          <w:sz w:val="24"/>
          <w:szCs w:val="28"/>
        </w:rPr>
        <w:t>Príloha č. 5</w:t>
      </w: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V</w:t>
      </w:r>
      <w:r w:rsidRPr="0069393B">
        <w:rPr>
          <w:rFonts w:ascii="Times New Roman" w:hAnsi="Times New Roman"/>
          <w:b/>
          <w:sz w:val="28"/>
          <w:szCs w:val="28"/>
        </w:rPr>
        <w:t>plyvy na životné prostredie</w:t>
      </w:r>
    </w:p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Žiadne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 xml:space="preserve">5.2. 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b/>
                <w:sz w:val="24"/>
                <w:szCs w:val="24"/>
              </w:rPr>
              <w:t>5.3.</w:t>
            </w:r>
            <w:r w:rsidRPr="0069393B">
              <w:rPr>
                <w:rFonts w:ascii="Times New Roman" w:hAnsi="Times New Roman"/>
                <w:sz w:val="24"/>
                <w:szCs w:val="24"/>
              </w:rPr>
              <w:t xml:space="preserve"> Bude mať návrh vplyv na životné prostredie presahujúce štátne hranice?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9393B">
              <w:rPr>
                <w:rFonts w:ascii="Times New Roman" w:hAnsi="Times New Roman"/>
                <w:sz w:val="24"/>
                <w:szCs w:val="24"/>
              </w:rPr>
              <w:t> 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E9D" w:rsidRPr="0069393B" w:rsidP="003B3E9D">
      <w:pPr>
        <w:autoSpaceDE/>
        <w:autoSpaceDN/>
        <w:bidi w:val="0"/>
        <w:jc w:val="both"/>
        <w:rPr>
          <w:rFonts w:ascii="Times New Roman" w:hAnsi="Times New Roman"/>
          <w:b/>
          <w:sz w:val="24"/>
          <w:szCs w:val="24"/>
        </w:rPr>
        <w:sectPr w:rsidSect="005F2C2B">
          <w:pgSz w:w="11906" w:h="16838" w:code="9"/>
          <w:pgMar w:top="1418" w:right="1418" w:bottom="1418" w:left="1276" w:header="709" w:footer="709" w:gutter="0"/>
          <w:lnNumType w:distance="0"/>
          <w:pgNumType w:start="11"/>
          <w:cols w:space="708"/>
          <w:noEndnote w:val="0"/>
          <w:titlePg/>
          <w:bidi w:val="0"/>
          <w:docGrid w:linePitch="360"/>
        </w:sectPr>
      </w:pPr>
    </w:p>
    <w:p w:rsidR="003B3E9D" w:rsidRPr="0069393B" w:rsidP="003B3E9D">
      <w:pPr>
        <w:autoSpaceDE/>
        <w:autoSpaceDN/>
        <w:bidi w:val="0"/>
        <w:jc w:val="right"/>
        <w:rPr>
          <w:rFonts w:ascii="Times New Roman" w:hAnsi="Times New Roman"/>
          <w:bCs/>
          <w:sz w:val="24"/>
          <w:szCs w:val="24"/>
        </w:rPr>
      </w:pPr>
      <w:r w:rsidRPr="0069393B">
        <w:rPr>
          <w:rFonts w:ascii="Times New Roman" w:hAnsi="Times New Roman"/>
          <w:bCs/>
          <w:sz w:val="24"/>
          <w:szCs w:val="24"/>
        </w:rPr>
        <w:t>Príloha č. 6</w:t>
      </w:r>
    </w:p>
    <w:p w:rsidR="003B3E9D" w:rsidRPr="0069393B" w:rsidP="003B3E9D">
      <w:pPr>
        <w:autoSpaceDE/>
        <w:autoSpaceDN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93B">
        <w:rPr>
          <w:rFonts w:ascii="Times New Roman" w:hAnsi="Times New Roman"/>
          <w:b/>
          <w:bCs/>
          <w:sz w:val="28"/>
          <w:szCs w:val="28"/>
        </w:rPr>
        <w:t>Vplyvy na informatizáciu spoločnosti</w:t>
      </w:r>
    </w:p>
    <w:tbl>
      <w:tblPr>
        <w:tblStyle w:val="TableNormal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Rozširujú alebo inovujú  sa existujúce alebo vytvárajú sa či zavádzajú  sa nové elektronické služby?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 w:rsidR="008454A6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6.2.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6.3.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Zabezpečuje sa vzdelávanie v oblasti počítačovej gramotnosti a rozširovanie vedomostí o IKT?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6.4.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FFFFFF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6.5.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Zabezpečuje sa podporná a propagačná aktivita zameraná na zvyšovanie povedomia o informatizácii a IKT?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color w:val="FFFFFF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6.6.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 službám informačnej spoločnosti?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6.7.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6.8.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Rozširuje sa prístupnosť k internetu?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6.9.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Rozširuje sa prístupnosť k elektronickým službám?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6.10.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6.11.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>(</w:t>
            </w:r>
            <w:r w:rsidRPr="0069393B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6.12.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</w:rPr>
              <w:t>(</w:t>
            </w:r>
            <w:r w:rsidRPr="0069393B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6.13.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Predpokladajú sa zmeny v riadení procesu informatizácie?</w:t>
            </w:r>
          </w:p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6.14.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Vyžaduje si proces informatizácie  finančné investície?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9393B">
              <w:rPr>
                <w:rFonts w:ascii="Times New Roman" w:hAnsi="Times New Roman"/>
                <w:b/>
                <w:sz w:val="22"/>
                <w:szCs w:val="22"/>
              </w:rPr>
              <w:t>6.15.</w:t>
            </w:r>
            <w:r w:rsidRPr="0069393B"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  procesu informatizácie?</w:t>
            </w:r>
          </w:p>
          <w:p w:rsidR="003B3E9D" w:rsidRPr="0069393B" w:rsidP="003B3E9D">
            <w:pPr>
              <w:autoSpaceDE/>
              <w:autoSpaceDN/>
              <w:bidi w:val="0"/>
              <w:rPr>
                <w:rFonts w:ascii="Times New Roman" w:hAnsi="Times New Roman"/>
              </w:rPr>
            </w:pPr>
            <w:r w:rsidRPr="0069393B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E9D" w:rsidRPr="0069393B" w:rsidP="003B3E9D">
            <w:pPr>
              <w:autoSpaceDE/>
              <w:autoSpaceDN/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393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</w:tbl>
    <w:p w:rsidR="00640BD9" w:rsidRPr="0069393B" w:rsidP="002F3B33">
      <w:pPr>
        <w:bidi w:val="0"/>
        <w:rPr>
          <w:rFonts w:ascii="Times New Roman" w:hAnsi="Times New Roman"/>
          <w:sz w:val="24"/>
          <w:szCs w:val="24"/>
        </w:rPr>
      </w:pPr>
    </w:p>
    <w:sectPr w:rsidSect="0004566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9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B3E9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7455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3B3E9D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745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A0B0F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9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B3E9D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7455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3B3E9D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7455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3B3E9D">
    <w:pPr>
      <w:bidi w:val="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Footer"/>
      <w:bidi w:val="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Footer"/>
      <w:bidi w:val="0"/>
      <w:jc w:val="center"/>
      <w:rPr>
        <w:rFonts w:ascii="Times New Roman" w:hAnsi="Times New Roman"/>
      </w:rPr>
    </w:pPr>
    <w:r w:rsidR="00115B57">
      <w:rPr>
        <w:rFonts w:ascii="Times New Roman" w:hAnsi="Times New Roman"/>
      </w:rPr>
      <w:fldChar w:fldCharType="begin"/>
    </w:r>
    <w:r w:rsidR="00115B57">
      <w:rPr>
        <w:rFonts w:ascii="Times New Roman" w:hAnsi="Times New Roman"/>
      </w:rPr>
      <w:instrText>PAGE   \* MERGEFORMAT</w:instrText>
    </w:r>
    <w:r w:rsidR="00115B57">
      <w:rPr>
        <w:rFonts w:ascii="Times New Roman" w:hAnsi="Times New Roman"/>
      </w:rPr>
      <w:fldChar w:fldCharType="separate"/>
    </w:r>
    <w:r w:rsidR="00AC7455">
      <w:rPr>
        <w:rFonts w:ascii="Times New Roman" w:hAnsi="Times New Roman"/>
        <w:noProof/>
      </w:rPr>
      <w:t>15</w:t>
    </w:r>
    <w:r w:rsidR="00115B57">
      <w:rPr>
        <w:rFonts w:ascii="Times New Roman" w:hAnsi="Times New Roman"/>
      </w:rPr>
      <w:fldChar w:fldCharType="end"/>
    </w:r>
  </w:p>
  <w:p w:rsidR="00640BD9">
    <w:pPr>
      <w:pStyle w:val="Footer"/>
      <w:bidi w:val="0"/>
      <w:rPr>
        <w:rFonts w:ascii="Times New Roman" w:hAnsi="Times New Roman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D8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D8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D8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9D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9D" w:rsidRPr="00BF40F1" w:rsidP="00BF40F1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9D">
    <w:pPr>
      <w:pStyle w:val="Header"/>
      <w:bidi w:val="0"/>
      <w:jc w:val="right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Header"/>
      <w:bidi w:val="0"/>
      <w:rPr>
        <w:rFonts w:ascii="Times New Roman" w:hAnsi="Times New Roman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D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/>
      </w:pPr>
      <w:rPr>
        <w:rFonts w:cs="Times New Roman" w:hint="default"/>
        <w:rtl w:val="0"/>
        <w:cs w:val="0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/>
      </w:pPr>
      <w:rPr>
        <w:rFonts w:cs="Times New Roman" w:hint="default"/>
        <w:rtl w:val="0"/>
        <w:cs w:val="0"/>
      </w:rPr>
    </w:lvl>
    <w:lvl w:ilvl="3">
      <w:start w:val="1"/>
      <w:numFmt w:val="none"/>
      <w:pStyle w:val="HBBody4"/>
      <w:lvlJc w:val="left"/>
      <w:pPr>
        <w:tabs>
          <w:tab w:val="num" w:pos="2041"/>
        </w:tabs>
        <w:ind w:left="2041"/>
      </w:pPr>
      <w:rPr>
        <w:rFonts w:cs="Times New Roman" w:hint="default"/>
        <w:rtl w:val="0"/>
        <w:cs w:val="0"/>
      </w:rPr>
    </w:lvl>
    <w:lvl w:ilvl="4">
      <w:start w:val="1"/>
      <w:numFmt w:val="none"/>
      <w:pStyle w:val="HBBody5"/>
      <w:lvlJc w:val="left"/>
      <w:pPr>
        <w:tabs>
          <w:tab w:val="num" w:pos="2722"/>
        </w:tabs>
        <w:ind w:left="2722"/>
      </w:pPr>
      <w:rPr>
        <w:rFonts w:cs="Times New Roman" w:hint="default"/>
        <w:rtl w:val="0"/>
        <w:cs w:val="0"/>
      </w:rPr>
    </w:lvl>
    <w:lvl w:ilvl="5">
      <w:start w:val="1"/>
      <w:numFmt w:val="none"/>
      <w:pStyle w:val="HBBody6"/>
      <w:lvlJc w:val="left"/>
      <w:pPr>
        <w:tabs>
          <w:tab w:val="num" w:pos="3402"/>
        </w:tabs>
        <w:ind w:left="3402"/>
      </w:pPr>
      <w:rPr>
        <w:rFonts w:cs="Times New Roman" w:hint="default"/>
        <w:rtl w:val="0"/>
        <w:cs w:val="0"/>
      </w:rPr>
    </w:lvl>
    <w:lvl w:ilvl="6">
      <w:start w:val="1"/>
      <w:numFmt w:val="none"/>
      <w:pStyle w:val="HBBody7"/>
      <w:lvlJc w:val="left"/>
      <w:pPr>
        <w:tabs>
          <w:tab w:val="num" w:pos="4082"/>
        </w:tabs>
        <w:ind w:left="4082"/>
      </w:pPr>
      <w:rPr>
        <w:rFonts w:cs="Times New Roman" w:hint="default"/>
        <w:rtl w:val="0"/>
        <w:cs w:val="0"/>
      </w:rPr>
    </w:lvl>
    <w:lvl w:ilvl="7">
      <w:start w:val="1"/>
      <w:numFmt w:val="none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none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4266CA3"/>
    <w:multiLevelType w:val="hybridMultilevel"/>
    <w:tmpl w:val="016CD66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4D73"/>
    <w:multiLevelType w:val="hybridMultilevel"/>
    <w:tmpl w:val="E0DCEC56"/>
    <w:lvl w:ilvl="0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  <w:rPr>
        <w:rFonts w:cs="Times New Roman"/>
        <w:rtl w:val="0"/>
        <w:cs w:val="0"/>
      </w:rPr>
    </w:lvl>
  </w:abstractNum>
  <w:abstractNum w:abstractNumId="4">
    <w:nsid w:val="499C290F"/>
    <w:multiLevelType w:val="hybridMultilevel"/>
    <w:tmpl w:val="43B294AA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42EFC"/>
    <w:multiLevelType w:val="hybridMultilevel"/>
    <w:tmpl w:val="B9B4D88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B58F2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32256EC"/>
    <w:multiLevelType w:val="hybridMultilevel"/>
    <w:tmpl w:val="469890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205643"/>
    <w:multiLevelType w:val="hybridMultilevel"/>
    <w:tmpl w:val="137AA750"/>
    <w:lvl w:ilvl="0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50612"/>
    <w:multiLevelType w:val="hybridMultilevel"/>
    <w:tmpl w:val="ACC8FE6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stylePaneFormatFilter w:val="3F01"/>
  <w:trackRevisions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B56272"/>
    <w:rsid w:val="00001DB6"/>
    <w:rsid w:val="000070ED"/>
    <w:rsid w:val="0001017C"/>
    <w:rsid w:val="000103A3"/>
    <w:rsid w:val="0001440E"/>
    <w:rsid w:val="00016026"/>
    <w:rsid w:val="00016544"/>
    <w:rsid w:val="00017FDC"/>
    <w:rsid w:val="000201E7"/>
    <w:rsid w:val="00021768"/>
    <w:rsid w:val="00021DB0"/>
    <w:rsid w:val="000224E3"/>
    <w:rsid w:val="000231B8"/>
    <w:rsid w:val="00023CEA"/>
    <w:rsid w:val="00031333"/>
    <w:rsid w:val="000352C8"/>
    <w:rsid w:val="000403A1"/>
    <w:rsid w:val="00042854"/>
    <w:rsid w:val="00042990"/>
    <w:rsid w:val="00044512"/>
    <w:rsid w:val="00045663"/>
    <w:rsid w:val="00046257"/>
    <w:rsid w:val="0005681F"/>
    <w:rsid w:val="00056899"/>
    <w:rsid w:val="0006185D"/>
    <w:rsid w:val="0006190A"/>
    <w:rsid w:val="00062B3C"/>
    <w:rsid w:val="00063AD5"/>
    <w:rsid w:val="0007118B"/>
    <w:rsid w:val="00071EC4"/>
    <w:rsid w:val="00072238"/>
    <w:rsid w:val="000755D7"/>
    <w:rsid w:val="0007752C"/>
    <w:rsid w:val="0007784F"/>
    <w:rsid w:val="00081B55"/>
    <w:rsid w:val="00082AA6"/>
    <w:rsid w:val="00083322"/>
    <w:rsid w:val="000840A8"/>
    <w:rsid w:val="00085370"/>
    <w:rsid w:val="00085B65"/>
    <w:rsid w:val="00092BE9"/>
    <w:rsid w:val="000A01C0"/>
    <w:rsid w:val="000A4D1F"/>
    <w:rsid w:val="000A6914"/>
    <w:rsid w:val="000A75D0"/>
    <w:rsid w:val="000A7E72"/>
    <w:rsid w:val="000B0142"/>
    <w:rsid w:val="000B2CE2"/>
    <w:rsid w:val="000B2E11"/>
    <w:rsid w:val="000B334A"/>
    <w:rsid w:val="000B5EC8"/>
    <w:rsid w:val="000B7436"/>
    <w:rsid w:val="000B76F3"/>
    <w:rsid w:val="000B7A35"/>
    <w:rsid w:val="000B7EB0"/>
    <w:rsid w:val="000C0601"/>
    <w:rsid w:val="000C6656"/>
    <w:rsid w:val="000C6DED"/>
    <w:rsid w:val="000D25EE"/>
    <w:rsid w:val="000D7910"/>
    <w:rsid w:val="000E10B3"/>
    <w:rsid w:val="000E3AFE"/>
    <w:rsid w:val="000E4429"/>
    <w:rsid w:val="000E68DA"/>
    <w:rsid w:val="000E6E79"/>
    <w:rsid w:val="000F1F75"/>
    <w:rsid w:val="000F3AF0"/>
    <w:rsid w:val="000F3DCF"/>
    <w:rsid w:val="000F3EF9"/>
    <w:rsid w:val="000F4AA2"/>
    <w:rsid w:val="000F4E62"/>
    <w:rsid w:val="000F600D"/>
    <w:rsid w:val="000F6EA4"/>
    <w:rsid w:val="00101A01"/>
    <w:rsid w:val="00102CD0"/>
    <w:rsid w:val="00103D28"/>
    <w:rsid w:val="0010457F"/>
    <w:rsid w:val="00105532"/>
    <w:rsid w:val="00106642"/>
    <w:rsid w:val="0010682E"/>
    <w:rsid w:val="00106CFD"/>
    <w:rsid w:val="00107342"/>
    <w:rsid w:val="00107599"/>
    <w:rsid w:val="0011068F"/>
    <w:rsid w:val="00110C6B"/>
    <w:rsid w:val="0011161E"/>
    <w:rsid w:val="00112735"/>
    <w:rsid w:val="00114126"/>
    <w:rsid w:val="00114552"/>
    <w:rsid w:val="0011556F"/>
    <w:rsid w:val="00115B57"/>
    <w:rsid w:val="00116D07"/>
    <w:rsid w:val="001224F6"/>
    <w:rsid w:val="0012281F"/>
    <w:rsid w:val="001240C0"/>
    <w:rsid w:val="00124911"/>
    <w:rsid w:val="00124E5B"/>
    <w:rsid w:val="00125080"/>
    <w:rsid w:val="00125747"/>
    <w:rsid w:val="001275D0"/>
    <w:rsid w:val="0013024A"/>
    <w:rsid w:val="0013107F"/>
    <w:rsid w:val="001357BC"/>
    <w:rsid w:val="0014060A"/>
    <w:rsid w:val="001427C9"/>
    <w:rsid w:val="00142889"/>
    <w:rsid w:val="00144DD9"/>
    <w:rsid w:val="0014511B"/>
    <w:rsid w:val="00150CEF"/>
    <w:rsid w:val="0015133D"/>
    <w:rsid w:val="00151434"/>
    <w:rsid w:val="00154E13"/>
    <w:rsid w:val="001561CE"/>
    <w:rsid w:val="001562F9"/>
    <w:rsid w:val="001578E8"/>
    <w:rsid w:val="00160676"/>
    <w:rsid w:val="00160CBF"/>
    <w:rsid w:val="00161138"/>
    <w:rsid w:val="00163E27"/>
    <w:rsid w:val="00165C2A"/>
    <w:rsid w:val="001663E3"/>
    <w:rsid w:val="001713E5"/>
    <w:rsid w:val="0017479D"/>
    <w:rsid w:val="001749AD"/>
    <w:rsid w:val="001753D5"/>
    <w:rsid w:val="00176392"/>
    <w:rsid w:val="001775F7"/>
    <w:rsid w:val="00180F61"/>
    <w:rsid w:val="0018145D"/>
    <w:rsid w:val="00183326"/>
    <w:rsid w:val="0019071B"/>
    <w:rsid w:val="00190B89"/>
    <w:rsid w:val="00191572"/>
    <w:rsid w:val="0019252F"/>
    <w:rsid w:val="00193130"/>
    <w:rsid w:val="0019497A"/>
    <w:rsid w:val="00195378"/>
    <w:rsid w:val="001962AE"/>
    <w:rsid w:val="00196311"/>
    <w:rsid w:val="001A161A"/>
    <w:rsid w:val="001A217A"/>
    <w:rsid w:val="001A23D2"/>
    <w:rsid w:val="001A3413"/>
    <w:rsid w:val="001B1C65"/>
    <w:rsid w:val="001B418C"/>
    <w:rsid w:val="001B4AD1"/>
    <w:rsid w:val="001B4C3C"/>
    <w:rsid w:val="001B6BCC"/>
    <w:rsid w:val="001B76C9"/>
    <w:rsid w:val="001B7FE1"/>
    <w:rsid w:val="001C01A6"/>
    <w:rsid w:val="001C07D7"/>
    <w:rsid w:val="001C19C5"/>
    <w:rsid w:val="001C1CE6"/>
    <w:rsid w:val="001C1F11"/>
    <w:rsid w:val="001C2201"/>
    <w:rsid w:val="001C646E"/>
    <w:rsid w:val="001C64AA"/>
    <w:rsid w:val="001C7211"/>
    <w:rsid w:val="001D2101"/>
    <w:rsid w:val="001D4780"/>
    <w:rsid w:val="001D5757"/>
    <w:rsid w:val="001D664D"/>
    <w:rsid w:val="001D7C85"/>
    <w:rsid w:val="001E0398"/>
    <w:rsid w:val="001E12B7"/>
    <w:rsid w:val="001E12F4"/>
    <w:rsid w:val="001E179C"/>
    <w:rsid w:val="001E343F"/>
    <w:rsid w:val="001E4478"/>
    <w:rsid w:val="001E56E3"/>
    <w:rsid w:val="001E66DF"/>
    <w:rsid w:val="001E6A14"/>
    <w:rsid w:val="001E6C3D"/>
    <w:rsid w:val="001E6C4D"/>
    <w:rsid w:val="001E6E7C"/>
    <w:rsid w:val="001E7651"/>
    <w:rsid w:val="001F0646"/>
    <w:rsid w:val="001F0694"/>
    <w:rsid w:val="001F18AB"/>
    <w:rsid w:val="001F471A"/>
    <w:rsid w:val="001F702F"/>
    <w:rsid w:val="001F716E"/>
    <w:rsid w:val="00203EE8"/>
    <w:rsid w:val="00204DD5"/>
    <w:rsid w:val="00207AEB"/>
    <w:rsid w:val="00214236"/>
    <w:rsid w:val="002145C2"/>
    <w:rsid w:val="002147B4"/>
    <w:rsid w:val="00215B5E"/>
    <w:rsid w:val="00216CD9"/>
    <w:rsid w:val="00221B30"/>
    <w:rsid w:val="00223A7F"/>
    <w:rsid w:val="002251E5"/>
    <w:rsid w:val="002271B6"/>
    <w:rsid w:val="00235B16"/>
    <w:rsid w:val="00237021"/>
    <w:rsid w:val="00237D43"/>
    <w:rsid w:val="0024134F"/>
    <w:rsid w:val="002417D1"/>
    <w:rsid w:val="00241DBD"/>
    <w:rsid w:val="00243B14"/>
    <w:rsid w:val="002450D9"/>
    <w:rsid w:val="002460D2"/>
    <w:rsid w:val="0024614E"/>
    <w:rsid w:val="00246B88"/>
    <w:rsid w:val="00247460"/>
    <w:rsid w:val="00254393"/>
    <w:rsid w:val="002544E2"/>
    <w:rsid w:val="0025738D"/>
    <w:rsid w:val="00260D2C"/>
    <w:rsid w:val="0026629D"/>
    <w:rsid w:val="00267FB0"/>
    <w:rsid w:val="00272564"/>
    <w:rsid w:val="00275699"/>
    <w:rsid w:val="00277202"/>
    <w:rsid w:val="00292459"/>
    <w:rsid w:val="00293287"/>
    <w:rsid w:val="0029585A"/>
    <w:rsid w:val="00297D73"/>
    <w:rsid w:val="00297F14"/>
    <w:rsid w:val="002A0320"/>
    <w:rsid w:val="002A085B"/>
    <w:rsid w:val="002A0A20"/>
    <w:rsid w:val="002A0E00"/>
    <w:rsid w:val="002A18A5"/>
    <w:rsid w:val="002A35FD"/>
    <w:rsid w:val="002A76CA"/>
    <w:rsid w:val="002A76CB"/>
    <w:rsid w:val="002B463F"/>
    <w:rsid w:val="002B4CCA"/>
    <w:rsid w:val="002B6DCA"/>
    <w:rsid w:val="002C1244"/>
    <w:rsid w:val="002C18DF"/>
    <w:rsid w:val="002C6A9B"/>
    <w:rsid w:val="002C6BFC"/>
    <w:rsid w:val="002D1690"/>
    <w:rsid w:val="002D23B7"/>
    <w:rsid w:val="002D294F"/>
    <w:rsid w:val="002D4404"/>
    <w:rsid w:val="002D4B27"/>
    <w:rsid w:val="002D68B6"/>
    <w:rsid w:val="002D7B79"/>
    <w:rsid w:val="002E09D8"/>
    <w:rsid w:val="002E3BDB"/>
    <w:rsid w:val="002E7E83"/>
    <w:rsid w:val="002F0C39"/>
    <w:rsid w:val="002F3884"/>
    <w:rsid w:val="002F3B33"/>
    <w:rsid w:val="002F4F53"/>
    <w:rsid w:val="002F587C"/>
    <w:rsid w:val="002F6651"/>
    <w:rsid w:val="0030002E"/>
    <w:rsid w:val="00300F21"/>
    <w:rsid w:val="0030222C"/>
    <w:rsid w:val="00303454"/>
    <w:rsid w:val="003106EC"/>
    <w:rsid w:val="003109F4"/>
    <w:rsid w:val="00310E4F"/>
    <w:rsid w:val="0031694E"/>
    <w:rsid w:val="00316AFE"/>
    <w:rsid w:val="00320A13"/>
    <w:rsid w:val="00321F50"/>
    <w:rsid w:val="003243BF"/>
    <w:rsid w:val="00325812"/>
    <w:rsid w:val="00325DB1"/>
    <w:rsid w:val="00331F5E"/>
    <w:rsid w:val="003360CA"/>
    <w:rsid w:val="00336C3E"/>
    <w:rsid w:val="00340149"/>
    <w:rsid w:val="00344F45"/>
    <w:rsid w:val="00350790"/>
    <w:rsid w:val="0035130D"/>
    <w:rsid w:val="003518B8"/>
    <w:rsid w:val="00351A00"/>
    <w:rsid w:val="00352277"/>
    <w:rsid w:val="00352698"/>
    <w:rsid w:val="003546C4"/>
    <w:rsid w:val="00360F19"/>
    <w:rsid w:val="003611C3"/>
    <w:rsid w:val="003616C3"/>
    <w:rsid w:val="0036539F"/>
    <w:rsid w:val="00365538"/>
    <w:rsid w:val="0036613A"/>
    <w:rsid w:val="00366226"/>
    <w:rsid w:val="003675BF"/>
    <w:rsid w:val="00370201"/>
    <w:rsid w:val="0037180D"/>
    <w:rsid w:val="00373976"/>
    <w:rsid w:val="003747CC"/>
    <w:rsid w:val="00375DED"/>
    <w:rsid w:val="00376308"/>
    <w:rsid w:val="003824EE"/>
    <w:rsid w:val="00382F81"/>
    <w:rsid w:val="00385B40"/>
    <w:rsid w:val="00386210"/>
    <w:rsid w:val="003870D4"/>
    <w:rsid w:val="00392064"/>
    <w:rsid w:val="00393B9A"/>
    <w:rsid w:val="0039482C"/>
    <w:rsid w:val="00394C43"/>
    <w:rsid w:val="00395248"/>
    <w:rsid w:val="003A0707"/>
    <w:rsid w:val="003A17D6"/>
    <w:rsid w:val="003A3F04"/>
    <w:rsid w:val="003A4753"/>
    <w:rsid w:val="003A718E"/>
    <w:rsid w:val="003B13A2"/>
    <w:rsid w:val="003B3E9D"/>
    <w:rsid w:val="003B6365"/>
    <w:rsid w:val="003B7364"/>
    <w:rsid w:val="003B791B"/>
    <w:rsid w:val="003C0CFB"/>
    <w:rsid w:val="003C1491"/>
    <w:rsid w:val="003C1658"/>
    <w:rsid w:val="003C18F0"/>
    <w:rsid w:val="003C4703"/>
    <w:rsid w:val="003C6D2F"/>
    <w:rsid w:val="003D0AA7"/>
    <w:rsid w:val="003D4730"/>
    <w:rsid w:val="003D79BF"/>
    <w:rsid w:val="003E10A9"/>
    <w:rsid w:val="003E1805"/>
    <w:rsid w:val="003E1E52"/>
    <w:rsid w:val="003E24D2"/>
    <w:rsid w:val="003E76C8"/>
    <w:rsid w:val="003F2B92"/>
    <w:rsid w:val="003F420E"/>
    <w:rsid w:val="003F4F21"/>
    <w:rsid w:val="003F7C45"/>
    <w:rsid w:val="00400AC3"/>
    <w:rsid w:val="004069BA"/>
    <w:rsid w:val="004105A7"/>
    <w:rsid w:val="00411E64"/>
    <w:rsid w:val="00414011"/>
    <w:rsid w:val="004146B6"/>
    <w:rsid w:val="00414957"/>
    <w:rsid w:val="00415E9B"/>
    <w:rsid w:val="00416E1E"/>
    <w:rsid w:val="004221CA"/>
    <w:rsid w:val="004224E4"/>
    <w:rsid w:val="004234B5"/>
    <w:rsid w:val="00423B94"/>
    <w:rsid w:val="0042499F"/>
    <w:rsid w:val="00425029"/>
    <w:rsid w:val="00427AA0"/>
    <w:rsid w:val="00431285"/>
    <w:rsid w:val="0043129C"/>
    <w:rsid w:val="00432FCE"/>
    <w:rsid w:val="00433677"/>
    <w:rsid w:val="00435EF1"/>
    <w:rsid w:val="004362E4"/>
    <w:rsid w:val="00437061"/>
    <w:rsid w:val="004370AC"/>
    <w:rsid w:val="00437DF6"/>
    <w:rsid w:val="00441D42"/>
    <w:rsid w:val="004428F7"/>
    <w:rsid w:val="00443B94"/>
    <w:rsid w:val="00444F55"/>
    <w:rsid w:val="00445B58"/>
    <w:rsid w:val="00447991"/>
    <w:rsid w:val="00447E4E"/>
    <w:rsid w:val="00450498"/>
    <w:rsid w:val="00451555"/>
    <w:rsid w:val="00451F23"/>
    <w:rsid w:val="00454CEF"/>
    <w:rsid w:val="00455AA1"/>
    <w:rsid w:val="00463589"/>
    <w:rsid w:val="0046525A"/>
    <w:rsid w:val="00471639"/>
    <w:rsid w:val="00474D1D"/>
    <w:rsid w:val="00476FC4"/>
    <w:rsid w:val="00482509"/>
    <w:rsid w:val="00483894"/>
    <w:rsid w:val="0049041B"/>
    <w:rsid w:val="00493A39"/>
    <w:rsid w:val="00495455"/>
    <w:rsid w:val="00495C5F"/>
    <w:rsid w:val="00497C4C"/>
    <w:rsid w:val="004A1795"/>
    <w:rsid w:val="004A18DD"/>
    <w:rsid w:val="004A368D"/>
    <w:rsid w:val="004A4494"/>
    <w:rsid w:val="004A4721"/>
    <w:rsid w:val="004A4DD1"/>
    <w:rsid w:val="004A5207"/>
    <w:rsid w:val="004A5B96"/>
    <w:rsid w:val="004A6DEF"/>
    <w:rsid w:val="004B029C"/>
    <w:rsid w:val="004B28EF"/>
    <w:rsid w:val="004B373A"/>
    <w:rsid w:val="004B4C17"/>
    <w:rsid w:val="004B70A7"/>
    <w:rsid w:val="004B77EF"/>
    <w:rsid w:val="004C21E0"/>
    <w:rsid w:val="004C21E3"/>
    <w:rsid w:val="004D2B6A"/>
    <w:rsid w:val="004D4260"/>
    <w:rsid w:val="004D5AE7"/>
    <w:rsid w:val="004E000C"/>
    <w:rsid w:val="004E20DD"/>
    <w:rsid w:val="004E3900"/>
    <w:rsid w:val="004E5B2C"/>
    <w:rsid w:val="004E722A"/>
    <w:rsid w:val="004E74A1"/>
    <w:rsid w:val="004F0337"/>
    <w:rsid w:val="004F1CCB"/>
    <w:rsid w:val="00500EE6"/>
    <w:rsid w:val="00504B8F"/>
    <w:rsid w:val="00510170"/>
    <w:rsid w:val="00512441"/>
    <w:rsid w:val="005128F0"/>
    <w:rsid w:val="005133E4"/>
    <w:rsid w:val="00514C7F"/>
    <w:rsid w:val="00514E03"/>
    <w:rsid w:val="00516D91"/>
    <w:rsid w:val="0052016A"/>
    <w:rsid w:val="0052041E"/>
    <w:rsid w:val="005207D3"/>
    <w:rsid w:val="0052372B"/>
    <w:rsid w:val="0052446A"/>
    <w:rsid w:val="00524833"/>
    <w:rsid w:val="00525A7C"/>
    <w:rsid w:val="00526047"/>
    <w:rsid w:val="00530DE7"/>
    <w:rsid w:val="00532D07"/>
    <w:rsid w:val="00535538"/>
    <w:rsid w:val="00535EF6"/>
    <w:rsid w:val="00536596"/>
    <w:rsid w:val="00543A26"/>
    <w:rsid w:val="005456B0"/>
    <w:rsid w:val="00545AA2"/>
    <w:rsid w:val="00545EFA"/>
    <w:rsid w:val="00546910"/>
    <w:rsid w:val="005501CF"/>
    <w:rsid w:val="00551132"/>
    <w:rsid w:val="00552203"/>
    <w:rsid w:val="00560D45"/>
    <w:rsid w:val="0056326B"/>
    <w:rsid w:val="00564E5C"/>
    <w:rsid w:val="0057393D"/>
    <w:rsid w:val="00575049"/>
    <w:rsid w:val="00575DBE"/>
    <w:rsid w:val="00581168"/>
    <w:rsid w:val="00582923"/>
    <w:rsid w:val="00586C60"/>
    <w:rsid w:val="00586E27"/>
    <w:rsid w:val="00592E32"/>
    <w:rsid w:val="0059356E"/>
    <w:rsid w:val="00594B1E"/>
    <w:rsid w:val="00597600"/>
    <w:rsid w:val="005A066C"/>
    <w:rsid w:val="005A1D0D"/>
    <w:rsid w:val="005A2C9E"/>
    <w:rsid w:val="005A332B"/>
    <w:rsid w:val="005A40BA"/>
    <w:rsid w:val="005B0077"/>
    <w:rsid w:val="005B15A6"/>
    <w:rsid w:val="005B211A"/>
    <w:rsid w:val="005B318C"/>
    <w:rsid w:val="005B3CAC"/>
    <w:rsid w:val="005B61CD"/>
    <w:rsid w:val="005B7F6D"/>
    <w:rsid w:val="005C162A"/>
    <w:rsid w:val="005C3366"/>
    <w:rsid w:val="005C57E3"/>
    <w:rsid w:val="005D40DD"/>
    <w:rsid w:val="005D60B4"/>
    <w:rsid w:val="005D75F3"/>
    <w:rsid w:val="005D7A10"/>
    <w:rsid w:val="005D7AB3"/>
    <w:rsid w:val="005E2900"/>
    <w:rsid w:val="005E294D"/>
    <w:rsid w:val="005E4AB5"/>
    <w:rsid w:val="005E4ECA"/>
    <w:rsid w:val="005E558E"/>
    <w:rsid w:val="005E62B8"/>
    <w:rsid w:val="005E6425"/>
    <w:rsid w:val="005E79DE"/>
    <w:rsid w:val="005F2C2B"/>
    <w:rsid w:val="005F60C4"/>
    <w:rsid w:val="005F7DA0"/>
    <w:rsid w:val="0060023E"/>
    <w:rsid w:val="0060377E"/>
    <w:rsid w:val="006041BC"/>
    <w:rsid w:val="00606074"/>
    <w:rsid w:val="00607675"/>
    <w:rsid w:val="0061083D"/>
    <w:rsid w:val="00611CE7"/>
    <w:rsid w:val="006138E6"/>
    <w:rsid w:val="00613A27"/>
    <w:rsid w:val="00613F1F"/>
    <w:rsid w:val="00614AAF"/>
    <w:rsid w:val="00621085"/>
    <w:rsid w:val="00623D96"/>
    <w:rsid w:val="00623F55"/>
    <w:rsid w:val="00626DDC"/>
    <w:rsid w:val="006271C1"/>
    <w:rsid w:val="00627F29"/>
    <w:rsid w:val="0063243C"/>
    <w:rsid w:val="0063365F"/>
    <w:rsid w:val="006363E9"/>
    <w:rsid w:val="006368D9"/>
    <w:rsid w:val="00636CD1"/>
    <w:rsid w:val="0064018D"/>
    <w:rsid w:val="00640BD9"/>
    <w:rsid w:val="00640FA5"/>
    <w:rsid w:val="00642D77"/>
    <w:rsid w:val="00643E6E"/>
    <w:rsid w:val="00645654"/>
    <w:rsid w:val="0064743A"/>
    <w:rsid w:val="006479B3"/>
    <w:rsid w:val="006531B1"/>
    <w:rsid w:val="00655581"/>
    <w:rsid w:val="006610FE"/>
    <w:rsid w:val="00661C1B"/>
    <w:rsid w:val="00662DD8"/>
    <w:rsid w:val="006677BB"/>
    <w:rsid w:val="00667A3C"/>
    <w:rsid w:val="00670DF8"/>
    <w:rsid w:val="00670E21"/>
    <w:rsid w:val="006719C0"/>
    <w:rsid w:val="00674D9A"/>
    <w:rsid w:val="006767CC"/>
    <w:rsid w:val="00676E21"/>
    <w:rsid w:val="00686753"/>
    <w:rsid w:val="0068722D"/>
    <w:rsid w:val="006876EC"/>
    <w:rsid w:val="00691922"/>
    <w:rsid w:val="006933F3"/>
    <w:rsid w:val="0069393B"/>
    <w:rsid w:val="006947F5"/>
    <w:rsid w:val="0069608E"/>
    <w:rsid w:val="006A1688"/>
    <w:rsid w:val="006A7255"/>
    <w:rsid w:val="006B2579"/>
    <w:rsid w:val="006B6DDA"/>
    <w:rsid w:val="006C6869"/>
    <w:rsid w:val="006D09FA"/>
    <w:rsid w:val="006D21B0"/>
    <w:rsid w:val="006D252D"/>
    <w:rsid w:val="006D4160"/>
    <w:rsid w:val="006D4D32"/>
    <w:rsid w:val="006D7577"/>
    <w:rsid w:val="006E07A0"/>
    <w:rsid w:val="006E2A17"/>
    <w:rsid w:val="006E3D96"/>
    <w:rsid w:val="006E47BD"/>
    <w:rsid w:val="006E5735"/>
    <w:rsid w:val="006E6FE3"/>
    <w:rsid w:val="006E7231"/>
    <w:rsid w:val="006F03C1"/>
    <w:rsid w:val="006F1EDA"/>
    <w:rsid w:val="006F610B"/>
    <w:rsid w:val="00700B87"/>
    <w:rsid w:val="0070162E"/>
    <w:rsid w:val="00701DCC"/>
    <w:rsid w:val="0070221C"/>
    <w:rsid w:val="00702F32"/>
    <w:rsid w:val="00705904"/>
    <w:rsid w:val="007068A1"/>
    <w:rsid w:val="00706F05"/>
    <w:rsid w:val="007121EB"/>
    <w:rsid w:val="007161AA"/>
    <w:rsid w:val="00723BED"/>
    <w:rsid w:val="00724016"/>
    <w:rsid w:val="007258DB"/>
    <w:rsid w:val="00727733"/>
    <w:rsid w:val="00732436"/>
    <w:rsid w:val="00734D78"/>
    <w:rsid w:val="00736775"/>
    <w:rsid w:val="00737E43"/>
    <w:rsid w:val="007406F6"/>
    <w:rsid w:val="00742C70"/>
    <w:rsid w:val="00751885"/>
    <w:rsid w:val="0075223B"/>
    <w:rsid w:val="007562C1"/>
    <w:rsid w:val="00756954"/>
    <w:rsid w:val="00760EC1"/>
    <w:rsid w:val="007611A2"/>
    <w:rsid w:val="00761D3D"/>
    <w:rsid w:val="00763C69"/>
    <w:rsid w:val="00764B86"/>
    <w:rsid w:val="00771532"/>
    <w:rsid w:val="00772D7B"/>
    <w:rsid w:val="007749AD"/>
    <w:rsid w:val="00774B4A"/>
    <w:rsid w:val="007766CA"/>
    <w:rsid w:val="00776AF6"/>
    <w:rsid w:val="00780CFD"/>
    <w:rsid w:val="0078417F"/>
    <w:rsid w:val="00785F33"/>
    <w:rsid w:val="00790D44"/>
    <w:rsid w:val="00795E23"/>
    <w:rsid w:val="00797B2D"/>
    <w:rsid w:val="007A230D"/>
    <w:rsid w:val="007A2B30"/>
    <w:rsid w:val="007A3B94"/>
    <w:rsid w:val="007A661D"/>
    <w:rsid w:val="007A7974"/>
    <w:rsid w:val="007B06AA"/>
    <w:rsid w:val="007B22BA"/>
    <w:rsid w:val="007B4C30"/>
    <w:rsid w:val="007B6709"/>
    <w:rsid w:val="007B752F"/>
    <w:rsid w:val="007B7AAA"/>
    <w:rsid w:val="007C19B2"/>
    <w:rsid w:val="007D30D7"/>
    <w:rsid w:val="007D386E"/>
    <w:rsid w:val="007D51C2"/>
    <w:rsid w:val="007D7BCD"/>
    <w:rsid w:val="007E468F"/>
    <w:rsid w:val="007E68BC"/>
    <w:rsid w:val="007F0DC3"/>
    <w:rsid w:val="007F0FCA"/>
    <w:rsid w:val="007F2B1B"/>
    <w:rsid w:val="007F3C83"/>
    <w:rsid w:val="007F4027"/>
    <w:rsid w:val="007F70FC"/>
    <w:rsid w:val="007F7965"/>
    <w:rsid w:val="0080040D"/>
    <w:rsid w:val="008005AE"/>
    <w:rsid w:val="008012D4"/>
    <w:rsid w:val="00801440"/>
    <w:rsid w:val="00805268"/>
    <w:rsid w:val="00820665"/>
    <w:rsid w:val="00820AFF"/>
    <w:rsid w:val="00821633"/>
    <w:rsid w:val="00822072"/>
    <w:rsid w:val="0082276D"/>
    <w:rsid w:val="00830B02"/>
    <w:rsid w:val="00830B74"/>
    <w:rsid w:val="00831871"/>
    <w:rsid w:val="008318F2"/>
    <w:rsid w:val="00833373"/>
    <w:rsid w:val="00834911"/>
    <w:rsid w:val="00834B4E"/>
    <w:rsid w:val="00834BB5"/>
    <w:rsid w:val="00836DC0"/>
    <w:rsid w:val="0084133B"/>
    <w:rsid w:val="008427DA"/>
    <w:rsid w:val="008454A6"/>
    <w:rsid w:val="00846372"/>
    <w:rsid w:val="00846D2A"/>
    <w:rsid w:val="00853782"/>
    <w:rsid w:val="00856036"/>
    <w:rsid w:val="008567CD"/>
    <w:rsid w:val="00856DAD"/>
    <w:rsid w:val="008577F3"/>
    <w:rsid w:val="0086642C"/>
    <w:rsid w:val="00872C65"/>
    <w:rsid w:val="00873307"/>
    <w:rsid w:val="0087510D"/>
    <w:rsid w:val="008755B5"/>
    <w:rsid w:val="00876A65"/>
    <w:rsid w:val="008801B3"/>
    <w:rsid w:val="00880CD8"/>
    <w:rsid w:val="0088247E"/>
    <w:rsid w:val="00882AFC"/>
    <w:rsid w:val="008871D5"/>
    <w:rsid w:val="00887A41"/>
    <w:rsid w:val="008904D9"/>
    <w:rsid w:val="00893960"/>
    <w:rsid w:val="008A0BDF"/>
    <w:rsid w:val="008A1814"/>
    <w:rsid w:val="008A2B6D"/>
    <w:rsid w:val="008A4C81"/>
    <w:rsid w:val="008A6951"/>
    <w:rsid w:val="008A7BB3"/>
    <w:rsid w:val="008B037C"/>
    <w:rsid w:val="008B2054"/>
    <w:rsid w:val="008B3588"/>
    <w:rsid w:val="008B4D50"/>
    <w:rsid w:val="008B5F1C"/>
    <w:rsid w:val="008B65B5"/>
    <w:rsid w:val="008C0735"/>
    <w:rsid w:val="008C2B40"/>
    <w:rsid w:val="008C308E"/>
    <w:rsid w:val="008C4ECA"/>
    <w:rsid w:val="008C5076"/>
    <w:rsid w:val="008C58D4"/>
    <w:rsid w:val="008C5F0C"/>
    <w:rsid w:val="008D1BA6"/>
    <w:rsid w:val="008D1C30"/>
    <w:rsid w:val="008D22CC"/>
    <w:rsid w:val="008D41AC"/>
    <w:rsid w:val="008D5612"/>
    <w:rsid w:val="008D59DB"/>
    <w:rsid w:val="008D6BCF"/>
    <w:rsid w:val="008D7431"/>
    <w:rsid w:val="008D79F8"/>
    <w:rsid w:val="008E033D"/>
    <w:rsid w:val="008E1637"/>
    <w:rsid w:val="008E1C13"/>
    <w:rsid w:val="008E30B0"/>
    <w:rsid w:val="008E41C3"/>
    <w:rsid w:val="008E7117"/>
    <w:rsid w:val="008F03C2"/>
    <w:rsid w:val="008F1097"/>
    <w:rsid w:val="008F4F02"/>
    <w:rsid w:val="008F71A3"/>
    <w:rsid w:val="008F7DBC"/>
    <w:rsid w:val="00900E1B"/>
    <w:rsid w:val="00900E71"/>
    <w:rsid w:val="009032A7"/>
    <w:rsid w:val="009054FE"/>
    <w:rsid w:val="00905BB9"/>
    <w:rsid w:val="0091175B"/>
    <w:rsid w:val="00914B14"/>
    <w:rsid w:val="00917BDE"/>
    <w:rsid w:val="00922A85"/>
    <w:rsid w:val="00923750"/>
    <w:rsid w:val="009302E7"/>
    <w:rsid w:val="00930C63"/>
    <w:rsid w:val="00933B9C"/>
    <w:rsid w:val="00937664"/>
    <w:rsid w:val="00941849"/>
    <w:rsid w:val="00941F42"/>
    <w:rsid w:val="009434DC"/>
    <w:rsid w:val="00943D3D"/>
    <w:rsid w:val="009443A4"/>
    <w:rsid w:val="00951323"/>
    <w:rsid w:val="00953935"/>
    <w:rsid w:val="00955813"/>
    <w:rsid w:val="00957357"/>
    <w:rsid w:val="00961F18"/>
    <w:rsid w:val="0096283F"/>
    <w:rsid w:val="00965E6F"/>
    <w:rsid w:val="009678CE"/>
    <w:rsid w:val="00971334"/>
    <w:rsid w:val="00971637"/>
    <w:rsid w:val="00971803"/>
    <w:rsid w:val="00971EC2"/>
    <w:rsid w:val="00977E04"/>
    <w:rsid w:val="00980588"/>
    <w:rsid w:val="00980E02"/>
    <w:rsid w:val="00983194"/>
    <w:rsid w:val="00987885"/>
    <w:rsid w:val="00991A43"/>
    <w:rsid w:val="00992F54"/>
    <w:rsid w:val="00994EDD"/>
    <w:rsid w:val="00995642"/>
    <w:rsid w:val="00995995"/>
    <w:rsid w:val="009A0718"/>
    <w:rsid w:val="009A0CC6"/>
    <w:rsid w:val="009A69F5"/>
    <w:rsid w:val="009B5A68"/>
    <w:rsid w:val="009B650B"/>
    <w:rsid w:val="009C0527"/>
    <w:rsid w:val="009C15A3"/>
    <w:rsid w:val="009C1673"/>
    <w:rsid w:val="009C45F1"/>
    <w:rsid w:val="009C4C2C"/>
    <w:rsid w:val="009C559A"/>
    <w:rsid w:val="009C7ABA"/>
    <w:rsid w:val="009D020C"/>
    <w:rsid w:val="009D1049"/>
    <w:rsid w:val="009D2320"/>
    <w:rsid w:val="009D50EA"/>
    <w:rsid w:val="009D5362"/>
    <w:rsid w:val="009D605B"/>
    <w:rsid w:val="009D69F6"/>
    <w:rsid w:val="009D7898"/>
    <w:rsid w:val="009E0B47"/>
    <w:rsid w:val="009E2ADC"/>
    <w:rsid w:val="009E38D8"/>
    <w:rsid w:val="009E3FCF"/>
    <w:rsid w:val="009F6E38"/>
    <w:rsid w:val="00A04258"/>
    <w:rsid w:val="00A044E8"/>
    <w:rsid w:val="00A067A4"/>
    <w:rsid w:val="00A07261"/>
    <w:rsid w:val="00A07805"/>
    <w:rsid w:val="00A12C34"/>
    <w:rsid w:val="00A16682"/>
    <w:rsid w:val="00A1695D"/>
    <w:rsid w:val="00A16DF6"/>
    <w:rsid w:val="00A1731B"/>
    <w:rsid w:val="00A21788"/>
    <w:rsid w:val="00A23B7A"/>
    <w:rsid w:val="00A3033E"/>
    <w:rsid w:val="00A3088F"/>
    <w:rsid w:val="00A30EDD"/>
    <w:rsid w:val="00A33666"/>
    <w:rsid w:val="00A33D55"/>
    <w:rsid w:val="00A35698"/>
    <w:rsid w:val="00A37715"/>
    <w:rsid w:val="00A41BA0"/>
    <w:rsid w:val="00A425F1"/>
    <w:rsid w:val="00A43538"/>
    <w:rsid w:val="00A4519D"/>
    <w:rsid w:val="00A46652"/>
    <w:rsid w:val="00A47626"/>
    <w:rsid w:val="00A54D30"/>
    <w:rsid w:val="00A5588D"/>
    <w:rsid w:val="00A56182"/>
    <w:rsid w:val="00A56CD2"/>
    <w:rsid w:val="00A62209"/>
    <w:rsid w:val="00A63C09"/>
    <w:rsid w:val="00A64182"/>
    <w:rsid w:val="00A64D44"/>
    <w:rsid w:val="00A65290"/>
    <w:rsid w:val="00A70A61"/>
    <w:rsid w:val="00A720EB"/>
    <w:rsid w:val="00A84E2C"/>
    <w:rsid w:val="00A86DCA"/>
    <w:rsid w:val="00A87895"/>
    <w:rsid w:val="00A87F9D"/>
    <w:rsid w:val="00A90B5A"/>
    <w:rsid w:val="00A920FC"/>
    <w:rsid w:val="00A923AC"/>
    <w:rsid w:val="00A94E8D"/>
    <w:rsid w:val="00A95608"/>
    <w:rsid w:val="00AA0E04"/>
    <w:rsid w:val="00AA1635"/>
    <w:rsid w:val="00AA75E5"/>
    <w:rsid w:val="00AB073F"/>
    <w:rsid w:val="00AC34D3"/>
    <w:rsid w:val="00AC5065"/>
    <w:rsid w:val="00AC645B"/>
    <w:rsid w:val="00AC67A5"/>
    <w:rsid w:val="00AC6BEE"/>
    <w:rsid w:val="00AC7455"/>
    <w:rsid w:val="00AD02A7"/>
    <w:rsid w:val="00AD26BA"/>
    <w:rsid w:val="00AD3103"/>
    <w:rsid w:val="00AD54AC"/>
    <w:rsid w:val="00AE0159"/>
    <w:rsid w:val="00AE0A61"/>
    <w:rsid w:val="00AE2061"/>
    <w:rsid w:val="00AE48CD"/>
    <w:rsid w:val="00AE652B"/>
    <w:rsid w:val="00AF0CEF"/>
    <w:rsid w:val="00AF0D34"/>
    <w:rsid w:val="00AF0EEF"/>
    <w:rsid w:val="00AF1198"/>
    <w:rsid w:val="00AF3992"/>
    <w:rsid w:val="00AF6125"/>
    <w:rsid w:val="00AF695A"/>
    <w:rsid w:val="00AF7DE2"/>
    <w:rsid w:val="00B019BD"/>
    <w:rsid w:val="00B01A58"/>
    <w:rsid w:val="00B02CB1"/>
    <w:rsid w:val="00B068B7"/>
    <w:rsid w:val="00B07D4B"/>
    <w:rsid w:val="00B1090C"/>
    <w:rsid w:val="00B112BE"/>
    <w:rsid w:val="00B11AF8"/>
    <w:rsid w:val="00B1234E"/>
    <w:rsid w:val="00B13FF1"/>
    <w:rsid w:val="00B14E5D"/>
    <w:rsid w:val="00B15B39"/>
    <w:rsid w:val="00B170AE"/>
    <w:rsid w:val="00B2127D"/>
    <w:rsid w:val="00B218C1"/>
    <w:rsid w:val="00B21C1E"/>
    <w:rsid w:val="00B2405E"/>
    <w:rsid w:val="00B27320"/>
    <w:rsid w:val="00B27734"/>
    <w:rsid w:val="00B32105"/>
    <w:rsid w:val="00B330F3"/>
    <w:rsid w:val="00B403E7"/>
    <w:rsid w:val="00B4482B"/>
    <w:rsid w:val="00B44EAC"/>
    <w:rsid w:val="00B454F0"/>
    <w:rsid w:val="00B509B3"/>
    <w:rsid w:val="00B53B87"/>
    <w:rsid w:val="00B5503D"/>
    <w:rsid w:val="00B56272"/>
    <w:rsid w:val="00B57951"/>
    <w:rsid w:val="00B57C08"/>
    <w:rsid w:val="00B6070A"/>
    <w:rsid w:val="00B63880"/>
    <w:rsid w:val="00B63FDB"/>
    <w:rsid w:val="00B643CB"/>
    <w:rsid w:val="00B756E6"/>
    <w:rsid w:val="00B80D35"/>
    <w:rsid w:val="00B82965"/>
    <w:rsid w:val="00B83348"/>
    <w:rsid w:val="00B85071"/>
    <w:rsid w:val="00B850F6"/>
    <w:rsid w:val="00B85E75"/>
    <w:rsid w:val="00B90378"/>
    <w:rsid w:val="00B90ED4"/>
    <w:rsid w:val="00B91BD2"/>
    <w:rsid w:val="00B91DD4"/>
    <w:rsid w:val="00B9376B"/>
    <w:rsid w:val="00B93CDE"/>
    <w:rsid w:val="00B95D3F"/>
    <w:rsid w:val="00B96857"/>
    <w:rsid w:val="00B9729E"/>
    <w:rsid w:val="00BA2C0F"/>
    <w:rsid w:val="00BA4A10"/>
    <w:rsid w:val="00BA73F7"/>
    <w:rsid w:val="00BA7F44"/>
    <w:rsid w:val="00BB1B02"/>
    <w:rsid w:val="00BB466C"/>
    <w:rsid w:val="00BB5728"/>
    <w:rsid w:val="00BB6AFC"/>
    <w:rsid w:val="00BC11A6"/>
    <w:rsid w:val="00BC2983"/>
    <w:rsid w:val="00BC4E64"/>
    <w:rsid w:val="00BC563A"/>
    <w:rsid w:val="00BC6E57"/>
    <w:rsid w:val="00BD12DB"/>
    <w:rsid w:val="00BD13E5"/>
    <w:rsid w:val="00BD3747"/>
    <w:rsid w:val="00BD3B68"/>
    <w:rsid w:val="00BD4F4D"/>
    <w:rsid w:val="00BD6C2E"/>
    <w:rsid w:val="00BD75BC"/>
    <w:rsid w:val="00BE0BF0"/>
    <w:rsid w:val="00BE172D"/>
    <w:rsid w:val="00BE1DB7"/>
    <w:rsid w:val="00BE4A38"/>
    <w:rsid w:val="00BE5F67"/>
    <w:rsid w:val="00BE65CE"/>
    <w:rsid w:val="00BE660C"/>
    <w:rsid w:val="00BF0025"/>
    <w:rsid w:val="00BF2157"/>
    <w:rsid w:val="00BF239D"/>
    <w:rsid w:val="00BF284E"/>
    <w:rsid w:val="00BF40F1"/>
    <w:rsid w:val="00BF5D5B"/>
    <w:rsid w:val="00BF6104"/>
    <w:rsid w:val="00BF7BA2"/>
    <w:rsid w:val="00C04099"/>
    <w:rsid w:val="00C04D3A"/>
    <w:rsid w:val="00C04D71"/>
    <w:rsid w:val="00C07D79"/>
    <w:rsid w:val="00C11D7F"/>
    <w:rsid w:val="00C13CAC"/>
    <w:rsid w:val="00C158A0"/>
    <w:rsid w:val="00C20CD9"/>
    <w:rsid w:val="00C21058"/>
    <w:rsid w:val="00C22074"/>
    <w:rsid w:val="00C24B43"/>
    <w:rsid w:val="00C26C79"/>
    <w:rsid w:val="00C27468"/>
    <w:rsid w:val="00C3100F"/>
    <w:rsid w:val="00C320F6"/>
    <w:rsid w:val="00C3217D"/>
    <w:rsid w:val="00C32D45"/>
    <w:rsid w:val="00C33F74"/>
    <w:rsid w:val="00C355DB"/>
    <w:rsid w:val="00C445CD"/>
    <w:rsid w:val="00C45FB1"/>
    <w:rsid w:val="00C53E90"/>
    <w:rsid w:val="00C558B9"/>
    <w:rsid w:val="00C5597B"/>
    <w:rsid w:val="00C5795C"/>
    <w:rsid w:val="00C60CA7"/>
    <w:rsid w:val="00C633A6"/>
    <w:rsid w:val="00C647D9"/>
    <w:rsid w:val="00C720B7"/>
    <w:rsid w:val="00C7223A"/>
    <w:rsid w:val="00C728A6"/>
    <w:rsid w:val="00C73387"/>
    <w:rsid w:val="00C76979"/>
    <w:rsid w:val="00C7712A"/>
    <w:rsid w:val="00C803B7"/>
    <w:rsid w:val="00C80620"/>
    <w:rsid w:val="00C84A4E"/>
    <w:rsid w:val="00C8571E"/>
    <w:rsid w:val="00C85B32"/>
    <w:rsid w:val="00C87CF8"/>
    <w:rsid w:val="00C90D21"/>
    <w:rsid w:val="00C919C6"/>
    <w:rsid w:val="00C91B45"/>
    <w:rsid w:val="00C92254"/>
    <w:rsid w:val="00C9421C"/>
    <w:rsid w:val="00CA4749"/>
    <w:rsid w:val="00CA4AED"/>
    <w:rsid w:val="00CA6B74"/>
    <w:rsid w:val="00CA72BC"/>
    <w:rsid w:val="00CA7B52"/>
    <w:rsid w:val="00CB2FD1"/>
    <w:rsid w:val="00CB5AE4"/>
    <w:rsid w:val="00CB6810"/>
    <w:rsid w:val="00CB6CE8"/>
    <w:rsid w:val="00CB6D43"/>
    <w:rsid w:val="00CB72C1"/>
    <w:rsid w:val="00CC0210"/>
    <w:rsid w:val="00CC2241"/>
    <w:rsid w:val="00CC2AFC"/>
    <w:rsid w:val="00CC2E77"/>
    <w:rsid w:val="00CC4E05"/>
    <w:rsid w:val="00CC5366"/>
    <w:rsid w:val="00CD08D2"/>
    <w:rsid w:val="00CD1287"/>
    <w:rsid w:val="00CD19A1"/>
    <w:rsid w:val="00CD227E"/>
    <w:rsid w:val="00CD3F32"/>
    <w:rsid w:val="00CD446B"/>
    <w:rsid w:val="00CD55C0"/>
    <w:rsid w:val="00CD66AE"/>
    <w:rsid w:val="00CE05A4"/>
    <w:rsid w:val="00CE05D4"/>
    <w:rsid w:val="00CE0AA0"/>
    <w:rsid w:val="00CE25C0"/>
    <w:rsid w:val="00CE50DD"/>
    <w:rsid w:val="00CE513C"/>
    <w:rsid w:val="00CE5874"/>
    <w:rsid w:val="00CE5E33"/>
    <w:rsid w:val="00CE64A6"/>
    <w:rsid w:val="00CE6B0A"/>
    <w:rsid w:val="00CF12CF"/>
    <w:rsid w:val="00CF1AA6"/>
    <w:rsid w:val="00CF51A7"/>
    <w:rsid w:val="00CF62DD"/>
    <w:rsid w:val="00CF6DE1"/>
    <w:rsid w:val="00D01C1B"/>
    <w:rsid w:val="00D02766"/>
    <w:rsid w:val="00D133DA"/>
    <w:rsid w:val="00D13C46"/>
    <w:rsid w:val="00D16324"/>
    <w:rsid w:val="00D174BE"/>
    <w:rsid w:val="00D17711"/>
    <w:rsid w:val="00D24F71"/>
    <w:rsid w:val="00D253C2"/>
    <w:rsid w:val="00D26404"/>
    <w:rsid w:val="00D26FC6"/>
    <w:rsid w:val="00D3153B"/>
    <w:rsid w:val="00D31824"/>
    <w:rsid w:val="00D32BE2"/>
    <w:rsid w:val="00D348AF"/>
    <w:rsid w:val="00D3554C"/>
    <w:rsid w:val="00D357B1"/>
    <w:rsid w:val="00D361E0"/>
    <w:rsid w:val="00D365B5"/>
    <w:rsid w:val="00D415EE"/>
    <w:rsid w:val="00D43939"/>
    <w:rsid w:val="00D43C2E"/>
    <w:rsid w:val="00D511D2"/>
    <w:rsid w:val="00D51BBA"/>
    <w:rsid w:val="00D51C78"/>
    <w:rsid w:val="00D52553"/>
    <w:rsid w:val="00D525C8"/>
    <w:rsid w:val="00D567C9"/>
    <w:rsid w:val="00D61DA6"/>
    <w:rsid w:val="00D63B85"/>
    <w:rsid w:val="00D668F7"/>
    <w:rsid w:val="00D703DB"/>
    <w:rsid w:val="00D7109C"/>
    <w:rsid w:val="00D714A5"/>
    <w:rsid w:val="00D71742"/>
    <w:rsid w:val="00D71E2B"/>
    <w:rsid w:val="00D72C37"/>
    <w:rsid w:val="00D73ED5"/>
    <w:rsid w:val="00D77E86"/>
    <w:rsid w:val="00D80C46"/>
    <w:rsid w:val="00D85285"/>
    <w:rsid w:val="00D858CD"/>
    <w:rsid w:val="00D87291"/>
    <w:rsid w:val="00D877C9"/>
    <w:rsid w:val="00D90AB1"/>
    <w:rsid w:val="00D91286"/>
    <w:rsid w:val="00D9236A"/>
    <w:rsid w:val="00D923F7"/>
    <w:rsid w:val="00D9357D"/>
    <w:rsid w:val="00D94690"/>
    <w:rsid w:val="00D96D23"/>
    <w:rsid w:val="00DA37D9"/>
    <w:rsid w:val="00DA3CF3"/>
    <w:rsid w:val="00DA7DAF"/>
    <w:rsid w:val="00DB1F58"/>
    <w:rsid w:val="00DB4120"/>
    <w:rsid w:val="00DB5991"/>
    <w:rsid w:val="00DB5F4B"/>
    <w:rsid w:val="00DB69A8"/>
    <w:rsid w:val="00DB6B09"/>
    <w:rsid w:val="00DD093B"/>
    <w:rsid w:val="00DD0A99"/>
    <w:rsid w:val="00DD2ED9"/>
    <w:rsid w:val="00DD3B4F"/>
    <w:rsid w:val="00DD6CC0"/>
    <w:rsid w:val="00DD794F"/>
    <w:rsid w:val="00DD7F00"/>
    <w:rsid w:val="00DE225B"/>
    <w:rsid w:val="00DE4127"/>
    <w:rsid w:val="00DE57EF"/>
    <w:rsid w:val="00DE59F7"/>
    <w:rsid w:val="00DF7425"/>
    <w:rsid w:val="00E01BD5"/>
    <w:rsid w:val="00E032C1"/>
    <w:rsid w:val="00E03ABA"/>
    <w:rsid w:val="00E04923"/>
    <w:rsid w:val="00E105DE"/>
    <w:rsid w:val="00E11249"/>
    <w:rsid w:val="00E124CB"/>
    <w:rsid w:val="00E14CA7"/>
    <w:rsid w:val="00E15579"/>
    <w:rsid w:val="00E1610B"/>
    <w:rsid w:val="00E1763F"/>
    <w:rsid w:val="00E23BE9"/>
    <w:rsid w:val="00E23D3E"/>
    <w:rsid w:val="00E3059C"/>
    <w:rsid w:val="00E337B9"/>
    <w:rsid w:val="00E34C39"/>
    <w:rsid w:val="00E41696"/>
    <w:rsid w:val="00E43D4E"/>
    <w:rsid w:val="00E44029"/>
    <w:rsid w:val="00E45B64"/>
    <w:rsid w:val="00E473E9"/>
    <w:rsid w:val="00E53118"/>
    <w:rsid w:val="00E55999"/>
    <w:rsid w:val="00E61929"/>
    <w:rsid w:val="00E626B3"/>
    <w:rsid w:val="00E635BE"/>
    <w:rsid w:val="00E65EED"/>
    <w:rsid w:val="00E73E16"/>
    <w:rsid w:val="00E76E69"/>
    <w:rsid w:val="00E76F49"/>
    <w:rsid w:val="00E77600"/>
    <w:rsid w:val="00E8283C"/>
    <w:rsid w:val="00E841FF"/>
    <w:rsid w:val="00E857A8"/>
    <w:rsid w:val="00E86CEA"/>
    <w:rsid w:val="00E87B39"/>
    <w:rsid w:val="00E90113"/>
    <w:rsid w:val="00E90D19"/>
    <w:rsid w:val="00E94C77"/>
    <w:rsid w:val="00E95A5A"/>
    <w:rsid w:val="00E95DC0"/>
    <w:rsid w:val="00EA34A3"/>
    <w:rsid w:val="00EA451E"/>
    <w:rsid w:val="00EA7892"/>
    <w:rsid w:val="00EB35BD"/>
    <w:rsid w:val="00EB660D"/>
    <w:rsid w:val="00EB7C4D"/>
    <w:rsid w:val="00EC5793"/>
    <w:rsid w:val="00ED0CEF"/>
    <w:rsid w:val="00ED3230"/>
    <w:rsid w:val="00ED385B"/>
    <w:rsid w:val="00ED4F0A"/>
    <w:rsid w:val="00EE0C7F"/>
    <w:rsid w:val="00EE44C9"/>
    <w:rsid w:val="00EF0F01"/>
    <w:rsid w:val="00EF2310"/>
    <w:rsid w:val="00EF3E1A"/>
    <w:rsid w:val="00EF475E"/>
    <w:rsid w:val="00EF5B06"/>
    <w:rsid w:val="00EF5BD4"/>
    <w:rsid w:val="00EF5E3F"/>
    <w:rsid w:val="00EF72F8"/>
    <w:rsid w:val="00EF79D2"/>
    <w:rsid w:val="00EF7C96"/>
    <w:rsid w:val="00F03356"/>
    <w:rsid w:val="00F04B82"/>
    <w:rsid w:val="00F05840"/>
    <w:rsid w:val="00F05C43"/>
    <w:rsid w:val="00F06881"/>
    <w:rsid w:val="00F06E7B"/>
    <w:rsid w:val="00F102DF"/>
    <w:rsid w:val="00F1031E"/>
    <w:rsid w:val="00F127C2"/>
    <w:rsid w:val="00F14189"/>
    <w:rsid w:val="00F15CA9"/>
    <w:rsid w:val="00F201C2"/>
    <w:rsid w:val="00F20740"/>
    <w:rsid w:val="00F209B3"/>
    <w:rsid w:val="00F23382"/>
    <w:rsid w:val="00F24281"/>
    <w:rsid w:val="00F25A54"/>
    <w:rsid w:val="00F30303"/>
    <w:rsid w:val="00F32DA0"/>
    <w:rsid w:val="00F338D2"/>
    <w:rsid w:val="00F3474B"/>
    <w:rsid w:val="00F3517B"/>
    <w:rsid w:val="00F35D2B"/>
    <w:rsid w:val="00F3696C"/>
    <w:rsid w:val="00F37266"/>
    <w:rsid w:val="00F37712"/>
    <w:rsid w:val="00F40253"/>
    <w:rsid w:val="00F402B5"/>
    <w:rsid w:val="00F41C75"/>
    <w:rsid w:val="00F438F4"/>
    <w:rsid w:val="00F464E7"/>
    <w:rsid w:val="00F46623"/>
    <w:rsid w:val="00F50D57"/>
    <w:rsid w:val="00F51F47"/>
    <w:rsid w:val="00F52802"/>
    <w:rsid w:val="00F531FC"/>
    <w:rsid w:val="00F55D15"/>
    <w:rsid w:val="00F56469"/>
    <w:rsid w:val="00F6098A"/>
    <w:rsid w:val="00F67E3D"/>
    <w:rsid w:val="00F71168"/>
    <w:rsid w:val="00F71F6D"/>
    <w:rsid w:val="00F7227A"/>
    <w:rsid w:val="00F73B6F"/>
    <w:rsid w:val="00F74BD1"/>
    <w:rsid w:val="00F76002"/>
    <w:rsid w:val="00F76FF6"/>
    <w:rsid w:val="00F8032F"/>
    <w:rsid w:val="00F84AFE"/>
    <w:rsid w:val="00F859B3"/>
    <w:rsid w:val="00F867FC"/>
    <w:rsid w:val="00F9077D"/>
    <w:rsid w:val="00F907D6"/>
    <w:rsid w:val="00F937F5"/>
    <w:rsid w:val="00F94679"/>
    <w:rsid w:val="00F95545"/>
    <w:rsid w:val="00FA0B0F"/>
    <w:rsid w:val="00FA47E5"/>
    <w:rsid w:val="00FA5219"/>
    <w:rsid w:val="00FB4245"/>
    <w:rsid w:val="00FB5630"/>
    <w:rsid w:val="00FC4032"/>
    <w:rsid w:val="00FC4F59"/>
    <w:rsid w:val="00FC6CD4"/>
    <w:rsid w:val="00FC77B0"/>
    <w:rsid w:val="00FD7AE1"/>
    <w:rsid w:val="00FD7C6B"/>
    <w:rsid w:val="00FE35BE"/>
    <w:rsid w:val="00FF0163"/>
    <w:rsid w:val="00FF29E6"/>
    <w:rsid w:val="00FF4F0B"/>
    <w:rsid w:val="00FF6F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CB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rsid w:val="00031333"/>
    <w:pPr>
      <w:keepNext/>
      <w:numPr>
        <w:numId w:val="4"/>
      </w:numPr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9"/>
    <w:qFormat/>
    <w:rsid w:val="00031333"/>
    <w:pPr>
      <w:numPr>
        <w:ilvl w:val="1"/>
        <w:numId w:val="4"/>
      </w:num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9"/>
    <w:qFormat/>
    <w:rsid w:val="00031333"/>
    <w:pPr>
      <w:keepNext/>
      <w:numPr>
        <w:ilvl w:val="2"/>
        <w:numId w:val="4"/>
      </w:numPr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rsid w:val="00031333"/>
    <w:pPr>
      <w:numPr>
        <w:ilvl w:val="3"/>
        <w:numId w:val="4"/>
      </w:num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1333"/>
    <w:pPr>
      <w:numPr>
        <w:ilvl w:val="4"/>
        <w:numId w:val="4"/>
      </w:numPr>
      <w:tabs>
        <w:tab w:val="num" w:pos="3240"/>
      </w:tabs>
      <w:autoSpaceDE/>
      <w:autoSpaceDN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1333"/>
    <w:pPr>
      <w:numPr>
        <w:ilvl w:val="5"/>
        <w:numId w:val="4"/>
      </w:numPr>
      <w:tabs>
        <w:tab w:val="num" w:pos="3960"/>
      </w:tabs>
      <w:autoSpaceDE/>
      <w:autoSpaceDN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1333"/>
    <w:pPr>
      <w:numPr>
        <w:ilvl w:val="6"/>
        <w:numId w:val="4"/>
      </w:numPr>
      <w:tabs>
        <w:tab w:val="num" w:pos="4680"/>
      </w:tabs>
      <w:autoSpaceDE/>
      <w:autoSpaceDN/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1333"/>
    <w:pPr>
      <w:numPr>
        <w:ilvl w:val="7"/>
        <w:numId w:val="4"/>
      </w:numPr>
      <w:tabs>
        <w:tab w:val="num" w:pos="5400"/>
      </w:tabs>
      <w:autoSpaceDE/>
      <w:autoSpaceDN/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1333"/>
    <w:pPr>
      <w:numPr>
        <w:ilvl w:val="8"/>
        <w:numId w:val="4"/>
      </w:numPr>
      <w:tabs>
        <w:tab w:val="num" w:pos="6120"/>
      </w:tabs>
      <w:autoSpaceDE/>
      <w:autoSpaceDN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Čo robí (časť) Char"/>
    <w:link w:val="Heading1"/>
    <w:uiPriority w:val="99"/>
    <w:locked/>
    <w:rsid w:val="00031333"/>
    <w:rPr>
      <w:b/>
      <w:kern w:val="32"/>
      <w:sz w:val="28"/>
      <w:lang w:val="sk-SK" w:eastAsia="sk-SK"/>
    </w:rPr>
  </w:style>
  <w:style w:type="character" w:customStyle="1" w:styleId="Heading2Char">
    <w:name w:val="Heading 2 Char"/>
    <w:aliases w:val="Úloha Char"/>
    <w:link w:val="Heading2"/>
    <w:uiPriority w:val="99"/>
    <w:locked/>
    <w:rsid w:val="00031333"/>
    <w:rPr>
      <w:sz w:val="24"/>
      <w:lang w:val="sk-SK" w:eastAsia="sk-SK"/>
    </w:rPr>
  </w:style>
  <w:style w:type="character" w:customStyle="1" w:styleId="Heading3Char">
    <w:name w:val="Heading 3 Char"/>
    <w:aliases w:val="Podúloha Char"/>
    <w:link w:val="Heading3"/>
    <w:uiPriority w:val="99"/>
    <w:locked/>
    <w:rsid w:val="00031333"/>
    <w:rPr>
      <w:sz w:val="24"/>
      <w:lang w:val="sk-SK" w:eastAsia="sk-SK"/>
    </w:rPr>
  </w:style>
  <w:style w:type="character" w:customStyle="1" w:styleId="Heading4Char">
    <w:name w:val="Heading 4 Char"/>
    <w:aliases w:val="Termín Char"/>
    <w:link w:val="Heading4"/>
    <w:uiPriority w:val="99"/>
    <w:locked/>
    <w:rsid w:val="00031333"/>
    <w:rPr>
      <w:i/>
      <w:sz w:val="24"/>
      <w:lang w:val="sk-SK" w:eastAsia="sk-SK"/>
    </w:rPr>
  </w:style>
  <w:style w:type="character" w:customStyle="1" w:styleId="Heading5Char">
    <w:name w:val="Heading 5 Char"/>
    <w:link w:val="Heading5"/>
    <w:uiPriority w:val="99"/>
    <w:locked/>
    <w:rsid w:val="00031333"/>
    <w:rPr>
      <w:b/>
      <w:i/>
      <w:sz w:val="26"/>
      <w:lang w:val="sk-SK" w:eastAsia="sk-SK"/>
    </w:rPr>
  </w:style>
  <w:style w:type="character" w:customStyle="1" w:styleId="Heading6Char">
    <w:name w:val="Heading 6 Char"/>
    <w:link w:val="Heading6"/>
    <w:uiPriority w:val="99"/>
    <w:locked/>
    <w:rsid w:val="00031333"/>
    <w:rPr>
      <w:b/>
      <w:sz w:val="22"/>
      <w:lang w:val="sk-SK" w:eastAsia="sk-SK"/>
    </w:rPr>
  </w:style>
  <w:style w:type="character" w:customStyle="1" w:styleId="Heading7Char">
    <w:name w:val="Heading 7 Char"/>
    <w:link w:val="Heading7"/>
    <w:uiPriority w:val="99"/>
    <w:locked/>
    <w:rsid w:val="00031333"/>
    <w:rPr>
      <w:sz w:val="24"/>
      <w:lang w:val="sk-SK" w:eastAsia="sk-SK"/>
    </w:rPr>
  </w:style>
  <w:style w:type="character" w:customStyle="1" w:styleId="Heading8Char">
    <w:name w:val="Heading 8 Char"/>
    <w:link w:val="Heading8"/>
    <w:uiPriority w:val="99"/>
    <w:locked/>
    <w:rsid w:val="00031333"/>
    <w:rPr>
      <w:i/>
      <w:sz w:val="24"/>
      <w:lang w:val="sk-SK" w:eastAsia="sk-SK"/>
    </w:rPr>
  </w:style>
  <w:style w:type="character" w:customStyle="1" w:styleId="Heading9Char">
    <w:name w:val="Heading 9 Char"/>
    <w:link w:val="Heading9"/>
    <w:uiPriority w:val="99"/>
    <w:locked/>
    <w:rsid w:val="00031333"/>
    <w:rPr>
      <w:rFonts w:ascii="Arial" w:hAnsi="Arial" w:cs="Arial"/>
      <w:sz w:val="22"/>
      <w:lang w:val="sk-SK" w:eastAsia="sk-SK"/>
    </w:rPr>
  </w:style>
  <w:style w:type="paragraph" w:styleId="BodyTextIndent">
    <w:name w:val="Body Text Indent"/>
    <w:basedOn w:val="Normal"/>
    <w:link w:val="BodyTextIndentChar"/>
    <w:uiPriority w:val="99"/>
    <w:rsid w:val="00B02CB1"/>
    <w:pPr>
      <w:ind w:firstLine="348"/>
      <w:jc w:val="both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45663"/>
  </w:style>
  <w:style w:type="paragraph" w:styleId="BodyText">
    <w:name w:val="Body Text"/>
    <w:basedOn w:val="Normal"/>
    <w:link w:val="BodyTextChar"/>
    <w:uiPriority w:val="99"/>
    <w:rsid w:val="00B02CB1"/>
    <w:pPr>
      <w:jc w:val="both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sid w:val="00045663"/>
  </w:style>
  <w:style w:type="paragraph" w:styleId="BalloonText">
    <w:name w:val="Balloon Text"/>
    <w:basedOn w:val="Normal"/>
    <w:link w:val="BalloonTextChar"/>
    <w:uiPriority w:val="99"/>
    <w:semiHidden/>
    <w:rsid w:val="00023CE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45663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545EFA"/>
    <w:pPr>
      <w:ind w:left="708"/>
      <w:jc w:val="left"/>
    </w:pPr>
  </w:style>
  <w:style w:type="character" w:customStyle="1" w:styleId="FontStyle11">
    <w:name w:val="Font Style11"/>
    <w:uiPriority w:val="99"/>
    <w:rsid w:val="00D714A5"/>
    <w:rPr>
      <w:rFonts w:ascii="Times New Roman" w:hAnsi="Times New Roman" w:cs="Times New Roman"/>
      <w:sz w:val="22"/>
    </w:rPr>
  </w:style>
  <w:style w:type="character" w:styleId="PlaceholderText">
    <w:name w:val="Placeholder Text"/>
    <w:uiPriority w:val="99"/>
    <w:semiHidden/>
    <w:rsid w:val="00D714A5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D7109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D7109C"/>
    <w:rPr>
      <w:lang w:val="sk-SK" w:eastAsia="sk-SK"/>
    </w:rPr>
  </w:style>
  <w:style w:type="paragraph" w:styleId="Footer">
    <w:name w:val="footer"/>
    <w:basedOn w:val="Normal"/>
    <w:link w:val="FooterChar"/>
    <w:uiPriority w:val="99"/>
    <w:rsid w:val="00D7109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D7109C"/>
    <w:rPr>
      <w:lang w:val="sk-SK" w:eastAsia="sk-SK"/>
    </w:rPr>
  </w:style>
  <w:style w:type="paragraph" w:styleId="Title">
    <w:name w:val="Title"/>
    <w:basedOn w:val="Normal"/>
    <w:link w:val="TitleChar"/>
    <w:uiPriority w:val="99"/>
    <w:qFormat/>
    <w:rsid w:val="00F74BD1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F74BD1"/>
    <w:rPr>
      <w:b/>
      <w:sz w:val="24"/>
    </w:rPr>
  </w:style>
  <w:style w:type="paragraph" w:styleId="NormalWeb">
    <w:name w:val="Normal (Web)"/>
    <w:basedOn w:val="Normal"/>
    <w:uiPriority w:val="99"/>
    <w:rsid w:val="00F74BD1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uiPriority w:val="99"/>
    <w:rsid w:val="00BC11A6"/>
    <w:rPr>
      <w:color w:val="0000FF"/>
      <w:u w:val="single"/>
    </w:rPr>
  </w:style>
  <w:style w:type="character" w:styleId="FollowedHyperlink">
    <w:name w:val="FollowedHyperlink"/>
    <w:uiPriority w:val="99"/>
    <w:semiHidden/>
    <w:rsid w:val="00C45FB1"/>
    <w:rPr>
      <w:color w:val="800080"/>
      <w:u w:val="single"/>
    </w:rPr>
  </w:style>
  <w:style w:type="paragraph" w:customStyle="1" w:styleId="HBBody1">
    <w:name w:val="HB Body 1"/>
    <w:uiPriority w:val="99"/>
    <w:rsid w:val="003546C4"/>
    <w:pPr>
      <w:framePr w:wrap="auto"/>
      <w:widowControl/>
      <w:numPr>
        <w:numId w:val="5"/>
      </w:numPr>
      <w:tabs>
        <w:tab w:val="num" w:pos="0"/>
      </w:tabs>
      <w:autoSpaceDE/>
      <w:autoSpaceDN/>
      <w:adjustRightInd/>
      <w:spacing w:after="140" w:line="290" w:lineRule="auto"/>
      <w:ind w:left="0" w:right="0"/>
      <w:jc w:val="both"/>
      <w:textAlignment w:val="auto"/>
    </w:pPr>
    <w:rPr>
      <w:rFonts w:ascii="Verdana" w:hAnsi="Verdana" w:cs="Times New Roman"/>
      <w:sz w:val="18"/>
      <w:szCs w:val="22"/>
      <w:rtl w:val="0"/>
      <w:cs w:val="0"/>
      <w:lang w:val="sk-SK" w:eastAsia="en-US" w:bidi="ar-SA"/>
    </w:rPr>
  </w:style>
  <w:style w:type="paragraph" w:customStyle="1" w:styleId="HBBody2">
    <w:name w:val="HB Body 2"/>
    <w:basedOn w:val="HBBody1"/>
    <w:uiPriority w:val="99"/>
    <w:rsid w:val="003546C4"/>
    <w:pPr>
      <w:numPr>
        <w:ilvl w:val="1"/>
      </w:numPr>
      <w:tabs>
        <w:tab w:val="clear" w:pos="0"/>
        <w:tab w:val="num" w:pos="680"/>
      </w:tabs>
      <w:ind w:left="680"/>
      <w:jc w:val="both"/>
    </w:pPr>
    <w:rPr>
      <w:lang w:val="en-US"/>
    </w:rPr>
  </w:style>
  <w:style w:type="paragraph" w:customStyle="1" w:styleId="HBBody3">
    <w:name w:val="HB Body 3"/>
    <w:basedOn w:val="HBBody1"/>
    <w:uiPriority w:val="99"/>
    <w:rsid w:val="003546C4"/>
    <w:pPr>
      <w:numPr>
        <w:ilvl w:val="2"/>
      </w:numPr>
      <w:tabs>
        <w:tab w:val="clear" w:pos="0"/>
        <w:tab w:val="num" w:pos="1361"/>
      </w:tabs>
      <w:ind w:left="1361"/>
      <w:jc w:val="both"/>
    </w:pPr>
    <w:rPr>
      <w:lang w:val="en-US"/>
    </w:rPr>
  </w:style>
  <w:style w:type="paragraph" w:customStyle="1" w:styleId="HBBody4">
    <w:name w:val="HB Body 4"/>
    <w:basedOn w:val="HBBody1"/>
    <w:uiPriority w:val="99"/>
    <w:rsid w:val="003546C4"/>
    <w:pPr>
      <w:numPr>
        <w:ilvl w:val="3"/>
      </w:numPr>
      <w:tabs>
        <w:tab w:val="clear" w:pos="0"/>
        <w:tab w:val="num" w:pos="2041"/>
      </w:tabs>
      <w:ind w:left="2041"/>
      <w:jc w:val="both"/>
    </w:pPr>
    <w:rPr>
      <w:lang w:val="en-US"/>
    </w:rPr>
  </w:style>
  <w:style w:type="paragraph" w:customStyle="1" w:styleId="HBBody5">
    <w:name w:val="HB Body 5"/>
    <w:basedOn w:val="HBBody1"/>
    <w:uiPriority w:val="99"/>
    <w:rsid w:val="003546C4"/>
    <w:pPr>
      <w:numPr>
        <w:ilvl w:val="4"/>
      </w:numPr>
      <w:tabs>
        <w:tab w:val="clear" w:pos="0"/>
        <w:tab w:val="num" w:pos="2722"/>
      </w:tabs>
      <w:ind w:left="2722"/>
      <w:jc w:val="both"/>
    </w:pPr>
    <w:rPr>
      <w:lang w:val="en-US"/>
    </w:rPr>
  </w:style>
  <w:style w:type="paragraph" w:customStyle="1" w:styleId="HBBody6">
    <w:name w:val="HB Body 6"/>
    <w:basedOn w:val="HBBody1"/>
    <w:uiPriority w:val="99"/>
    <w:rsid w:val="003546C4"/>
    <w:pPr>
      <w:numPr>
        <w:ilvl w:val="5"/>
      </w:numPr>
      <w:tabs>
        <w:tab w:val="clear" w:pos="0"/>
        <w:tab w:val="num" w:pos="3402"/>
      </w:tabs>
      <w:ind w:left="3402"/>
      <w:jc w:val="both"/>
    </w:pPr>
    <w:rPr>
      <w:lang w:val="en-US"/>
    </w:rPr>
  </w:style>
  <w:style w:type="paragraph" w:customStyle="1" w:styleId="HBBody7">
    <w:name w:val="HB Body 7"/>
    <w:basedOn w:val="HBBody1"/>
    <w:uiPriority w:val="99"/>
    <w:rsid w:val="003546C4"/>
    <w:pPr>
      <w:numPr>
        <w:ilvl w:val="6"/>
      </w:numPr>
      <w:tabs>
        <w:tab w:val="clear" w:pos="0"/>
        <w:tab w:val="num" w:pos="4082"/>
      </w:tabs>
      <w:ind w:left="4082"/>
      <w:jc w:val="both"/>
    </w:pPr>
    <w:rPr>
      <w:lang w:val="en-US"/>
    </w:rPr>
  </w:style>
  <w:style w:type="character" w:styleId="FootnoteReference">
    <w:name w:val="footnote reference"/>
    <w:uiPriority w:val="99"/>
    <w:rsid w:val="0064018D"/>
    <w:rPr>
      <w:sz w:val="14"/>
      <w:vertAlign w:val="superscript"/>
    </w:rPr>
  </w:style>
  <w:style w:type="character" w:styleId="PageNumber">
    <w:name w:val="page number"/>
    <w:uiPriority w:val="99"/>
    <w:locked/>
    <w:rsid w:val="003B3E9D"/>
  </w:style>
  <w:style w:type="numbering" w:customStyle="1" w:styleId="HBBodyOutline">
    <w:name w:val="HB Body Outline"/>
    <w:basedOn w:val="NoList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02410-CD7C-4918-A644-38C02C695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36425-9C77-4239-B445-D29148DB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D86EE37-261A-4FF0-A190-D320D2E47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2165</Words>
  <Characters>12346</Characters>
  <Application>Microsoft Office Word</Application>
  <DocSecurity>0</DocSecurity>
  <Lines>0</Lines>
  <Paragraphs>0</Paragraphs>
  <ScaleCrop>false</ScaleCrop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2015-08-28T09:49:00Z</dcterms:created>
  <dcterms:modified xsi:type="dcterms:W3CDTF">2015-08-28T09:49:00Z</dcterms:modified>
</cp:coreProperties>
</file>