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6E47C8" w:rsidRPr="00AE69D0" w:rsidP="00AE69D0">
      <w:pPr>
        <w:bidi w:val="0"/>
        <w:jc w:val="center"/>
        <w:rPr>
          <w:rFonts w:ascii="Calibri" w:hAnsi="Calibri" w:cs="Calibri"/>
          <w:b/>
          <w:sz w:val="28"/>
          <w:szCs w:val="28"/>
        </w:rPr>
      </w:pPr>
      <w:r w:rsidRPr="00AE69D0" w:rsidR="00AE69D0">
        <w:rPr>
          <w:rFonts w:ascii="Calibri" w:hAnsi="Calibri" w:cs="Calibri"/>
          <w:b/>
          <w:sz w:val="28"/>
          <w:szCs w:val="28"/>
        </w:rPr>
        <w:t>D O L O Ž K A</w:t>
      </w:r>
    </w:p>
    <w:p w:rsidR="00DE7926" w:rsidRPr="00532B36" w:rsidP="00DE7926">
      <w:pPr>
        <w:bidi w:val="0"/>
        <w:spacing w:before="120" w:line="300" w:lineRule="exact"/>
        <w:jc w:val="center"/>
        <w:rPr>
          <w:rFonts w:cs="Times New Roman"/>
          <w:b/>
          <w:bCs/>
          <w:color w:val="000000"/>
        </w:rPr>
      </w:pPr>
      <w:r w:rsidRPr="00532B36">
        <w:rPr>
          <w:rFonts w:cs="Times New Roman"/>
          <w:b/>
          <w:bCs/>
          <w:color w:val="000000"/>
        </w:rPr>
        <w:t>vybraných vplyvov</w:t>
      </w:r>
    </w:p>
    <w:p w:rsidR="00DE7926" w:rsidRPr="00532B36" w:rsidP="00DE7926">
      <w:pPr>
        <w:bidi w:val="0"/>
        <w:spacing w:before="120" w:line="300" w:lineRule="exact"/>
        <w:jc w:val="both"/>
        <w:rPr>
          <w:rFonts w:cs="Times New Roman"/>
          <w:color w:val="000000"/>
        </w:rPr>
      </w:pPr>
    </w:p>
    <w:p w:rsidR="00DE7926" w:rsidRPr="00532B36" w:rsidP="00DE7926">
      <w:pPr>
        <w:bidi w:val="0"/>
        <w:jc w:val="both"/>
        <w:rPr>
          <w:rFonts w:cs="Times New Roman"/>
          <w:b/>
          <w:bCs/>
          <w:color w:val="000000"/>
        </w:rPr>
      </w:pPr>
      <w:r w:rsidRPr="00532B36">
        <w:rPr>
          <w:rFonts w:cs="Times New Roman"/>
          <w:b/>
          <w:bCs/>
          <w:color w:val="000000"/>
        </w:rPr>
        <w:t xml:space="preserve">A.1. Názov materiálu: </w:t>
      </w:r>
    </w:p>
    <w:p w:rsidR="00DE7926" w:rsidRPr="00DE7926" w:rsidP="00DE7926">
      <w:pPr>
        <w:bidi w:val="0"/>
        <w:spacing w:after="0" w:line="240" w:lineRule="auto"/>
        <w:jc w:val="both"/>
        <w:rPr>
          <w:rFonts w:cs="Times New Roman"/>
        </w:rPr>
      </w:pPr>
      <w:r w:rsidRPr="00DE7926">
        <w:rPr>
          <w:bCs/>
        </w:rPr>
        <w:t xml:space="preserve">Návrh zákona, ktorým sa mení a dopĺňa zákon č. </w:t>
      </w:r>
      <w:r w:rsidR="005C6819">
        <w:rPr>
          <w:bCs/>
        </w:rPr>
        <w:t>211</w:t>
      </w:r>
      <w:r w:rsidRPr="00DE7926">
        <w:rPr>
          <w:bCs/>
        </w:rPr>
        <w:t>/20</w:t>
      </w:r>
      <w:r w:rsidR="005C6819">
        <w:rPr>
          <w:bCs/>
        </w:rPr>
        <w:t>00</w:t>
      </w:r>
      <w:r w:rsidRPr="00DE7926">
        <w:rPr>
          <w:bCs/>
        </w:rPr>
        <w:t xml:space="preserve"> Z. z. o</w:t>
      </w:r>
      <w:r w:rsidR="005C6819">
        <w:rPr>
          <w:bCs/>
        </w:rPr>
        <w:t>  slobodnom prístupe k informáciám</w:t>
      </w:r>
      <w:r w:rsidRPr="00DE7926">
        <w:rPr>
          <w:bCs/>
        </w:rPr>
        <w:t> o zmene a doplnení niektorých zákonov v znení neskorších predpisov</w:t>
      </w:r>
    </w:p>
    <w:p w:rsidR="00DE7926" w:rsidRPr="00DE7926" w:rsidP="00DE7926">
      <w:pPr>
        <w:bidi w:val="0"/>
        <w:spacing w:before="120" w:line="300" w:lineRule="exact"/>
        <w:jc w:val="both"/>
        <w:rPr>
          <w:rFonts w:cs="Times New Roman"/>
          <w:i/>
          <w:iCs/>
          <w:color w:val="000000"/>
        </w:rPr>
      </w:pPr>
      <w:r w:rsidRPr="00532B36">
        <w:rPr>
          <w:rFonts w:cs="Times New Roman"/>
          <w:b/>
          <w:bCs/>
          <w:color w:val="000000"/>
        </w:rPr>
        <w:t>Termín začatia a ukončenia PPK:</w:t>
      </w:r>
      <w:r w:rsidRPr="00532B36">
        <w:rPr>
          <w:rFonts w:cs="Times New Roman"/>
          <w:color w:val="000000"/>
        </w:rPr>
        <w:t xml:space="preserve"> </w:t>
      </w:r>
      <w:r w:rsidRPr="00532B36">
        <w:rPr>
          <w:rFonts w:cs="Times New Roman"/>
          <w:i/>
          <w:iCs/>
          <w:color w:val="000000"/>
        </w:rPr>
        <w:t>bezpredmetné</w:t>
      </w:r>
    </w:p>
    <w:p w:rsidR="00DE7926" w:rsidRPr="00532B36" w:rsidP="00DE7926">
      <w:pPr>
        <w:bidi w:val="0"/>
        <w:spacing w:before="120" w:line="300" w:lineRule="exact"/>
        <w:jc w:val="both"/>
        <w:rPr>
          <w:rFonts w:cs="Times New Roman"/>
          <w:b/>
          <w:bCs/>
          <w:color w:val="000000"/>
        </w:rPr>
      </w:pPr>
      <w:r w:rsidRPr="00532B36">
        <w:rPr>
          <w:rFonts w:cs="Times New Roman"/>
          <w:b/>
          <w:bCs/>
          <w:color w:val="000000"/>
        </w:rPr>
        <w:t>A.2. Vplyvy:</w:t>
      </w:r>
    </w:p>
    <w:tbl>
      <w:tblPr>
        <w:tblStyle w:val="TableNormal"/>
        <w:tblW w:w="5000" w:type="pct"/>
        <w:tblInd w:w="1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5541"/>
        <w:gridCol w:w="1184"/>
        <w:gridCol w:w="1175"/>
        <w:gridCol w:w="1188"/>
      </w:tblGrid>
      <w:tr>
        <w:tblPrEx>
          <w:tblW w:w="5000" w:type="pct"/>
          <w:tblInd w:w="1" w:type="dxa"/>
          <w:tblBorders>
            <w:top w:val="outset" w:sz="6" w:space="0" w:color="auto"/>
            <w:left w:val="outset" w:sz="6" w:space="0" w:color="auto"/>
            <w:bottom w:val="outset" w:sz="6" w:space="0" w:color="auto"/>
            <w:right w:val="outset" w:sz="6" w:space="0" w:color="auto"/>
          </w:tblBorders>
          <w:tblCellMar>
            <w:left w:w="0" w:type="dxa"/>
            <w:right w:w="0" w:type="dxa"/>
          </w:tblCellMar>
          <w:tblLook w:val="04A0"/>
        </w:tblPrEx>
        <w:tc>
          <w:tcPr>
            <w:tcW w:w="57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DE7926" w:rsidRPr="00532B36" w:rsidP="002A3E0B">
            <w:pPr>
              <w:bidi w:val="0"/>
              <w:spacing w:before="120" w:line="300" w:lineRule="exact"/>
              <w:jc w:val="both"/>
              <w:rPr>
                <w:rFonts w:cs="Times New Roman"/>
                <w:color w:val="000000"/>
                <w:lang w:val="en-US"/>
              </w:rPr>
            </w:pP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  <w:hideMark/>
          </w:tcPr>
          <w:p w:rsidR="00DE7926" w:rsidRPr="00532B36" w:rsidP="002A3E0B">
            <w:pPr>
              <w:bidi w:val="0"/>
              <w:spacing w:before="120" w:line="300" w:lineRule="exact"/>
              <w:jc w:val="center"/>
              <w:rPr>
                <w:rFonts w:cs="Times New Roman"/>
                <w:color w:val="000000"/>
                <w:lang w:val="en-US"/>
              </w:rPr>
            </w:pPr>
            <w:r w:rsidRPr="00532B36">
              <w:rPr>
                <w:rFonts w:cs="Times New Roman"/>
                <w:color w:val="000000"/>
                <w:lang w:val="en-US"/>
              </w:rPr>
              <w:t>Pozitívne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  <w:hideMark/>
          </w:tcPr>
          <w:p w:rsidR="00DE7926" w:rsidRPr="00532B36" w:rsidP="002A3E0B">
            <w:pPr>
              <w:bidi w:val="0"/>
              <w:spacing w:before="120" w:line="300" w:lineRule="exact"/>
              <w:jc w:val="center"/>
              <w:rPr>
                <w:rFonts w:cs="Times New Roman"/>
                <w:color w:val="000000"/>
                <w:lang w:val="en-US"/>
              </w:rPr>
            </w:pPr>
            <w:r w:rsidRPr="00532B36">
              <w:rPr>
                <w:rFonts w:cs="Times New Roman"/>
                <w:color w:val="000000"/>
                <w:lang w:val="en-US"/>
              </w:rPr>
              <w:t>Žiadne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  <w:hideMark/>
          </w:tcPr>
          <w:p w:rsidR="00DE7926" w:rsidRPr="00532B36" w:rsidP="002A3E0B">
            <w:pPr>
              <w:bidi w:val="0"/>
              <w:spacing w:before="120" w:line="300" w:lineRule="exact"/>
              <w:jc w:val="center"/>
              <w:rPr>
                <w:rFonts w:cs="Times New Roman"/>
                <w:color w:val="000000"/>
                <w:lang w:val="en-US"/>
              </w:rPr>
            </w:pPr>
            <w:r w:rsidRPr="00532B36">
              <w:rPr>
                <w:rFonts w:cs="Times New Roman"/>
                <w:color w:val="000000"/>
                <w:lang w:val="en-US"/>
              </w:rPr>
              <w:t>Negatívne</w:t>
            </w:r>
          </w:p>
        </w:tc>
      </w:tr>
      <w:tr>
        <w:tblPrEx>
          <w:tblW w:w="5000" w:type="pct"/>
          <w:tblInd w:w="1" w:type="dxa"/>
          <w:tblCellMar>
            <w:left w:w="0" w:type="dxa"/>
            <w:right w:w="0" w:type="dxa"/>
          </w:tblCellMar>
          <w:tblLook w:val="04A0"/>
        </w:tblPrEx>
        <w:tc>
          <w:tcPr>
            <w:tcW w:w="57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  <w:hideMark/>
          </w:tcPr>
          <w:p w:rsidR="00DE7926" w:rsidRPr="00532B36" w:rsidP="002A3E0B">
            <w:pPr>
              <w:bidi w:val="0"/>
              <w:spacing w:before="120" w:line="300" w:lineRule="exact"/>
              <w:jc w:val="both"/>
              <w:rPr>
                <w:rFonts w:cs="Times New Roman"/>
                <w:color w:val="000000"/>
                <w:lang w:val="en-US"/>
              </w:rPr>
            </w:pPr>
            <w:r w:rsidRPr="00532B36">
              <w:rPr>
                <w:rFonts w:cs="Times New Roman"/>
                <w:color w:val="000000"/>
                <w:lang w:val="en-US"/>
              </w:rPr>
              <w:t>1. Vplyvy na rozpočet verejnej správy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DE7926" w:rsidRPr="00532B36" w:rsidP="002A3E0B">
            <w:pPr>
              <w:bidi w:val="0"/>
              <w:spacing w:before="120" w:line="300" w:lineRule="exact"/>
              <w:jc w:val="center"/>
              <w:rPr>
                <w:rFonts w:cs="Times New Roman"/>
                <w:color w:val="000000"/>
                <w:lang w:val="en-US"/>
              </w:rPr>
            </w:pP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  <w:hideMark/>
          </w:tcPr>
          <w:p w:rsidR="00DE7926" w:rsidRPr="00532B36" w:rsidP="002A3E0B">
            <w:pPr>
              <w:bidi w:val="0"/>
              <w:spacing w:before="120" w:line="300" w:lineRule="exact"/>
              <w:jc w:val="center"/>
              <w:rPr>
                <w:rFonts w:cs="Times New Roman"/>
                <w:color w:val="000000"/>
                <w:lang w:val="en-US"/>
              </w:rPr>
            </w:pPr>
            <w:r w:rsidRPr="00532B36">
              <w:rPr>
                <w:rFonts w:cs="Times New Roman"/>
                <w:color w:val="000000"/>
                <w:lang w:val="en-US"/>
              </w:rPr>
              <w:t>x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DE7926" w:rsidRPr="00532B36" w:rsidP="002A3E0B">
            <w:pPr>
              <w:bidi w:val="0"/>
              <w:spacing w:before="120" w:line="300" w:lineRule="exact"/>
              <w:jc w:val="center"/>
              <w:rPr>
                <w:rFonts w:cs="Times New Roman"/>
                <w:color w:val="000000"/>
                <w:lang w:val="en-US"/>
              </w:rPr>
            </w:pPr>
          </w:p>
        </w:tc>
      </w:tr>
      <w:tr>
        <w:tblPrEx>
          <w:tblW w:w="5000" w:type="pct"/>
          <w:tblInd w:w="1" w:type="dxa"/>
          <w:tblCellMar>
            <w:left w:w="0" w:type="dxa"/>
            <w:right w:w="0" w:type="dxa"/>
          </w:tblCellMar>
          <w:tblLook w:val="04A0"/>
        </w:tblPrEx>
        <w:tc>
          <w:tcPr>
            <w:tcW w:w="57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  <w:hideMark/>
          </w:tcPr>
          <w:p w:rsidR="00DE7926" w:rsidRPr="00532B36" w:rsidP="002A3E0B">
            <w:pPr>
              <w:bidi w:val="0"/>
              <w:spacing w:before="120" w:line="300" w:lineRule="exact"/>
              <w:jc w:val="both"/>
              <w:rPr>
                <w:rFonts w:cs="Times New Roman"/>
                <w:color w:val="000000"/>
                <w:lang w:val="en-US"/>
              </w:rPr>
            </w:pPr>
            <w:r w:rsidRPr="00532B36">
              <w:rPr>
                <w:rFonts w:cs="Times New Roman"/>
                <w:color w:val="000000"/>
                <w:lang w:val="en-US"/>
              </w:rPr>
              <w:t>2. Vplyvy na podnikateľsk</w:t>
            </w:r>
            <w:r>
              <w:rPr>
                <w:rFonts w:cs="Times New Roman"/>
                <w:color w:val="000000"/>
                <w:lang w:val="en-US"/>
              </w:rPr>
              <w:t>é prostredie – dochádza</w:t>
            </w:r>
            <w:r w:rsidRPr="00532B36">
              <w:rPr>
                <w:rFonts w:cs="Times New Roman"/>
                <w:color w:val="000000"/>
                <w:lang w:val="en-US"/>
              </w:rPr>
              <w:t xml:space="preserve"> k zvýšeniu regulačného zaťaženia?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DE7926" w:rsidRPr="00532B36" w:rsidP="002A3E0B">
            <w:pPr>
              <w:bidi w:val="0"/>
              <w:spacing w:before="120" w:line="300" w:lineRule="exact"/>
              <w:jc w:val="center"/>
              <w:rPr>
                <w:rFonts w:cs="Times New Roman"/>
                <w:color w:val="000000"/>
                <w:lang w:val="en-US"/>
              </w:rPr>
            </w:pP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  <w:hideMark/>
          </w:tcPr>
          <w:p w:rsidR="00DE7926" w:rsidRPr="00532B36" w:rsidP="002A3E0B">
            <w:pPr>
              <w:bidi w:val="0"/>
              <w:spacing w:before="120" w:line="300" w:lineRule="exact"/>
              <w:jc w:val="center"/>
              <w:rPr>
                <w:rFonts w:cs="Times New Roman"/>
                <w:color w:val="000000"/>
                <w:lang w:val="en-US"/>
              </w:rPr>
            </w:pPr>
            <w:r w:rsidRPr="00532B36">
              <w:rPr>
                <w:rFonts w:cs="Times New Roman"/>
                <w:color w:val="000000"/>
                <w:lang w:val="en-US"/>
              </w:rPr>
              <w:t>x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DE7926" w:rsidRPr="00532B36" w:rsidP="002A3E0B">
            <w:pPr>
              <w:bidi w:val="0"/>
              <w:spacing w:before="120" w:line="300" w:lineRule="exact"/>
              <w:jc w:val="center"/>
              <w:rPr>
                <w:rFonts w:cs="Times New Roman"/>
                <w:color w:val="000000"/>
                <w:lang w:val="en-US"/>
              </w:rPr>
            </w:pPr>
          </w:p>
        </w:tc>
      </w:tr>
      <w:tr>
        <w:tblPrEx>
          <w:tblW w:w="5000" w:type="pct"/>
          <w:tblInd w:w="1" w:type="dxa"/>
          <w:tblCellMar>
            <w:left w:w="0" w:type="dxa"/>
            <w:right w:w="0" w:type="dxa"/>
          </w:tblCellMar>
          <w:tblLook w:val="04A0"/>
        </w:tblPrEx>
        <w:tc>
          <w:tcPr>
            <w:tcW w:w="57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  <w:hideMark/>
          </w:tcPr>
          <w:p w:rsidR="00DE7926" w:rsidRPr="00532B36" w:rsidP="002A3E0B">
            <w:pPr>
              <w:bidi w:val="0"/>
              <w:spacing w:before="120" w:line="300" w:lineRule="exact"/>
              <w:jc w:val="both"/>
              <w:rPr>
                <w:rFonts w:cs="Times New Roman"/>
                <w:color w:val="000000"/>
                <w:lang w:val="en-US"/>
              </w:rPr>
            </w:pPr>
            <w:r w:rsidRPr="00532B36">
              <w:rPr>
                <w:rFonts w:cs="Times New Roman"/>
                <w:color w:val="000000"/>
                <w:lang w:val="en-US"/>
              </w:rPr>
              <w:t>3. Sociálne vplyvy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  <w:hideMark/>
          </w:tcPr>
          <w:p w:rsidR="00DE7926" w:rsidRPr="00532B36" w:rsidP="002A3E0B">
            <w:pPr>
              <w:bidi w:val="0"/>
              <w:spacing w:before="120" w:line="300" w:lineRule="exact"/>
              <w:jc w:val="center"/>
              <w:rPr>
                <w:rFonts w:cs="Times New Roman"/>
                <w:color w:val="000000"/>
                <w:lang w:val="en-US"/>
              </w:rPr>
            </w:pPr>
            <w:r w:rsidRPr="00532B36">
              <w:rPr>
                <w:rFonts w:cs="Times New Roman"/>
                <w:color w:val="000000"/>
                <w:lang w:val="en-US"/>
              </w:rPr>
              <w:t>x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DE7926" w:rsidRPr="00532B36" w:rsidP="002A3E0B">
            <w:pPr>
              <w:bidi w:val="0"/>
              <w:spacing w:before="120" w:line="300" w:lineRule="exact"/>
              <w:jc w:val="center"/>
              <w:rPr>
                <w:rFonts w:cs="Times New Roman"/>
                <w:color w:val="000000"/>
                <w:lang w:val="en-US"/>
              </w:rPr>
            </w:pP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DE7926" w:rsidRPr="00532B36" w:rsidP="002A3E0B">
            <w:pPr>
              <w:bidi w:val="0"/>
              <w:spacing w:before="120" w:line="300" w:lineRule="exact"/>
              <w:jc w:val="center"/>
              <w:rPr>
                <w:rFonts w:cs="Times New Roman"/>
                <w:color w:val="000000"/>
                <w:lang w:val="en-US"/>
              </w:rPr>
            </w:pPr>
          </w:p>
        </w:tc>
      </w:tr>
      <w:tr>
        <w:tblPrEx>
          <w:tblW w:w="5000" w:type="pct"/>
          <w:tblInd w:w="1" w:type="dxa"/>
          <w:tblCellMar>
            <w:left w:w="0" w:type="dxa"/>
            <w:right w:w="0" w:type="dxa"/>
          </w:tblCellMar>
          <w:tblLook w:val="04A0"/>
        </w:tblPrEx>
        <w:tc>
          <w:tcPr>
            <w:tcW w:w="57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  <w:hideMark/>
          </w:tcPr>
          <w:p w:rsidR="00DE7926" w:rsidRPr="00532B36" w:rsidP="002A3E0B">
            <w:pPr>
              <w:bidi w:val="0"/>
              <w:spacing w:before="120" w:line="300" w:lineRule="exact"/>
              <w:jc w:val="both"/>
              <w:rPr>
                <w:rFonts w:cs="Times New Roman"/>
                <w:color w:val="000000"/>
                <w:lang w:val="en-US"/>
              </w:rPr>
            </w:pPr>
            <w:r w:rsidRPr="00532B36">
              <w:rPr>
                <w:rFonts w:cs="Times New Roman"/>
                <w:color w:val="000000"/>
                <w:lang w:val="en-US"/>
              </w:rPr>
              <w:t>– vplyvy na hospodárenie obyvateľstva,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DE7926" w:rsidRPr="00532B36" w:rsidP="002A3E0B">
            <w:pPr>
              <w:bidi w:val="0"/>
              <w:spacing w:before="120" w:line="300" w:lineRule="exact"/>
              <w:jc w:val="center"/>
              <w:rPr>
                <w:rFonts w:cs="Times New Roman"/>
                <w:color w:val="000000"/>
                <w:lang w:val="en-US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DE7926" w:rsidRPr="00532B36" w:rsidP="002A3E0B">
            <w:pPr>
              <w:bidi w:val="0"/>
              <w:spacing w:before="120" w:line="300" w:lineRule="exact"/>
              <w:jc w:val="center"/>
              <w:rPr>
                <w:rFonts w:cs="Times New Roman"/>
                <w:color w:val="000000"/>
                <w:lang w:val="en-US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DE7926" w:rsidRPr="00532B36" w:rsidP="002A3E0B">
            <w:pPr>
              <w:bidi w:val="0"/>
              <w:spacing w:before="120" w:line="300" w:lineRule="exact"/>
              <w:jc w:val="center"/>
              <w:rPr>
                <w:rFonts w:cs="Times New Roman"/>
                <w:color w:val="000000"/>
                <w:lang w:val="en-US"/>
              </w:rPr>
            </w:pPr>
          </w:p>
        </w:tc>
      </w:tr>
      <w:tr>
        <w:tblPrEx>
          <w:tblW w:w="5000" w:type="pct"/>
          <w:tblInd w:w="1" w:type="dxa"/>
          <w:tblCellMar>
            <w:left w:w="0" w:type="dxa"/>
            <w:right w:w="0" w:type="dxa"/>
          </w:tblCellMar>
          <w:tblLook w:val="04A0"/>
        </w:tblPrEx>
        <w:tc>
          <w:tcPr>
            <w:tcW w:w="57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  <w:hideMark/>
          </w:tcPr>
          <w:p w:rsidR="00DE7926" w:rsidRPr="00532B36" w:rsidP="002A3E0B">
            <w:pPr>
              <w:bidi w:val="0"/>
              <w:spacing w:before="120" w:line="300" w:lineRule="exact"/>
              <w:jc w:val="both"/>
              <w:rPr>
                <w:rFonts w:cs="Times New Roman"/>
                <w:color w:val="000000"/>
                <w:lang w:val="en-US"/>
              </w:rPr>
            </w:pPr>
            <w:r w:rsidRPr="00532B36">
              <w:rPr>
                <w:rFonts w:cs="Times New Roman"/>
                <w:color w:val="000000"/>
                <w:lang w:val="en-US"/>
              </w:rPr>
              <w:t>– sociálnu exklúziu,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DE7926" w:rsidRPr="00532B36" w:rsidP="002A3E0B">
            <w:pPr>
              <w:bidi w:val="0"/>
              <w:spacing w:before="120" w:line="300" w:lineRule="exact"/>
              <w:jc w:val="center"/>
              <w:rPr>
                <w:rFonts w:cs="Times New Roman"/>
                <w:color w:val="000000"/>
                <w:lang w:val="en-US"/>
              </w:rPr>
            </w:pP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DE7926" w:rsidRPr="00532B36" w:rsidP="002A3E0B">
            <w:pPr>
              <w:bidi w:val="0"/>
              <w:spacing w:before="120" w:line="300" w:lineRule="exact"/>
              <w:jc w:val="center"/>
              <w:rPr>
                <w:rFonts w:cs="Times New Roman"/>
                <w:color w:val="000000"/>
                <w:lang w:val="en-US"/>
              </w:rPr>
            </w:pP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DE7926" w:rsidRPr="00532B36" w:rsidP="002A3E0B">
            <w:pPr>
              <w:bidi w:val="0"/>
              <w:spacing w:before="120" w:line="300" w:lineRule="exact"/>
              <w:jc w:val="center"/>
              <w:rPr>
                <w:rFonts w:cs="Times New Roman"/>
                <w:color w:val="000000"/>
                <w:lang w:val="en-US"/>
              </w:rPr>
            </w:pPr>
          </w:p>
        </w:tc>
      </w:tr>
      <w:tr>
        <w:tblPrEx>
          <w:tblW w:w="5000" w:type="pct"/>
          <w:tblInd w:w="1" w:type="dxa"/>
          <w:tblCellMar>
            <w:left w:w="0" w:type="dxa"/>
            <w:right w:w="0" w:type="dxa"/>
          </w:tblCellMar>
          <w:tblLook w:val="04A0"/>
        </w:tblPrEx>
        <w:tc>
          <w:tcPr>
            <w:tcW w:w="57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  <w:hideMark/>
          </w:tcPr>
          <w:p w:rsidR="00DE7926" w:rsidRPr="00532B36" w:rsidP="002A3E0B">
            <w:pPr>
              <w:bidi w:val="0"/>
              <w:spacing w:before="120" w:line="300" w:lineRule="exact"/>
              <w:jc w:val="both"/>
              <w:rPr>
                <w:rFonts w:cs="Times New Roman"/>
                <w:color w:val="000000"/>
                <w:lang w:val="en-US"/>
              </w:rPr>
            </w:pPr>
            <w:r w:rsidRPr="00532B36">
              <w:rPr>
                <w:rFonts w:cs="Times New Roman"/>
                <w:color w:val="000000"/>
                <w:lang w:val="en-US"/>
              </w:rPr>
              <w:t>– rovnosť príležitostí a rodovú rovnosť a vplyvy na zamestnanosť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DE7926" w:rsidRPr="00532B36" w:rsidP="002A3E0B">
            <w:pPr>
              <w:bidi w:val="0"/>
              <w:spacing w:before="120" w:line="300" w:lineRule="exact"/>
              <w:jc w:val="center"/>
              <w:rPr>
                <w:rFonts w:cs="Times New Roman"/>
                <w:color w:val="000000"/>
                <w:lang w:val="en-US"/>
              </w:rPr>
            </w:pP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DE7926" w:rsidRPr="00532B36" w:rsidP="002A3E0B">
            <w:pPr>
              <w:bidi w:val="0"/>
              <w:spacing w:before="120" w:line="300" w:lineRule="exact"/>
              <w:jc w:val="center"/>
              <w:rPr>
                <w:rFonts w:cs="Times New Roman"/>
                <w:color w:val="000000"/>
                <w:lang w:val="en-US"/>
              </w:rPr>
            </w:pP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DE7926" w:rsidRPr="00532B36" w:rsidP="002A3E0B">
            <w:pPr>
              <w:bidi w:val="0"/>
              <w:spacing w:before="120" w:line="300" w:lineRule="exact"/>
              <w:jc w:val="center"/>
              <w:rPr>
                <w:rFonts w:cs="Times New Roman"/>
                <w:color w:val="000000"/>
                <w:lang w:val="en-US"/>
              </w:rPr>
            </w:pPr>
          </w:p>
        </w:tc>
      </w:tr>
      <w:tr>
        <w:tblPrEx>
          <w:tblW w:w="5000" w:type="pct"/>
          <w:tblInd w:w="1" w:type="dxa"/>
          <w:tblCellMar>
            <w:left w:w="0" w:type="dxa"/>
            <w:right w:w="0" w:type="dxa"/>
          </w:tblCellMar>
          <w:tblLook w:val="04A0"/>
        </w:tblPrEx>
        <w:tc>
          <w:tcPr>
            <w:tcW w:w="57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  <w:hideMark/>
          </w:tcPr>
          <w:p w:rsidR="00DE7926" w:rsidRPr="00532B36" w:rsidP="002A3E0B">
            <w:pPr>
              <w:bidi w:val="0"/>
              <w:spacing w:before="120" w:line="300" w:lineRule="exact"/>
              <w:jc w:val="both"/>
              <w:rPr>
                <w:rFonts w:cs="Times New Roman"/>
                <w:color w:val="000000"/>
                <w:lang w:val="en-US"/>
              </w:rPr>
            </w:pPr>
            <w:r w:rsidRPr="00532B36">
              <w:rPr>
                <w:rFonts w:cs="Times New Roman"/>
                <w:color w:val="000000"/>
                <w:lang w:val="en-US"/>
              </w:rPr>
              <w:t>4. Vplyvy na životné prostredie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DE7926" w:rsidRPr="00532B36" w:rsidP="002A3E0B">
            <w:pPr>
              <w:bidi w:val="0"/>
              <w:spacing w:before="120" w:line="300" w:lineRule="exact"/>
              <w:jc w:val="center"/>
              <w:rPr>
                <w:rFonts w:cs="Times New Roman"/>
                <w:color w:val="000000"/>
                <w:lang w:val="en-US"/>
              </w:rPr>
            </w:pP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  <w:hideMark/>
          </w:tcPr>
          <w:p w:rsidR="00DE7926" w:rsidRPr="00532B36" w:rsidP="002A3E0B">
            <w:pPr>
              <w:bidi w:val="0"/>
              <w:spacing w:before="120" w:line="300" w:lineRule="exact"/>
              <w:jc w:val="center"/>
              <w:rPr>
                <w:rFonts w:cs="Times New Roman"/>
                <w:color w:val="000000"/>
                <w:lang w:val="en-US"/>
              </w:rPr>
            </w:pPr>
            <w:r w:rsidRPr="00532B36">
              <w:rPr>
                <w:rFonts w:cs="Times New Roman"/>
                <w:color w:val="000000"/>
                <w:lang w:val="en-US"/>
              </w:rPr>
              <w:t>x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DE7926" w:rsidRPr="00532B36" w:rsidP="002A3E0B">
            <w:pPr>
              <w:bidi w:val="0"/>
              <w:spacing w:before="120" w:line="300" w:lineRule="exact"/>
              <w:jc w:val="center"/>
              <w:rPr>
                <w:rFonts w:cs="Times New Roman"/>
                <w:color w:val="000000"/>
                <w:lang w:val="en-US"/>
              </w:rPr>
            </w:pPr>
          </w:p>
        </w:tc>
      </w:tr>
      <w:tr>
        <w:tblPrEx>
          <w:tblW w:w="5000" w:type="pct"/>
          <w:tblInd w:w="1" w:type="dxa"/>
          <w:tblCellMar>
            <w:left w:w="0" w:type="dxa"/>
            <w:right w:w="0" w:type="dxa"/>
          </w:tblCellMar>
          <w:tblLook w:val="04A0"/>
        </w:tblPrEx>
        <w:tc>
          <w:tcPr>
            <w:tcW w:w="57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  <w:hideMark/>
          </w:tcPr>
          <w:p w:rsidR="00DE7926" w:rsidRPr="00532B36" w:rsidP="002A3E0B">
            <w:pPr>
              <w:bidi w:val="0"/>
              <w:spacing w:before="120" w:line="300" w:lineRule="exact"/>
              <w:jc w:val="both"/>
              <w:rPr>
                <w:rFonts w:cs="Times New Roman"/>
                <w:color w:val="000000"/>
                <w:lang w:val="en-US"/>
              </w:rPr>
            </w:pPr>
            <w:r w:rsidRPr="00532B36">
              <w:rPr>
                <w:rFonts w:cs="Times New Roman"/>
                <w:color w:val="000000"/>
                <w:lang w:val="en-US"/>
              </w:rPr>
              <w:t>5. Vplyvy na informatizáciu spoločnosti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DE7926" w:rsidRPr="00532B36" w:rsidP="002A3E0B">
            <w:pPr>
              <w:bidi w:val="0"/>
              <w:spacing w:before="120" w:line="300" w:lineRule="exact"/>
              <w:jc w:val="center"/>
              <w:rPr>
                <w:rFonts w:cs="Times New Roman"/>
                <w:color w:val="000000"/>
                <w:lang w:val="en-US"/>
              </w:rPr>
            </w:pP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  <w:hideMark/>
          </w:tcPr>
          <w:p w:rsidR="00DE7926" w:rsidP="002A3E0B">
            <w:pPr>
              <w:bidi w:val="0"/>
              <w:spacing w:before="120" w:line="300" w:lineRule="exact"/>
              <w:jc w:val="center"/>
              <w:rPr>
                <w:rFonts w:cs="Times New Roman"/>
                <w:color w:val="000000"/>
                <w:lang w:val="en-US"/>
              </w:rPr>
            </w:pPr>
            <w:r w:rsidRPr="00532B36">
              <w:rPr>
                <w:rFonts w:cs="Times New Roman"/>
                <w:color w:val="000000"/>
                <w:lang w:val="en-US"/>
              </w:rPr>
              <w:t>x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DE7926" w:rsidP="002A3E0B">
            <w:pPr>
              <w:bidi w:val="0"/>
              <w:spacing w:before="120" w:line="300" w:lineRule="exact"/>
              <w:jc w:val="center"/>
              <w:rPr>
                <w:rFonts w:cs="Times New Roman"/>
                <w:color w:val="000000"/>
                <w:lang w:val="en-US"/>
              </w:rPr>
            </w:pPr>
          </w:p>
        </w:tc>
      </w:tr>
    </w:tbl>
    <w:p w:rsidR="00DE7926" w:rsidP="00DE7926">
      <w:pPr>
        <w:bidi w:val="0"/>
        <w:jc w:val="center"/>
        <w:outlineLvl w:val="0"/>
        <w:rPr>
          <w:rFonts w:cs="Times New Roman"/>
          <w:b/>
        </w:rPr>
      </w:pPr>
    </w:p>
    <w:p w:rsidR="00DE7926" w:rsidP="00DE7926">
      <w:pPr>
        <w:bidi w:val="0"/>
        <w:jc w:val="center"/>
        <w:outlineLvl w:val="0"/>
        <w:rPr>
          <w:rFonts w:cs="Times New Roman"/>
          <w:b/>
        </w:rPr>
      </w:pPr>
    </w:p>
    <w:p w:rsidR="00DE7926" w:rsidRPr="004D6E9F" w:rsidP="00DE7926">
      <w:pPr>
        <w:pStyle w:val="NormalWeb"/>
        <w:bidi w:val="0"/>
        <w:ind w:firstLine="708"/>
        <w:rPr>
          <w:rFonts w:ascii="Times New Roman" w:hAnsi="Times New Roman"/>
        </w:rPr>
      </w:pPr>
      <w:r w:rsidRPr="004D6E9F">
        <w:rPr>
          <w:rFonts w:ascii="Times New Roman" w:hAnsi="Times New Roman"/>
          <w:b/>
        </w:rPr>
        <w:br w:type="page"/>
      </w:r>
    </w:p>
    <w:p w:rsidR="00DE7926" w:rsidRPr="00DA6E01" w:rsidP="00DE7926">
      <w:pPr>
        <w:bidi w:val="0"/>
        <w:jc w:val="center"/>
        <w:rPr>
          <w:rFonts w:cs="Times New Roman"/>
          <w:b/>
        </w:rPr>
      </w:pPr>
      <w:r w:rsidRPr="00DA6E01">
        <w:rPr>
          <w:rFonts w:cs="Times New Roman"/>
          <w:b/>
        </w:rPr>
        <w:t>DOLOŽKA ZLUČITEĽNOSTI</w:t>
      </w:r>
    </w:p>
    <w:p w:rsidR="00DE7926" w:rsidRPr="00DA6E01" w:rsidP="00DE7926">
      <w:pPr>
        <w:bidi w:val="0"/>
        <w:jc w:val="center"/>
        <w:rPr>
          <w:rFonts w:cs="Times New Roman"/>
          <w:b/>
        </w:rPr>
      </w:pPr>
      <w:r w:rsidRPr="00DA6E01">
        <w:rPr>
          <w:rFonts w:cs="Times New Roman"/>
          <w:b/>
        </w:rPr>
        <w:t>návrhu zákona s právom Európskej únie</w:t>
      </w:r>
    </w:p>
    <w:p w:rsidR="00DE7926" w:rsidRPr="00DA6E01" w:rsidP="00DE7926">
      <w:pPr>
        <w:bidi w:val="0"/>
        <w:rPr>
          <w:rFonts w:cs="Times New Roman"/>
        </w:rPr>
      </w:pPr>
    </w:p>
    <w:p w:rsidR="005C6819" w:rsidP="005C6819">
      <w:pPr>
        <w:pStyle w:val="ListParagraph"/>
        <w:numPr>
          <w:numId w:val="3"/>
        </w:numPr>
        <w:bidi w:val="0"/>
        <w:spacing w:after="0" w:line="240" w:lineRule="auto"/>
        <w:jc w:val="both"/>
        <w:rPr>
          <w:rFonts w:cs="Times New Roman"/>
        </w:rPr>
      </w:pPr>
      <w:r w:rsidRPr="00DA6E01" w:rsidR="00DE7926">
        <w:rPr>
          <w:rFonts w:cs="Times New Roman"/>
          <w:b/>
        </w:rPr>
        <w:t>Navrhovateľ zákona</w:t>
      </w:r>
      <w:r w:rsidR="00DE7926">
        <w:rPr>
          <w:rFonts w:cs="Times New Roman"/>
        </w:rPr>
        <w:t>: poslanec</w:t>
      </w:r>
      <w:r w:rsidRPr="00DA6E01" w:rsidR="00DE7926">
        <w:rPr>
          <w:rFonts w:cs="Times New Roman"/>
        </w:rPr>
        <w:t xml:space="preserve"> Národnej rady Slovenskej republiky </w:t>
      </w:r>
    </w:p>
    <w:p w:rsidR="005C6819" w:rsidP="005C6819">
      <w:pPr>
        <w:pStyle w:val="ListParagraph"/>
        <w:bidi w:val="0"/>
        <w:spacing w:after="0" w:line="240" w:lineRule="auto"/>
        <w:jc w:val="both"/>
        <w:rPr>
          <w:rFonts w:cs="Times New Roman"/>
        </w:rPr>
      </w:pPr>
    </w:p>
    <w:p w:rsidR="005C6819" w:rsidRPr="005C6819" w:rsidP="005C6819">
      <w:pPr>
        <w:pStyle w:val="ListParagraph"/>
        <w:numPr>
          <w:numId w:val="3"/>
        </w:numPr>
        <w:bidi w:val="0"/>
        <w:spacing w:after="0" w:line="240" w:lineRule="auto"/>
        <w:jc w:val="both"/>
        <w:rPr>
          <w:rFonts w:cs="Times New Roman"/>
        </w:rPr>
      </w:pPr>
      <w:r w:rsidRPr="005C6819" w:rsidR="00DE7926">
        <w:rPr>
          <w:rFonts w:cs="Times New Roman"/>
          <w:b/>
        </w:rPr>
        <w:t>Názov návrhu zákona</w:t>
      </w:r>
      <w:r w:rsidRPr="005C6819" w:rsidR="00DE7926">
        <w:rPr>
          <w:rFonts w:cs="Times New Roman"/>
        </w:rPr>
        <w:t xml:space="preserve">: </w:t>
      </w:r>
      <w:r w:rsidRPr="005C6819" w:rsidR="00DE7926">
        <w:rPr>
          <w:bCs/>
        </w:rPr>
        <w:t xml:space="preserve">Návrh zákona, ktorým sa mení a dopĺňa zákon </w:t>
      </w:r>
      <w:r w:rsidRPr="005C6819">
        <w:rPr>
          <w:bCs/>
        </w:rPr>
        <w:t>č. 211/2000 Z. z. o slobodnom prístupe k informáciám o zmene a doplnení niektorých zákonov v znení neskorších predpisov</w:t>
      </w:r>
    </w:p>
    <w:p w:rsidR="00DE7926" w:rsidRPr="005C6819" w:rsidP="005C6819">
      <w:pPr>
        <w:pStyle w:val="ListParagraph"/>
        <w:bidi w:val="0"/>
        <w:spacing w:after="0" w:line="240" w:lineRule="auto"/>
        <w:jc w:val="both"/>
        <w:rPr>
          <w:rFonts w:cs="Times New Roman"/>
          <w:color w:val="000000"/>
        </w:rPr>
      </w:pPr>
    </w:p>
    <w:p w:rsidR="00DE7926" w:rsidRPr="00DD30DA" w:rsidP="00DE7926">
      <w:pPr>
        <w:pStyle w:val="ListParagraph"/>
        <w:numPr>
          <w:numId w:val="3"/>
        </w:numPr>
        <w:bidi w:val="0"/>
        <w:spacing w:after="0" w:line="240" w:lineRule="auto"/>
        <w:jc w:val="both"/>
        <w:rPr>
          <w:rFonts w:cs="Times New Roman"/>
        </w:rPr>
      </w:pPr>
      <w:r w:rsidRPr="00DA6E01">
        <w:rPr>
          <w:rFonts w:cs="Times New Roman"/>
          <w:b/>
          <w:bCs/>
          <w:color w:val="000000"/>
        </w:rPr>
        <w:t>Problematika návrhu zákona:</w:t>
      </w:r>
    </w:p>
    <w:p w:rsidR="00DE7926" w:rsidRPr="005C6819" w:rsidP="005C6819">
      <w:pPr>
        <w:bidi w:val="0"/>
        <w:jc w:val="both"/>
        <w:rPr>
          <w:rFonts w:cs="Times New Roman"/>
        </w:rPr>
      </w:pPr>
    </w:p>
    <w:p w:rsidR="00DE7926" w:rsidP="00DE7926">
      <w:pPr>
        <w:bidi w:val="0"/>
        <w:ind w:left="850" w:hanging="130"/>
        <w:rPr>
          <w:rFonts w:cs="Times New Roman"/>
          <w:color w:val="000000"/>
        </w:rPr>
      </w:pPr>
      <w:r w:rsidRPr="004D6E9F">
        <w:rPr>
          <w:rFonts w:cs="Times New Roman"/>
          <w:color w:val="000000"/>
        </w:rPr>
        <w:t>a) </w:t>
      </w:r>
      <w:r>
        <w:rPr>
          <w:rFonts w:cs="Times New Roman"/>
          <w:color w:val="000000"/>
        </w:rPr>
        <w:t xml:space="preserve">nie </w:t>
      </w:r>
      <w:r w:rsidRPr="004D6E9F">
        <w:rPr>
          <w:rFonts w:cs="Times New Roman"/>
          <w:color w:val="000000"/>
        </w:rPr>
        <w:t>je upravená v práve Európsk</w:t>
      </w:r>
      <w:r>
        <w:rPr>
          <w:rFonts w:cs="Times New Roman"/>
          <w:color w:val="000000"/>
        </w:rPr>
        <w:t>ych spoločenstiev,</w:t>
      </w:r>
    </w:p>
    <w:p w:rsidR="00DE7926" w:rsidP="00DE7926">
      <w:pPr>
        <w:bidi w:val="0"/>
        <w:ind w:left="425" w:firstLine="295"/>
        <w:jc w:val="both"/>
        <w:rPr>
          <w:rFonts w:cs="Times New Roman"/>
          <w:color w:val="000000"/>
        </w:rPr>
      </w:pPr>
      <w:r>
        <w:rPr>
          <w:rFonts w:cs="Times New Roman"/>
          <w:color w:val="000000"/>
        </w:rPr>
        <w:t>b) nie je obsiahnutá v práve Európskej únie,</w:t>
      </w:r>
    </w:p>
    <w:p w:rsidR="00DE7926" w:rsidRPr="00DA6E01" w:rsidP="00DE7926">
      <w:pPr>
        <w:pStyle w:val="ListParagraph"/>
        <w:bidi w:val="0"/>
        <w:jc w:val="both"/>
        <w:rPr>
          <w:rFonts w:cs="Times New Roman"/>
          <w:color w:val="000000"/>
        </w:rPr>
      </w:pPr>
      <w:r>
        <w:rPr>
          <w:rFonts w:cs="Times New Roman"/>
          <w:color w:val="000000"/>
        </w:rPr>
        <w:t xml:space="preserve">c) </w:t>
      </w:r>
      <w:r w:rsidRPr="00DA6E01">
        <w:rPr>
          <w:rFonts w:cs="Times New Roman"/>
          <w:color w:val="000000"/>
        </w:rPr>
        <w:t xml:space="preserve">nie je obsiahnutá v judikatúre </w:t>
      </w:r>
      <w:r>
        <w:rPr>
          <w:rFonts w:cs="Times New Roman"/>
          <w:color w:val="000000"/>
        </w:rPr>
        <w:t>Súdneho dvora Európskej únie.</w:t>
      </w:r>
    </w:p>
    <w:p w:rsidR="00DE7926" w:rsidP="00DE7926">
      <w:pPr>
        <w:pStyle w:val="ListParagraph"/>
        <w:bidi w:val="0"/>
        <w:jc w:val="both"/>
        <w:rPr>
          <w:rFonts w:cs="Times New Roman"/>
          <w:b/>
          <w:bCs/>
          <w:color w:val="000000"/>
        </w:rPr>
      </w:pPr>
    </w:p>
    <w:p w:rsidR="00DE7926" w:rsidRPr="00DA6E01" w:rsidP="00DE7926">
      <w:pPr>
        <w:pStyle w:val="ListParagraph"/>
        <w:numPr>
          <w:numId w:val="3"/>
        </w:numPr>
        <w:bidi w:val="0"/>
        <w:spacing w:after="0" w:line="240" w:lineRule="auto"/>
        <w:jc w:val="both"/>
        <w:rPr>
          <w:rFonts w:cs="Times New Roman"/>
          <w:color w:val="000000"/>
        </w:rPr>
      </w:pPr>
      <w:r w:rsidRPr="00DA6E01">
        <w:rPr>
          <w:rFonts w:cs="Times New Roman"/>
          <w:b/>
          <w:bCs/>
          <w:color w:val="000000"/>
        </w:rPr>
        <w:t>Záväzky Slovenskej republiky vo vzťahu k Európskej únii:</w:t>
      </w:r>
    </w:p>
    <w:p w:rsidR="00DE7926" w:rsidRPr="004D6E9F" w:rsidP="00DE7926">
      <w:pPr>
        <w:bidi w:val="0"/>
        <w:ind w:left="425"/>
        <w:jc w:val="both"/>
        <w:rPr>
          <w:rFonts w:cs="Times New Roman"/>
          <w:color w:val="000000"/>
        </w:rPr>
      </w:pPr>
      <w:r w:rsidRPr="004D6E9F">
        <w:rPr>
          <w:rFonts w:cs="Times New Roman"/>
          <w:color w:val="000000"/>
        </w:rPr>
        <w:t>a) Lehota na prebratie smernice alebo lehota na implementáciu nariadenia alebo rozhodnutia: bezpredmetné.</w:t>
      </w:r>
    </w:p>
    <w:p w:rsidR="00DE7926" w:rsidRPr="004D6E9F" w:rsidP="00DE7926">
      <w:pPr>
        <w:bidi w:val="0"/>
        <w:ind w:left="425"/>
        <w:jc w:val="both"/>
        <w:rPr>
          <w:rFonts w:cs="Times New Roman"/>
          <w:color w:val="000000"/>
        </w:rPr>
      </w:pPr>
      <w:r w:rsidRPr="004D6E9F">
        <w:rPr>
          <w:rFonts w:cs="Times New Roman"/>
          <w:color w:val="000000"/>
        </w:rPr>
        <w:t>b) Lehota určená na predloženie návrhu právneho predpisu na rokovanie vlády podľa určenia gestorských ústredných orgánov štátnej správy zodpovedných za transpozíciu smerníc a vypracovanie tabuliek zhody k návrhom všeobecne záväzných právnych predpisov: bezpredmetné.</w:t>
      </w:r>
    </w:p>
    <w:p w:rsidR="00DE7926" w:rsidRPr="004D6E9F" w:rsidP="00DE7926">
      <w:pPr>
        <w:bidi w:val="0"/>
        <w:ind w:left="425"/>
        <w:jc w:val="both"/>
        <w:rPr>
          <w:rFonts w:cs="Times New Roman"/>
          <w:color w:val="000000"/>
        </w:rPr>
      </w:pPr>
      <w:r w:rsidRPr="004D6E9F">
        <w:rPr>
          <w:rFonts w:cs="Times New Roman"/>
          <w:color w:val="000000"/>
        </w:rPr>
        <w:t>c) Proti SR nebolo začaté konanie o porušení Zmluvy o fungovaní Európskej únie podľa čl. 258 až 260 Zmluvy o fungovaní Európskej únie.</w:t>
      </w:r>
    </w:p>
    <w:p w:rsidR="00DE7926" w:rsidP="00DE7926">
      <w:pPr>
        <w:bidi w:val="0"/>
        <w:ind w:left="425"/>
        <w:jc w:val="both"/>
        <w:rPr>
          <w:rFonts w:cs="Times New Roman"/>
          <w:color w:val="000000"/>
        </w:rPr>
      </w:pPr>
      <w:r w:rsidRPr="004D6E9F">
        <w:rPr>
          <w:rFonts w:cs="Times New Roman"/>
          <w:color w:val="000000"/>
        </w:rPr>
        <w:t>d) Bezpredmetné.</w:t>
      </w:r>
    </w:p>
    <w:p w:rsidR="00DE7926" w:rsidP="00DE7926">
      <w:pPr>
        <w:bidi w:val="0"/>
        <w:ind w:left="425"/>
        <w:jc w:val="both"/>
        <w:rPr>
          <w:rFonts w:cs="Times New Roman"/>
          <w:color w:val="000000"/>
        </w:rPr>
      </w:pPr>
    </w:p>
    <w:p w:rsidR="00DE7926" w:rsidRPr="00DA6E01" w:rsidP="00DE7926">
      <w:pPr>
        <w:pStyle w:val="ListParagraph"/>
        <w:numPr>
          <w:numId w:val="3"/>
        </w:numPr>
        <w:bidi w:val="0"/>
        <w:spacing w:after="0" w:line="240" w:lineRule="auto"/>
        <w:jc w:val="both"/>
        <w:rPr>
          <w:rFonts w:cs="Times New Roman"/>
          <w:color w:val="000000"/>
        </w:rPr>
      </w:pPr>
      <w:r w:rsidRPr="00DA6E01">
        <w:rPr>
          <w:rFonts w:cs="Times New Roman"/>
          <w:b/>
          <w:bCs/>
          <w:color w:val="000000"/>
        </w:rPr>
        <w:t>Stupeň zlučiteľnosti návrhu zákona s právom Európskej únie:</w:t>
      </w:r>
    </w:p>
    <w:p w:rsidR="00DE7926" w:rsidP="00DE7926">
      <w:pPr>
        <w:bidi w:val="0"/>
        <w:ind w:left="425" w:hanging="425"/>
        <w:jc w:val="both"/>
        <w:rPr>
          <w:rFonts w:cs="Times New Roman"/>
          <w:color w:val="000000"/>
        </w:rPr>
      </w:pPr>
      <w:r w:rsidRPr="004D6E9F">
        <w:rPr>
          <w:rFonts w:cs="Times New Roman"/>
          <w:color w:val="000000"/>
        </w:rPr>
        <w:t>      </w:t>
      </w:r>
      <w:r>
        <w:rPr>
          <w:rFonts w:cs="Times New Roman"/>
          <w:color w:val="000000"/>
        </w:rPr>
        <w:tab/>
        <w:tab/>
      </w:r>
      <w:r w:rsidRPr="004D6E9F">
        <w:rPr>
          <w:rFonts w:cs="Times New Roman"/>
          <w:color w:val="000000"/>
        </w:rPr>
        <w:t>Úplný.</w:t>
      </w:r>
    </w:p>
    <w:p w:rsidR="00DE7926" w:rsidP="00DE7926">
      <w:pPr>
        <w:bidi w:val="0"/>
        <w:ind w:left="425" w:hanging="425"/>
        <w:jc w:val="both"/>
        <w:rPr>
          <w:rFonts w:cs="Times New Roman"/>
          <w:color w:val="000000"/>
        </w:rPr>
      </w:pPr>
    </w:p>
    <w:p w:rsidR="00DE7926" w:rsidRPr="00DA6E01" w:rsidP="00DE7926">
      <w:pPr>
        <w:pStyle w:val="ListParagraph"/>
        <w:numPr>
          <w:numId w:val="3"/>
        </w:numPr>
        <w:bidi w:val="0"/>
        <w:spacing w:after="0" w:line="240" w:lineRule="auto"/>
        <w:jc w:val="both"/>
        <w:rPr>
          <w:rFonts w:cs="Times New Roman"/>
          <w:color w:val="000000"/>
        </w:rPr>
      </w:pPr>
      <w:r w:rsidRPr="00DA6E01">
        <w:rPr>
          <w:rFonts w:cs="Times New Roman"/>
          <w:b/>
          <w:bCs/>
          <w:color w:val="000000"/>
        </w:rPr>
        <w:t>Gestor a spolupracujúce rezorty:</w:t>
      </w:r>
    </w:p>
    <w:p w:rsidR="00DE7926" w:rsidP="00DE7926">
      <w:pPr>
        <w:bidi w:val="0"/>
        <w:ind w:left="720"/>
        <w:jc w:val="both"/>
      </w:pPr>
      <w:r>
        <w:rPr>
          <w:rFonts w:cs="Times New Roman"/>
          <w:color w:val="000000"/>
        </w:rPr>
        <w:t>Bezpredmetné.</w:t>
      </w:r>
    </w:p>
    <w:p w:rsidR="00DE7926" w:rsidP="00DE7926">
      <w:pPr>
        <w:bidi w:val="0"/>
      </w:pPr>
    </w:p>
    <w:p w:rsidR="00AE69D0" w:rsidRPr="00AE69D0" w:rsidP="00AE69D0">
      <w:pPr>
        <w:bidi w:val="0"/>
        <w:rPr>
          <w:rFonts w:ascii="Calibri" w:hAnsi="Calibri" w:cs="Calibri"/>
          <w:b/>
        </w:rPr>
      </w:pPr>
    </w:p>
    <w:p w:rsidR="00AE69D0" w:rsidP="00AE69D0">
      <w:pPr>
        <w:bidi w:val="0"/>
        <w:rPr>
          <w:rFonts w:ascii="Calibri" w:hAnsi="Calibri" w:cs="Calibri"/>
          <w:b/>
        </w:rPr>
      </w:pPr>
    </w:p>
    <w:p w:rsidR="00AE69D0" w:rsidP="00AE69D0">
      <w:pPr>
        <w:bidi w:val="0"/>
        <w:rPr>
          <w:rFonts w:ascii="Calibri" w:hAnsi="Calibri" w:cs="Calibri"/>
          <w:b/>
        </w:rPr>
      </w:pPr>
    </w:p>
    <w:sectPr w:rsidSect="006E47C8">
      <w:pgSz w:w="11906" w:h="16838"/>
      <w:pgMar w:top="1417" w:right="1417" w:bottom="1417" w:left="1417" w:header="708" w:footer="708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Cambria Math">
    <w:panose1 w:val="02040503050406030204"/>
    <w:charset w:val="01"/>
    <w:family w:val="roman"/>
    <w:pitch w:val="variable"/>
    <w:sig w:usb0="00000000" w:usb1="00000000" w:usb2="00000000" w:usb3="00000000" w:csb0="00000000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DC076B"/>
    <w:multiLevelType w:val="hybridMultilevel"/>
    <w:tmpl w:val="EB8C0CB8"/>
    <w:lvl w:ilvl="0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  <w:rtl w:val="0"/>
        <w:cs w:val="0"/>
      </w:rPr>
    </w:lvl>
  </w:abstractNum>
  <w:abstractNum w:abstractNumId="1">
    <w:nsid w:val="54854694"/>
    <w:multiLevelType w:val="hybridMultilevel"/>
    <w:tmpl w:val="44D657D8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2">
    <w:nsid w:val="76197D56"/>
    <w:multiLevelType w:val="hybridMultilevel"/>
    <w:tmpl w:val="0A9EBF2C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num w:numId="1">
    <w:abstractNumId w:val="2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38"/>
  <w:doNotTrackMoves/>
  <w:defaultTabStop w:val="708"/>
  <w:hyphenationZone w:val="425"/>
  <w:characterSpacingControl w:val="doNotCompress"/>
  <w:compat/>
  <w:rsids>
    <w:rsidRoot w:val="00AE69D0"/>
    <w:rsid w:val="00090600"/>
    <w:rsid w:val="00093CEC"/>
    <w:rsid w:val="001A5929"/>
    <w:rsid w:val="001B5980"/>
    <w:rsid w:val="001B62E7"/>
    <w:rsid w:val="00252EDB"/>
    <w:rsid w:val="002A3E0B"/>
    <w:rsid w:val="00346D60"/>
    <w:rsid w:val="00355719"/>
    <w:rsid w:val="003E46AB"/>
    <w:rsid w:val="004D6E9F"/>
    <w:rsid w:val="00532B36"/>
    <w:rsid w:val="005C6819"/>
    <w:rsid w:val="006317DD"/>
    <w:rsid w:val="006E47C8"/>
    <w:rsid w:val="00711059"/>
    <w:rsid w:val="00884C35"/>
    <w:rsid w:val="00990253"/>
    <w:rsid w:val="009D12DF"/>
    <w:rsid w:val="00AE69D0"/>
    <w:rsid w:val="00B632ED"/>
    <w:rsid w:val="00B74A47"/>
    <w:rsid w:val="00BB26A0"/>
    <w:rsid w:val="00BD43F8"/>
    <w:rsid w:val="00C354E8"/>
    <w:rsid w:val="00D71E29"/>
    <w:rsid w:val="00DA6E01"/>
    <w:rsid w:val="00DD30DA"/>
    <w:rsid w:val="00DE7926"/>
    <w:rsid w:val="00E76410"/>
  </w:rsids>
  <m:mathPr>
    <m:mathFont m:val="Cambria Math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eastAsia="Times New Roman" w:asciiTheme="minorHAnsi" w:hAnsiTheme="minorHAnsi" w:cstheme="minorHAnsi"/>
        <w:sz w:val="22"/>
        <w:lang w:val="sk-SK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74A47"/>
    <w:pPr>
      <w:framePr w:wrap="auto"/>
      <w:widowControl/>
      <w:autoSpaceDE/>
      <w:autoSpaceDN/>
      <w:adjustRightInd/>
      <w:spacing w:after="200" w:line="276" w:lineRule="auto"/>
      <w:ind w:left="0" w:right="0"/>
      <w:jc w:val="left"/>
      <w:textAlignment w:val="auto"/>
    </w:pPr>
    <w:rPr>
      <w:rFonts w:asciiTheme="minorHAnsi" w:hAnsiTheme="minorHAnsi" w:cstheme="minorBidi"/>
      <w:sz w:val="22"/>
      <w:szCs w:val="22"/>
      <w:rtl w:val="0"/>
      <w:cs w:val="0"/>
      <w:lang w:val="sk-SK" w:eastAsia="en-US" w:bidi="ar-SA"/>
    </w:rPr>
  </w:style>
  <w:style w:type="paragraph" w:styleId="Heading1">
    <w:name w:val="heading 1"/>
    <w:basedOn w:val="Normal"/>
    <w:next w:val="Normal"/>
    <w:link w:val="Heading1Char"/>
    <w:uiPriority w:val="9"/>
    <w:qFormat/>
    <w:rsid w:val="001A5929"/>
    <w:pPr>
      <w:keepNext/>
      <w:widowControl w:val="0"/>
      <w:adjustRightInd w:val="0"/>
      <w:spacing w:after="0" w:line="240" w:lineRule="auto"/>
      <w:jc w:val="left"/>
      <w:outlineLvl w:val="0"/>
    </w:pPr>
    <w:rPr>
      <w:rFonts w:ascii="Times New Roman" w:hAnsi="Times New Roman" w:cs="Times New Roman"/>
      <w:b/>
      <w:bCs/>
      <w:sz w:val="20"/>
      <w:szCs w:val="20"/>
      <w:lang w:eastAsia="sk-SK"/>
    </w:rPr>
  </w:style>
  <w:style w:type="paragraph" w:styleId="Heading3">
    <w:name w:val="heading 3"/>
    <w:basedOn w:val="Normal"/>
    <w:next w:val="Normal"/>
    <w:link w:val="Heading3Char"/>
    <w:uiPriority w:val="9"/>
    <w:qFormat/>
    <w:rsid w:val="001A5929"/>
    <w:pPr>
      <w:keepNext/>
      <w:widowControl w:val="0"/>
      <w:adjustRightInd w:val="0"/>
      <w:spacing w:after="0" w:line="240" w:lineRule="auto"/>
      <w:jc w:val="left"/>
      <w:outlineLvl w:val="2"/>
    </w:pPr>
    <w:rPr>
      <w:rFonts w:ascii="Times New Roman" w:hAnsi="Times New Roman" w:cs="Times New Roman"/>
      <w:b/>
      <w:bCs/>
      <w:sz w:val="28"/>
      <w:szCs w:val="28"/>
      <w:lang w:eastAsia="sk-SK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AE69D0"/>
    <w:pPr>
      <w:ind w:left="720"/>
      <w:contextualSpacing/>
      <w:jc w:val="left"/>
    </w:pPr>
  </w:style>
  <w:style w:type="character" w:customStyle="1" w:styleId="Heading1Char">
    <w:name w:val="Heading 1 Char"/>
    <w:basedOn w:val="DefaultParagraphFont"/>
    <w:link w:val="Heading1"/>
    <w:uiPriority w:val="9"/>
    <w:locked/>
    <w:rsid w:val="001A5929"/>
    <w:rPr>
      <w:rFonts w:ascii="Times New Roman" w:hAnsi="Times New Roman" w:cs="Times New Roman"/>
      <w:b/>
      <w:bCs/>
      <w:sz w:val="20"/>
      <w:szCs w:val="20"/>
      <w:rtl w:val="0"/>
      <w:cs w:val="0"/>
      <w:lang w:val="x-none" w:eastAsia="sk-SK"/>
    </w:rPr>
  </w:style>
  <w:style w:type="character" w:customStyle="1" w:styleId="Heading3Char">
    <w:name w:val="Heading 3 Char"/>
    <w:basedOn w:val="DefaultParagraphFont"/>
    <w:link w:val="Heading3"/>
    <w:uiPriority w:val="9"/>
    <w:locked/>
    <w:rsid w:val="001A5929"/>
    <w:rPr>
      <w:rFonts w:ascii="Times New Roman" w:hAnsi="Times New Roman" w:cs="Times New Roman"/>
      <w:b/>
      <w:bCs/>
      <w:sz w:val="28"/>
      <w:szCs w:val="28"/>
      <w:rtl w:val="0"/>
      <w:cs w:val="0"/>
      <w:lang w:val="x-none" w:eastAsia="sk-SK"/>
    </w:rPr>
  </w:style>
  <w:style w:type="paragraph" w:styleId="BodyText">
    <w:name w:val="Body Text"/>
    <w:basedOn w:val="Normal"/>
    <w:link w:val="BodyTextChar"/>
    <w:uiPriority w:val="99"/>
    <w:rsid w:val="001A5929"/>
    <w:pPr>
      <w:widowControl w:val="0"/>
      <w:adjustRightInd w:val="0"/>
      <w:spacing w:after="0" w:line="240" w:lineRule="auto"/>
      <w:jc w:val="both"/>
    </w:pPr>
    <w:rPr>
      <w:rFonts w:ascii="Times New Roman" w:hAnsi="Times New Roman" w:cs="Times New Roman"/>
      <w:sz w:val="20"/>
      <w:szCs w:val="20"/>
      <w:lang w:eastAsia="sk-SK"/>
    </w:rPr>
  </w:style>
  <w:style w:type="character" w:customStyle="1" w:styleId="BodyTextChar">
    <w:name w:val="Body Text Char"/>
    <w:basedOn w:val="DefaultParagraphFont"/>
    <w:link w:val="BodyText"/>
    <w:uiPriority w:val="99"/>
    <w:locked/>
    <w:rsid w:val="001A5929"/>
    <w:rPr>
      <w:rFonts w:ascii="Times New Roman" w:hAnsi="Times New Roman" w:cs="Times New Roman"/>
      <w:sz w:val="20"/>
      <w:szCs w:val="20"/>
      <w:rtl w:val="0"/>
      <w:cs w:val="0"/>
      <w:lang w:val="x-none" w:eastAsia="sk-SK"/>
    </w:rPr>
  </w:style>
  <w:style w:type="paragraph" w:styleId="BodyTextIndent">
    <w:name w:val="Body Text Indent"/>
    <w:basedOn w:val="Normal"/>
    <w:link w:val="BodyTextIndentChar"/>
    <w:uiPriority w:val="99"/>
    <w:rsid w:val="001A5929"/>
    <w:pPr>
      <w:widowControl w:val="0"/>
      <w:autoSpaceDE w:val="0"/>
      <w:autoSpaceDN w:val="0"/>
      <w:adjustRightInd w:val="0"/>
      <w:spacing w:after="120" w:line="480" w:lineRule="auto"/>
      <w:jc w:val="left"/>
    </w:pPr>
    <w:rPr>
      <w:rFonts w:ascii="Times New Roman" w:hAnsi="Times New Roman" w:cs="Times New Roman"/>
      <w:sz w:val="24"/>
      <w:szCs w:val="24"/>
      <w:lang w:eastAsia="sk-SK"/>
    </w:rPr>
  </w:style>
  <w:style w:type="character" w:customStyle="1" w:styleId="BodyTextIndentChar">
    <w:name w:val="Body Text Indent Char"/>
    <w:basedOn w:val="DefaultParagraphFont"/>
    <w:link w:val="BodyTextIndent"/>
    <w:uiPriority w:val="99"/>
    <w:locked/>
    <w:rsid w:val="001A5929"/>
    <w:rPr>
      <w:rFonts w:ascii="Times New Roman" w:hAnsi="Times New Roman" w:cs="Times New Roman"/>
      <w:sz w:val="24"/>
      <w:szCs w:val="24"/>
      <w:rtl w:val="0"/>
      <w:cs w:val="0"/>
      <w:lang w:val="x-none" w:eastAsia="sk-SK"/>
    </w:rPr>
  </w:style>
  <w:style w:type="paragraph" w:styleId="NormalWeb">
    <w:name w:val="Normal (Web)"/>
    <w:basedOn w:val="Normal"/>
    <w:uiPriority w:val="99"/>
    <w:rsid w:val="00DE7926"/>
    <w:pPr>
      <w:suppressAutoHyphens/>
      <w:spacing w:before="280" w:after="280" w:line="240" w:lineRule="auto"/>
      <w:jc w:val="left"/>
    </w:pPr>
    <w:rPr>
      <w:rFonts w:ascii="Times New Roman" w:hAnsi="Times New Roman" w:cs="Times New Roman"/>
      <w:sz w:val="24"/>
      <w:szCs w:val="24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Office">
  <a:themeElements>
    <a:clrScheme name="Odtiene sivej">
      <a:dk1>
        <a:sysClr val="windowText" lastClr="000000"/>
      </a:dk1>
      <a:lt1>
        <a:sysClr val="window" lastClr="FFFFFF"/>
      </a:lt1>
      <a:dk2>
        <a:srgbClr val="000000"/>
      </a:dk2>
      <a:lt2>
        <a:srgbClr val="F8F8F8"/>
      </a:lt2>
      <a:accent1>
        <a:srgbClr val="DDDDDD"/>
      </a:accent1>
      <a:accent2>
        <a:srgbClr val="B2B2B2"/>
      </a:accent2>
      <a:accent3>
        <a:srgbClr val="969696"/>
      </a:accent3>
      <a:accent4>
        <a:srgbClr val="808080"/>
      </a:accent4>
      <a:accent5>
        <a:srgbClr val="5F5F5F"/>
      </a:accent5>
      <a:accent6>
        <a:srgbClr val="4D4D4D"/>
      </a:accent6>
      <a:hlink>
        <a:srgbClr val="5F5F5F"/>
      </a:hlink>
      <a:folHlink>
        <a:srgbClr val="919191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2</Pages>
  <Words>283</Words>
  <Characters>1618</Characters>
  <Application>Microsoft Office Word</Application>
  <DocSecurity>0</DocSecurity>
  <Lines>0</Lines>
  <Paragraphs>0</Paragraphs>
  <ScaleCrop>false</ScaleCrop>
  <Company>Kancelaria NR SR</Company>
  <LinksUpToDate>false</LinksUpToDate>
  <CharactersWithSpaces>1898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Jana_Zitnanska</dc:creator>
  <cp:lastModifiedBy>Gašparíková, Jarmila</cp:lastModifiedBy>
  <cp:revision>2</cp:revision>
  <dcterms:created xsi:type="dcterms:W3CDTF">2015-08-27T14:00:00Z</dcterms:created>
  <dcterms:modified xsi:type="dcterms:W3CDTF">2015-08-27T14:00:00Z</dcterms:modified>
</cp:coreProperties>
</file>