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ochrane subdodávateľov pri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 w:rsidR="00AE44EF">
        <w:rPr>
          <w:rFonts w:ascii="Microsoft Sans Serif" w:hAnsi="Microsoft Sans Serif" w:cs="Microsoft Sans Serif"/>
          <w:sz w:val="24"/>
          <w:szCs w:val="24"/>
        </w:rPr>
        <w:t>verejnom obstarávaní</w:t>
      </w:r>
      <w:r w:rsidRPr="00861027" w:rsidR="00861027">
        <w:rPr>
          <w:rFonts w:ascii="Microsoft Sans Serif" w:hAnsi="Microsoft Sans Serif" w:cs="Microsoft Sans Serif"/>
          <w:sz w:val="24"/>
          <w:szCs w:val="24"/>
        </w:rPr>
        <w:t>, o zavedení elektronickej fakturácie vo verejnom obstarávaní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108C2"/>
    <w:rsid w:val="005E4B26"/>
    <w:rsid w:val="00861027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2015-08-27T13:50:00Z</dcterms:created>
  <dcterms:modified xsi:type="dcterms:W3CDTF">2015-08-27T13:50:00Z</dcterms:modified>
</cp:coreProperties>
</file>