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6F15" w:rsidRPr="00ED5709" w:rsidP="00476F15">
      <w:pPr>
        <w:bidi w:val="0"/>
        <w:spacing w:after="0"/>
        <w:jc w:val="center"/>
        <w:rPr>
          <w:rFonts w:ascii="Arial" w:hAnsi="Arial" w:cs="Arial"/>
          <w:b/>
          <w:sz w:val="32"/>
          <w:szCs w:val="32"/>
          <w:lang w:val="sk-SK"/>
        </w:rPr>
      </w:pPr>
      <w:r w:rsidRPr="00ED5709">
        <w:rPr>
          <w:rFonts w:ascii="Arial" w:hAnsi="Arial" w:cs="Arial"/>
          <w:b/>
          <w:sz w:val="32"/>
          <w:szCs w:val="32"/>
          <w:lang w:val="sk-SK"/>
        </w:rPr>
        <w:t>DOLOŽKA ZLUČITEĽNOSTI</w:t>
      </w:r>
    </w:p>
    <w:p w:rsidR="00476F15" w:rsidRPr="00ED5709" w:rsidP="00476F15">
      <w:pPr>
        <w:bidi w:val="0"/>
        <w:spacing w:after="0"/>
        <w:jc w:val="center"/>
        <w:rPr>
          <w:rFonts w:ascii="Arial" w:hAnsi="Arial" w:cs="Arial"/>
          <w:b/>
          <w:bCs/>
          <w:sz w:val="24"/>
          <w:szCs w:val="24"/>
          <w:lang w:val="sk-SK"/>
        </w:rPr>
      </w:pPr>
      <w:r w:rsidRPr="00ED5709">
        <w:rPr>
          <w:rFonts w:ascii="Arial" w:hAnsi="Arial" w:cs="Arial"/>
          <w:b/>
          <w:bCs/>
          <w:sz w:val="24"/>
          <w:szCs w:val="24"/>
          <w:lang w:val="sk-SK"/>
        </w:rPr>
        <w:t>návrhu zákona s právom Európskej únie</w:t>
      </w:r>
    </w:p>
    <w:p w:rsidR="00284908" w:rsidRPr="00ED5709" w:rsidP="00476F15">
      <w:pPr>
        <w:bidi w:val="0"/>
        <w:spacing w:after="0" w:line="240" w:lineRule="auto"/>
        <w:rPr>
          <w:rFonts w:ascii="Arial" w:hAnsi="Arial" w:cs="Arial"/>
          <w:sz w:val="24"/>
          <w:szCs w:val="24"/>
          <w:lang w:val="sk-SK"/>
        </w:rPr>
      </w:pPr>
    </w:p>
    <w:p w:rsidR="00284908" w:rsidRPr="00ED5709" w:rsidP="00284908">
      <w:pPr>
        <w:bidi w:val="0"/>
        <w:spacing w:after="0" w:line="240" w:lineRule="auto"/>
        <w:rPr>
          <w:rFonts w:ascii="Arial" w:hAnsi="Arial" w:cs="Arial"/>
          <w:sz w:val="24"/>
          <w:szCs w:val="24"/>
          <w:lang w:val="sk-SK"/>
        </w:rPr>
      </w:pPr>
    </w:p>
    <w:p w:rsidR="00284908" w:rsidRPr="00ED5709" w:rsidP="00284908">
      <w:pPr>
        <w:bidi w:val="0"/>
        <w:spacing w:after="0" w:line="240" w:lineRule="auto"/>
        <w:ind w:left="360" w:hanging="360"/>
        <w:jc w:val="both"/>
        <w:rPr>
          <w:rFonts w:ascii="Arial" w:hAnsi="Arial" w:cs="Arial"/>
          <w:b/>
          <w:bCs/>
          <w:sz w:val="24"/>
          <w:szCs w:val="24"/>
          <w:lang w:val="sk-SK"/>
        </w:rPr>
      </w:pPr>
      <w:r w:rsidRPr="00ED5709">
        <w:rPr>
          <w:rFonts w:ascii="Arial" w:hAnsi="Arial" w:cs="Arial"/>
          <w:b/>
          <w:bCs/>
          <w:sz w:val="24"/>
          <w:szCs w:val="24"/>
          <w:lang w:val="sk-SK"/>
        </w:rPr>
        <w:t>1.</w:t>
        <w:tab/>
      </w:r>
      <w:r w:rsidRPr="00ED5709" w:rsidR="00476F15">
        <w:rPr>
          <w:rFonts w:ascii="Arial" w:hAnsi="Arial" w:cs="Arial"/>
          <w:b/>
          <w:bCs/>
          <w:sz w:val="24"/>
          <w:szCs w:val="24"/>
          <w:lang w:val="sk-SK"/>
        </w:rPr>
        <w:t>Navrhovateľ zákona</w:t>
      </w:r>
      <w:r w:rsidRPr="00ED5709">
        <w:rPr>
          <w:rFonts w:ascii="Arial" w:hAnsi="Arial" w:cs="Arial"/>
          <w:b/>
          <w:bCs/>
          <w:sz w:val="24"/>
          <w:szCs w:val="24"/>
          <w:lang w:val="sk-SK"/>
        </w:rPr>
        <w:t>:</w:t>
      </w:r>
      <w:r w:rsidRPr="00ED5709">
        <w:rPr>
          <w:rFonts w:ascii="Arial" w:hAnsi="Arial" w:cs="Arial"/>
          <w:sz w:val="24"/>
          <w:szCs w:val="24"/>
          <w:lang w:val="sk-SK"/>
        </w:rPr>
        <w:t xml:space="preserve"> poslanc</w:t>
      </w:r>
      <w:r w:rsidR="00ED5709">
        <w:rPr>
          <w:rFonts w:ascii="Arial" w:hAnsi="Arial" w:cs="Arial"/>
          <w:sz w:val="24"/>
          <w:szCs w:val="24"/>
          <w:lang w:val="sk-SK"/>
        </w:rPr>
        <w:t>i</w:t>
      </w:r>
      <w:r w:rsidRPr="00ED5709">
        <w:rPr>
          <w:rFonts w:ascii="Arial" w:hAnsi="Arial" w:cs="Arial"/>
          <w:sz w:val="24"/>
          <w:szCs w:val="24"/>
          <w:lang w:val="sk-SK"/>
        </w:rPr>
        <w:t xml:space="preserve"> Národnej rady Slovenskej republiky</w:t>
      </w:r>
      <w:r w:rsidR="00ED5709">
        <w:rPr>
          <w:rFonts w:ascii="Arial" w:hAnsi="Arial" w:cs="Arial"/>
          <w:sz w:val="24"/>
          <w:szCs w:val="24"/>
          <w:lang w:val="sk-SK"/>
        </w:rPr>
        <w:t xml:space="preserve"> Pavol Zajac, Ján Figeľ a Pavol Hrušovský.</w:t>
      </w:r>
      <w:r w:rsidRPr="00ED5709">
        <w:rPr>
          <w:rFonts w:ascii="Arial" w:hAnsi="Arial" w:cs="Arial"/>
          <w:sz w:val="24"/>
          <w:szCs w:val="24"/>
          <w:lang w:val="sk-SK"/>
        </w:rPr>
        <w:t> </w:t>
      </w:r>
    </w:p>
    <w:p w:rsidR="00284908" w:rsidRPr="00ED5709" w:rsidP="00284908">
      <w:pPr>
        <w:tabs>
          <w:tab w:val="left" w:pos="360"/>
        </w:tabs>
        <w:bidi w:val="0"/>
        <w:spacing w:after="0" w:line="240" w:lineRule="auto"/>
        <w:ind w:left="360"/>
        <w:rPr>
          <w:rFonts w:ascii="Arial" w:hAnsi="Arial" w:cs="Arial"/>
          <w:sz w:val="24"/>
          <w:szCs w:val="24"/>
          <w:lang w:val="sk-SK"/>
        </w:rPr>
      </w:pPr>
      <w:r w:rsidRPr="00ED5709">
        <w:rPr>
          <w:rFonts w:ascii="Arial" w:hAnsi="Arial" w:cs="Arial"/>
          <w:sz w:val="24"/>
          <w:szCs w:val="24"/>
          <w:lang w:val="sk-SK"/>
        </w:rPr>
        <w:t xml:space="preserve"> </w:t>
      </w:r>
    </w:p>
    <w:p w:rsidR="00284908" w:rsidRPr="00ED5709" w:rsidP="00284908">
      <w:pPr>
        <w:bidi w:val="0"/>
        <w:spacing w:after="0" w:line="240" w:lineRule="auto"/>
        <w:ind w:left="360" w:hanging="360"/>
        <w:jc w:val="both"/>
        <w:rPr>
          <w:rFonts w:ascii="Arial" w:hAnsi="Arial" w:cs="Arial"/>
          <w:sz w:val="24"/>
          <w:szCs w:val="24"/>
          <w:lang w:val="sk-SK"/>
        </w:rPr>
      </w:pPr>
      <w:r w:rsidRPr="00ED5709">
        <w:rPr>
          <w:rFonts w:ascii="Arial" w:hAnsi="Arial" w:cs="Arial"/>
          <w:b/>
          <w:bCs/>
          <w:sz w:val="24"/>
          <w:szCs w:val="24"/>
          <w:lang w:val="sk-SK"/>
        </w:rPr>
        <w:t>2.</w:t>
        <w:tab/>
        <w:t>Názov návrhu právneho predpisu:</w:t>
      </w:r>
      <w:r w:rsidRPr="00ED5709">
        <w:rPr>
          <w:rFonts w:ascii="Arial" w:hAnsi="Arial" w:cs="Arial"/>
          <w:sz w:val="24"/>
          <w:szCs w:val="24"/>
          <w:lang w:val="sk-SK"/>
        </w:rPr>
        <w:t xml:space="preserve"> Návrh zákona, ktorým sa mení a dopĺňa zákon č. 171/2005 Z.z. o hazardných hrách a o zmene a doplnení niektorých zákonov v znení neskorších predpisov</w:t>
      </w:r>
      <w:r w:rsidR="00ED5709">
        <w:rPr>
          <w:rFonts w:ascii="Arial" w:hAnsi="Arial" w:cs="Arial"/>
          <w:sz w:val="24"/>
          <w:szCs w:val="24"/>
          <w:lang w:val="sk-SK"/>
        </w:rPr>
        <w:t>.</w:t>
      </w:r>
    </w:p>
    <w:p w:rsidR="00284908" w:rsidRPr="00ED5709" w:rsidP="00284908">
      <w:pPr>
        <w:bidi w:val="0"/>
        <w:spacing w:after="0" w:line="240" w:lineRule="auto"/>
        <w:ind w:left="360" w:hanging="360"/>
        <w:jc w:val="both"/>
        <w:rPr>
          <w:rFonts w:ascii="Arial" w:hAnsi="Arial" w:cs="Arial"/>
          <w:sz w:val="24"/>
          <w:szCs w:val="24"/>
          <w:lang w:val="sk-SK"/>
        </w:rPr>
      </w:pPr>
    </w:p>
    <w:p w:rsidR="00284908" w:rsidRPr="00ED5709" w:rsidP="00284908">
      <w:pPr>
        <w:tabs>
          <w:tab w:val="left" w:pos="708"/>
          <w:tab w:val="left" w:pos="1416"/>
          <w:tab w:val="left" w:pos="2124"/>
          <w:tab w:val="left" w:pos="2832"/>
          <w:tab w:val="left" w:pos="3540"/>
          <w:tab w:val="left" w:pos="4248"/>
          <w:tab w:val="left" w:pos="5190"/>
        </w:tabs>
        <w:bidi w:val="0"/>
        <w:spacing w:after="0" w:line="240" w:lineRule="auto"/>
        <w:ind w:left="360" w:hanging="360"/>
        <w:rPr>
          <w:rFonts w:ascii="Arial" w:hAnsi="Arial" w:cs="Arial"/>
          <w:b/>
          <w:bCs/>
          <w:sz w:val="24"/>
          <w:szCs w:val="24"/>
          <w:lang w:val="sk-SK"/>
        </w:rPr>
      </w:pPr>
      <w:r w:rsidRPr="00ED5709">
        <w:rPr>
          <w:rFonts w:ascii="Arial" w:hAnsi="Arial" w:cs="Arial"/>
          <w:b/>
          <w:bCs/>
          <w:sz w:val="24"/>
          <w:szCs w:val="24"/>
          <w:lang w:val="sk-SK"/>
        </w:rPr>
        <w:t>3.</w:t>
        <w:tab/>
        <w:t>Problematika návrhu právneho predpisu:</w:t>
        <w:tab/>
      </w:r>
    </w:p>
    <w:p w:rsidR="00ED5709" w:rsidRPr="00ED5709" w:rsidP="00ED5709">
      <w:pPr>
        <w:pStyle w:val="NormalWeb"/>
        <w:numPr>
          <w:numId w:val="1"/>
        </w:numPr>
        <w:bidi w:val="0"/>
        <w:spacing w:before="120" w:beforeAutospacing="0" w:after="0" w:afterAutospacing="0" w:line="276" w:lineRule="auto"/>
        <w:jc w:val="both"/>
        <w:rPr>
          <w:rFonts w:ascii="Arial" w:hAnsi="Arial" w:cs="Arial"/>
          <w:bCs/>
        </w:rPr>
      </w:pPr>
      <w:r w:rsidRPr="00ED5709">
        <w:rPr>
          <w:rFonts w:ascii="Arial" w:hAnsi="Arial" w:cs="Arial"/>
          <w:bCs/>
        </w:rPr>
        <w:t xml:space="preserve">je upravený v primárnom práve Európskej únie, a to v čl. 49, 51, 52 a 56 Zmluvy o fungovaní Európskej únie, </w:t>
      </w:r>
    </w:p>
    <w:p w:rsidR="00ED5709" w:rsidRPr="00ED5709" w:rsidP="00ED5709">
      <w:pPr>
        <w:pStyle w:val="NormalWeb"/>
        <w:numPr>
          <w:numId w:val="1"/>
        </w:numPr>
        <w:bidi w:val="0"/>
        <w:spacing w:before="120" w:beforeAutospacing="0" w:after="0" w:afterAutospacing="0" w:line="276" w:lineRule="auto"/>
        <w:jc w:val="both"/>
        <w:rPr>
          <w:rFonts w:ascii="Arial" w:hAnsi="Arial" w:cs="Arial"/>
          <w:bCs/>
        </w:rPr>
      </w:pPr>
      <w:r w:rsidRPr="00ED5709">
        <w:rPr>
          <w:rFonts w:ascii="Arial" w:hAnsi="Arial" w:cs="Arial"/>
          <w:bCs/>
        </w:rPr>
        <w:t>nie je upravený v sekundárnom práve Európskej únie,</w:t>
      </w:r>
    </w:p>
    <w:p w:rsidR="00ED5709" w:rsidRPr="00ED5709" w:rsidP="00ED5709">
      <w:pPr>
        <w:pStyle w:val="NormalWeb"/>
        <w:numPr>
          <w:numId w:val="1"/>
        </w:numPr>
        <w:bidi w:val="0"/>
        <w:spacing w:before="120" w:beforeAutospacing="0" w:after="0" w:afterAutospacing="0" w:line="276" w:lineRule="auto"/>
        <w:jc w:val="both"/>
        <w:rPr>
          <w:rFonts w:ascii="Arial" w:hAnsi="Arial" w:cs="Arial"/>
          <w:bCs/>
        </w:rPr>
      </w:pPr>
      <w:r w:rsidRPr="00ED5709">
        <w:rPr>
          <w:rFonts w:ascii="Arial" w:hAnsi="Arial" w:cs="Arial"/>
          <w:bCs/>
        </w:rPr>
        <w:t>je obsiahnutý v judikatúre Súdneho dvora Európskej únie, a to v:</w:t>
      </w:r>
    </w:p>
    <w:p w:rsidR="00ED5709" w:rsidRPr="00ED5709" w:rsidP="00ED5709">
      <w:pPr>
        <w:pStyle w:val="NormalWeb"/>
        <w:numPr>
          <w:numId w:val="2"/>
        </w:numPr>
        <w:bidi w:val="0"/>
        <w:spacing w:before="120" w:beforeAutospacing="0" w:after="0" w:afterAutospacing="0" w:line="276" w:lineRule="auto"/>
        <w:jc w:val="both"/>
        <w:rPr>
          <w:rFonts w:ascii="Arial" w:hAnsi="Arial" w:cs="Arial"/>
        </w:rPr>
      </w:pPr>
      <w:r w:rsidRPr="00ED5709">
        <w:rPr>
          <w:rFonts w:ascii="Arial" w:hAnsi="Arial" w:cs="Arial"/>
          <w:bCs/>
        </w:rPr>
        <w:t>rozsudku Súdneho dvora</w:t>
      </w:r>
      <w:r w:rsidRPr="00ED5709">
        <w:rPr>
          <w:rFonts w:ascii="Arial" w:hAnsi="Arial" w:cs="Arial"/>
        </w:rPr>
        <w:t xml:space="preserve"> v spojených veciach C</w:t>
      </w:r>
      <w:r w:rsidRPr="00ED5709">
        <w:rPr>
          <w:rFonts w:ascii="Arial" w:hAnsi="Arial" w:cs="Arial"/>
        </w:rPr>
        <w:noBreakHyphen/>
        <w:t>186/11 a C</w:t>
      </w:r>
      <w:r w:rsidRPr="00ED5709">
        <w:rPr>
          <w:rFonts w:ascii="Arial" w:hAnsi="Arial" w:cs="Arial"/>
        </w:rPr>
        <w:noBreakHyphen/>
        <w:t>209/11, Stanleybet International Ltd. a iní a Sportingbet plc. / Ypourgos Oikonomias kai Oikonomikon a Ypourgos Politismou, [2013] – 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ED5709" w:rsidRPr="00ED5709" w:rsidP="00ED5709">
      <w:pPr>
        <w:pStyle w:val="NormalWeb"/>
        <w:numPr>
          <w:numId w:val="2"/>
        </w:numPr>
        <w:bidi w:val="0"/>
        <w:spacing w:before="120" w:beforeAutospacing="0" w:after="0" w:afterAutospacing="0" w:line="276" w:lineRule="auto"/>
        <w:jc w:val="both"/>
        <w:rPr>
          <w:rFonts w:ascii="Arial" w:hAnsi="Arial" w:cs="Arial"/>
          <w:bCs/>
        </w:rPr>
      </w:pPr>
      <w:r w:rsidRPr="00ED5709">
        <w:rPr>
          <w:rFonts w:ascii="Arial" w:hAnsi="Arial" w:cs="Arial"/>
          <w:bCs/>
        </w:rPr>
        <w:t xml:space="preserve">rozsudku Súdneho dvora vo veci C – 470/11, SIA Garkalns / Rigas dome, </w:t>
      </w:r>
      <w:r w:rsidRPr="00ED5709">
        <w:rPr>
          <w:rFonts w:ascii="Arial" w:hAnsi="Arial" w:cs="Arial"/>
        </w:rPr>
        <w:t>[2013]</w:t>
      </w:r>
      <w:r w:rsidRPr="00ED5709">
        <w:rPr>
          <w:rFonts w:ascii="Arial" w:hAnsi="Arial" w:cs="Arial"/>
          <w:bCs/>
        </w:rPr>
        <w:t xml:space="preserve"> – článok 56 Zmluvy o fungovaní EÚ nebráni takej vnútroštátnej úprave členského štátu, ktorá priznáva miestnym orgánom širokú mieru voľnej úvahy, keď im dovoľuje zamietnuť licenciu na otvorenie kasína, herne alebo sály na bingo vzhľadom na „</w:t>
      </w:r>
      <w:r w:rsidRPr="00ED5709">
        <w:rPr>
          <w:rFonts w:ascii="Arial" w:hAnsi="Arial" w:cs="Arial"/>
          <w:bCs/>
          <w:i/>
        </w:rPr>
        <w:t>podstatný zásah do záujmov štátu a obyvateľov dotknutej správnej oblasti“</w:t>
      </w:r>
      <w:r w:rsidRPr="00ED5709">
        <w:rPr>
          <w:rFonts w:ascii="Arial" w:hAnsi="Arial" w:cs="Arial"/>
          <w:bCs/>
        </w:rPr>
        <w:t>,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prináleží, aby to overil,</w:t>
      </w:r>
    </w:p>
    <w:p w:rsidR="00ED5709" w:rsidRPr="00ED5709" w:rsidP="00ED5709">
      <w:pPr>
        <w:pStyle w:val="NormalWeb"/>
        <w:numPr>
          <w:numId w:val="2"/>
        </w:numPr>
        <w:bidi w:val="0"/>
        <w:spacing w:before="120" w:beforeAutospacing="0" w:after="0" w:afterAutospacing="0" w:line="276" w:lineRule="auto"/>
        <w:jc w:val="both"/>
        <w:rPr>
          <w:rFonts w:ascii="Arial" w:hAnsi="Arial" w:cs="Arial"/>
          <w:bCs/>
        </w:rPr>
      </w:pPr>
      <w:r w:rsidRPr="00ED5709">
        <w:rPr>
          <w:rFonts w:ascii="Arial" w:hAnsi="Arial" w:cs="Arial"/>
          <w:bCs/>
        </w:rPr>
        <w:t xml:space="preserve">rozsudku Súdneho dvora vo veci C - 42/07, Liga Portuguesa de Futebol Profissional, Bwin International Ltd / Departamento de Jogos da Santa Casa da Misericórdia de Lisboa, </w:t>
      </w:r>
      <w:r w:rsidRPr="00ED5709">
        <w:rPr>
          <w:rFonts w:ascii="Arial" w:hAnsi="Arial" w:cs="Arial"/>
        </w:rPr>
        <w:t>[2009]</w:t>
      </w:r>
      <w:r w:rsidRPr="00ED5709">
        <w:rPr>
          <w:rFonts w:ascii="Arial" w:hAnsi="Arial" w:cs="Arial"/>
          <w:bCs/>
        </w:rPr>
        <w:t xml:space="preserve"> – článok 56 Zmluvy o fungovaní EÚ nebráni takej vnútroštátnej úprave členského štátu, ktorá zakazuje prevádzkovateľom usadeným v iných členských štátoch EÚ, kde zákonne poskytujú analogické služby, prevádzkovať hazardné hry cez internet na území dotknutého členského štátu EÚ.</w:t>
      </w:r>
    </w:p>
    <w:p w:rsidR="00ED5709" w:rsidRPr="00ED5709" w:rsidP="00ED5709">
      <w:pPr>
        <w:pStyle w:val="NormalWeb"/>
        <w:bidi w:val="0"/>
        <w:spacing w:before="120" w:beforeAutospacing="0" w:after="0" w:afterAutospacing="0" w:line="276" w:lineRule="auto"/>
        <w:ind w:left="1440"/>
        <w:jc w:val="both"/>
        <w:rPr>
          <w:rFonts w:ascii="Arial" w:hAnsi="Arial" w:cs="Arial"/>
          <w:bCs/>
        </w:rPr>
      </w:pPr>
    </w:p>
    <w:p w:rsidR="00ED5709" w:rsidRPr="00ED5709" w:rsidP="00ED5709">
      <w:pPr>
        <w:pStyle w:val="NormalWeb"/>
        <w:numPr>
          <w:numId w:val="6"/>
        </w:numPr>
        <w:bidi w:val="0"/>
        <w:spacing w:before="120" w:beforeAutospacing="0" w:after="0" w:afterAutospacing="0" w:line="276" w:lineRule="auto"/>
        <w:ind w:left="284" w:hanging="284"/>
        <w:jc w:val="both"/>
        <w:rPr>
          <w:rFonts w:ascii="Arial" w:hAnsi="Arial" w:cs="Arial"/>
          <w:b/>
          <w:bCs/>
        </w:rPr>
      </w:pPr>
      <w:r w:rsidRPr="00ED5709">
        <w:rPr>
          <w:rFonts w:ascii="Arial" w:hAnsi="Arial" w:cs="Arial"/>
          <w:b/>
          <w:bCs/>
        </w:rPr>
        <w:t>Záväzky Slovenskej republiky vo vzťahu k Európskej únii:</w:t>
      </w:r>
    </w:p>
    <w:p w:rsidR="00ED5709" w:rsidRPr="00ED5709" w:rsidP="00ED5709">
      <w:pPr>
        <w:pStyle w:val="NormalWeb"/>
        <w:numPr>
          <w:numId w:val="5"/>
        </w:numPr>
        <w:bidi w:val="0"/>
        <w:spacing w:before="120" w:beforeAutospacing="0" w:after="0" w:afterAutospacing="0" w:line="276" w:lineRule="auto"/>
        <w:jc w:val="both"/>
        <w:rPr>
          <w:rFonts w:ascii="Arial" w:hAnsi="Arial" w:cs="Arial"/>
          <w:bCs/>
        </w:rPr>
      </w:pPr>
      <w:r w:rsidRPr="00ED5709">
        <w:rPr>
          <w:rFonts w:ascii="Arial" w:hAnsi="Arial" w:cs="Arial"/>
          <w:bCs/>
        </w:rPr>
        <w:t xml:space="preserve">bezpredmetné, </w:t>
      </w:r>
    </w:p>
    <w:p w:rsidR="00ED5709" w:rsidRPr="00ED5709" w:rsidP="00ED5709">
      <w:pPr>
        <w:pStyle w:val="NormalWeb"/>
        <w:numPr>
          <w:numId w:val="5"/>
        </w:numPr>
        <w:bidi w:val="0"/>
        <w:spacing w:before="120" w:beforeAutospacing="0" w:after="0" w:afterAutospacing="0" w:line="276" w:lineRule="auto"/>
        <w:jc w:val="both"/>
        <w:rPr>
          <w:rFonts w:ascii="Arial" w:hAnsi="Arial" w:cs="Arial"/>
          <w:bCs/>
        </w:rPr>
      </w:pPr>
      <w:r w:rsidRPr="00ED5709">
        <w:rPr>
          <w:rFonts w:ascii="Arial" w:hAnsi="Arial" w:cs="Arial"/>
          <w:bCs/>
        </w:rPr>
        <w:t>v danej oblasti nebol proti Slovenskej republike začatý postup Európskej komisie a ani konanie Súdneho dvora Európskej únie podľa článkov 258 až 260 Zmluvy o fungovaní Európskej únie,</w:t>
      </w:r>
    </w:p>
    <w:p w:rsidR="00ED5709" w:rsidRPr="00ED5709" w:rsidP="00ED5709">
      <w:pPr>
        <w:pStyle w:val="NormalWeb"/>
        <w:numPr>
          <w:numId w:val="5"/>
        </w:numPr>
        <w:bidi w:val="0"/>
        <w:spacing w:before="120" w:beforeAutospacing="0" w:after="0" w:afterAutospacing="0" w:line="276" w:lineRule="auto"/>
        <w:jc w:val="both"/>
        <w:rPr>
          <w:rFonts w:ascii="Arial" w:hAnsi="Arial" w:cs="Arial"/>
          <w:bCs/>
        </w:rPr>
      </w:pPr>
      <w:r w:rsidRPr="00ED5709">
        <w:rPr>
          <w:rFonts w:ascii="Arial" w:hAnsi="Arial" w:cs="Arial"/>
          <w:bCs/>
        </w:rPr>
        <w:t>bezpredmetné.</w:t>
      </w:r>
    </w:p>
    <w:p w:rsidR="00ED5709" w:rsidRPr="00ED5709" w:rsidP="00ED5709">
      <w:pPr>
        <w:pStyle w:val="NormalWeb"/>
        <w:bidi w:val="0"/>
        <w:spacing w:before="120" w:beforeAutospacing="0" w:after="0" w:afterAutospacing="0" w:line="276" w:lineRule="auto"/>
        <w:ind w:left="720"/>
        <w:jc w:val="both"/>
        <w:rPr>
          <w:rFonts w:ascii="Arial" w:hAnsi="Arial" w:cs="Arial"/>
          <w:bCs/>
        </w:rPr>
      </w:pPr>
    </w:p>
    <w:p w:rsidR="00ED5709" w:rsidRPr="00ED5709" w:rsidP="00ED5709">
      <w:pPr>
        <w:bidi w:val="0"/>
        <w:spacing w:after="0" w:line="240" w:lineRule="auto"/>
        <w:rPr>
          <w:rFonts w:ascii="Arial" w:hAnsi="Arial" w:cs="Arial"/>
          <w:b/>
          <w:bCs/>
          <w:sz w:val="24"/>
          <w:szCs w:val="24"/>
          <w:lang w:val="sk-SK"/>
        </w:rPr>
      </w:pPr>
      <w:r w:rsidRPr="00ED5709">
        <w:rPr>
          <w:rFonts w:ascii="Arial" w:hAnsi="Arial" w:cs="Arial"/>
          <w:b/>
          <w:bCs/>
          <w:sz w:val="24"/>
          <w:szCs w:val="24"/>
          <w:lang w:val="sk-SK"/>
        </w:rPr>
        <w:t>5. Stupeň zlučiteľnosti návrhu právneho predpisu s právom Európskej únie:</w:t>
      </w:r>
    </w:p>
    <w:p w:rsidR="00ED5709" w:rsidRPr="00ED5709" w:rsidP="00ED5709">
      <w:pPr>
        <w:pStyle w:val="NormalWeb"/>
        <w:numPr>
          <w:numId w:val="3"/>
        </w:numPr>
        <w:bidi w:val="0"/>
        <w:spacing w:before="120" w:beforeAutospacing="0" w:after="0" w:afterAutospacing="0" w:line="276" w:lineRule="auto"/>
        <w:jc w:val="both"/>
        <w:rPr>
          <w:rFonts w:ascii="Arial" w:hAnsi="Arial" w:cs="Arial"/>
        </w:rPr>
      </w:pPr>
      <w:r w:rsidRPr="00ED5709">
        <w:rPr>
          <w:rFonts w:ascii="Arial" w:hAnsi="Arial" w:cs="Arial"/>
          <w:bCs/>
        </w:rPr>
        <w:t>úplne.</w:t>
      </w:r>
    </w:p>
    <w:p w:rsidR="00ED5709" w:rsidRPr="00ED5709" w:rsidP="00ED5709">
      <w:pPr>
        <w:pStyle w:val="NormalWeb"/>
        <w:bidi w:val="0"/>
        <w:spacing w:before="120" w:beforeAutospacing="0" w:after="0" w:afterAutospacing="0" w:line="276" w:lineRule="auto"/>
        <w:rPr>
          <w:rFonts w:ascii="Arial" w:hAnsi="Arial" w:cs="Arial"/>
        </w:rPr>
      </w:pPr>
    </w:p>
    <w:p w:rsidR="00ED5709" w:rsidRPr="00ED5709" w:rsidP="00ED5709">
      <w:pPr>
        <w:pStyle w:val="NormalWeb"/>
        <w:bidi w:val="0"/>
        <w:spacing w:before="120" w:beforeAutospacing="0" w:after="0" w:afterAutospacing="0" w:line="276" w:lineRule="auto"/>
        <w:rPr>
          <w:rFonts w:ascii="Arial" w:hAnsi="Arial" w:cs="Arial"/>
        </w:rPr>
      </w:pPr>
    </w:p>
    <w:p w:rsidR="0000356C" w:rsidRPr="00ED5709">
      <w:pPr>
        <w:bidi w:val="0"/>
        <w:rPr>
          <w:rFonts w:ascii="Arial" w:hAnsi="Arial" w:cs="Arial"/>
          <w:sz w:val="24"/>
          <w:szCs w:val="24"/>
          <w:lang w:val="sk-SK"/>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33F419E"/>
    <w:multiLevelType w:val="hybridMultilevel"/>
    <w:tmpl w:val="2F74023C"/>
    <w:lvl w:ilvl="0">
      <w:start w:val="4"/>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75A1136"/>
    <w:multiLevelType w:val="hybridMultilevel"/>
    <w:tmpl w:val="F2C4D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284908"/>
    <w:rsid w:val="0000356C"/>
    <w:rsid w:val="00210E90"/>
    <w:rsid w:val="00284908"/>
    <w:rsid w:val="00433061"/>
    <w:rsid w:val="00476F15"/>
    <w:rsid w:val="00E64A5F"/>
    <w:rsid w:val="00ED570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908"/>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1a1">
    <w:name w:val="h1a1"/>
    <w:basedOn w:val="DefaultParagraphFont"/>
    <w:rsid w:val="00284908"/>
    <w:rPr>
      <w:rFonts w:cs="Times New Roman"/>
      <w:sz w:val="24"/>
      <w:szCs w:val="24"/>
      <w:rtl w:val="0"/>
      <w:cs w:val="0"/>
    </w:rPr>
  </w:style>
  <w:style w:type="paragraph" w:styleId="NormalWeb">
    <w:name w:val="Normal (Web)"/>
    <w:basedOn w:val="Normal"/>
    <w:uiPriority w:val="99"/>
    <w:rsid w:val="00ED5709"/>
    <w:pPr>
      <w:widowControl/>
      <w:adjustRightInd/>
      <w:spacing w:before="100" w:beforeAutospacing="1" w:after="100" w:afterAutospacing="1" w:line="240" w:lineRule="auto"/>
      <w:jc w:val="left"/>
    </w:pPr>
    <w:rPr>
      <w:rFonts w:ascii="Times New Roman" w:hAnsi="Times New Roman"/>
      <w:sz w:val="24"/>
      <w:szCs w:val="24"/>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FCCCF-8DB5-4D16-8098-36A96A0D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2</Pages>
  <Words>391</Words>
  <Characters>2272</Characters>
  <Application>Microsoft Office Word</Application>
  <DocSecurity>0</DocSecurity>
  <Lines>0</Lines>
  <Paragraphs>0</Paragraphs>
  <ScaleCrop>false</ScaleCrop>
  <Company>HP</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Pavol_Zajac</cp:lastModifiedBy>
  <cp:revision>4</cp:revision>
  <dcterms:created xsi:type="dcterms:W3CDTF">2015-08-21T12:11:00Z</dcterms:created>
  <dcterms:modified xsi:type="dcterms:W3CDTF">2015-08-25T17:18:00Z</dcterms:modified>
</cp:coreProperties>
</file>