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AE7" w:rsidRPr="00AE0FD3" w:rsidP="00460277">
      <w:pPr>
        <w:bidi w:val="0"/>
        <w:jc w:val="center"/>
        <w:rPr>
          <w:rFonts w:cs="Arial"/>
          <w:b/>
          <w:sz w:val="28"/>
          <w:u w:val="single"/>
          <w:lang w:val="sk-SK"/>
        </w:rPr>
      </w:pPr>
      <w:r w:rsidRPr="00AE0FD3">
        <w:rPr>
          <w:rFonts w:cs="Arial"/>
          <w:b/>
          <w:sz w:val="28"/>
          <w:u w:val="single"/>
          <w:lang w:val="sk-SK"/>
        </w:rPr>
        <w:t>NÁRODNÁ RADA SLOVENSKEJ REPUBLIKY</w:t>
      </w:r>
    </w:p>
    <w:p w:rsidR="004E2AE7" w:rsidRPr="00AE0FD3" w:rsidP="00460277">
      <w:pPr>
        <w:bidi w:val="0"/>
        <w:jc w:val="center"/>
        <w:rPr>
          <w:rFonts w:cs="Arial"/>
          <w:sz w:val="28"/>
          <w:lang w:val="sk-SK"/>
        </w:rPr>
      </w:pPr>
    </w:p>
    <w:p w:rsidR="004E2AE7" w:rsidRPr="00AE0FD3" w:rsidP="00460277">
      <w:pPr>
        <w:bidi w:val="0"/>
        <w:jc w:val="center"/>
        <w:rPr>
          <w:rFonts w:cs="Arial"/>
          <w:sz w:val="28"/>
          <w:lang w:val="sk-SK"/>
        </w:rPr>
      </w:pPr>
      <w:r w:rsidRPr="00AE0FD3">
        <w:rPr>
          <w:rFonts w:cs="Arial"/>
          <w:sz w:val="28"/>
          <w:lang w:val="sk-SK"/>
        </w:rPr>
        <w:t>V</w:t>
      </w:r>
      <w:r w:rsidRPr="00AE0FD3" w:rsidR="00FE3ADC">
        <w:rPr>
          <w:rFonts w:cs="Arial"/>
          <w:sz w:val="28"/>
          <w:lang w:val="sk-SK"/>
        </w:rPr>
        <w:t>I</w:t>
      </w:r>
      <w:r w:rsidRPr="00AE0FD3">
        <w:rPr>
          <w:rFonts w:cs="Arial"/>
          <w:sz w:val="28"/>
          <w:lang w:val="sk-SK"/>
        </w:rPr>
        <w:t>. volebné obdobie</w:t>
      </w:r>
    </w:p>
    <w:p w:rsidR="004E2AE7" w:rsidRPr="00AE0FD3" w:rsidP="00460277">
      <w:pPr>
        <w:bidi w:val="0"/>
        <w:jc w:val="center"/>
        <w:rPr>
          <w:rFonts w:cs="Arial"/>
          <w:sz w:val="28"/>
          <w:lang w:val="sk-SK"/>
        </w:rPr>
      </w:pPr>
    </w:p>
    <w:p w:rsidR="007D06E1" w:rsidRPr="00AE0FD3" w:rsidP="00460277">
      <w:pPr>
        <w:bidi w:val="0"/>
        <w:ind w:left="6372" w:firstLine="708"/>
        <w:jc w:val="center"/>
        <w:rPr>
          <w:rFonts w:cs="Arial"/>
          <w:sz w:val="28"/>
          <w:lang w:val="sk-SK"/>
        </w:rPr>
      </w:pPr>
      <w:r w:rsidRPr="00AE0FD3" w:rsidR="00FE3ADC">
        <w:rPr>
          <w:rFonts w:cs="Arial"/>
          <w:sz w:val="28"/>
          <w:lang w:val="sk-SK"/>
        </w:rPr>
        <w:t>Číslo :</w:t>
      </w:r>
    </w:p>
    <w:p w:rsidR="007D06E1" w:rsidRPr="00AE0FD3" w:rsidP="00460277">
      <w:pPr>
        <w:bidi w:val="0"/>
        <w:jc w:val="center"/>
        <w:rPr>
          <w:rFonts w:cs="Arial"/>
          <w:b/>
          <w:sz w:val="28"/>
          <w:lang w:val="sk-SK"/>
        </w:rPr>
      </w:pPr>
    </w:p>
    <w:p w:rsidR="004E2AE7" w:rsidRPr="00AE0FD3" w:rsidP="00460277">
      <w:pPr>
        <w:bidi w:val="0"/>
        <w:jc w:val="center"/>
        <w:rPr>
          <w:rFonts w:cs="Arial"/>
          <w:b/>
          <w:sz w:val="28"/>
          <w:lang w:val="sk-SK"/>
        </w:rPr>
      </w:pPr>
      <w:r w:rsidRPr="00AE0FD3">
        <w:rPr>
          <w:rFonts w:cs="Arial"/>
          <w:b/>
          <w:sz w:val="28"/>
          <w:lang w:val="sk-SK"/>
        </w:rPr>
        <w:t xml:space="preserve">Návrh </w:t>
      </w:r>
      <w:r w:rsidRPr="00AE0FD3" w:rsidR="00A9051E">
        <w:rPr>
          <w:rFonts w:cs="Arial"/>
          <w:b/>
          <w:sz w:val="28"/>
          <w:lang w:val="sk-SK"/>
        </w:rPr>
        <w:t xml:space="preserve">ústavného </w:t>
      </w:r>
      <w:r w:rsidRPr="00AE0FD3">
        <w:rPr>
          <w:rFonts w:cs="Arial"/>
          <w:b/>
          <w:sz w:val="28"/>
          <w:lang w:val="sk-SK"/>
        </w:rPr>
        <w:t>zákona</w:t>
      </w:r>
    </w:p>
    <w:p w:rsidR="004E2AE7" w:rsidRPr="00AE0FD3" w:rsidP="00460277">
      <w:pPr>
        <w:bidi w:val="0"/>
        <w:jc w:val="center"/>
        <w:rPr>
          <w:rFonts w:cs="Arial"/>
          <w:b/>
          <w:sz w:val="28"/>
          <w:lang w:val="sk-SK"/>
        </w:rPr>
      </w:pPr>
    </w:p>
    <w:p w:rsidR="004E2AE7" w:rsidRPr="00AE0FD3" w:rsidP="00460277">
      <w:pPr>
        <w:bidi w:val="0"/>
        <w:jc w:val="center"/>
        <w:rPr>
          <w:rFonts w:cs="Arial"/>
          <w:b/>
          <w:sz w:val="28"/>
          <w:lang w:val="sk-SK"/>
        </w:rPr>
      </w:pPr>
      <w:r w:rsidRPr="00AE0FD3" w:rsidR="00460277">
        <w:rPr>
          <w:rFonts w:cs="Arial"/>
          <w:b/>
          <w:sz w:val="28"/>
          <w:lang w:val="sk-SK"/>
        </w:rPr>
        <w:t>z ............ 201</w:t>
      </w:r>
      <w:r w:rsidR="00D53B9C">
        <w:rPr>
          <w:rFonts w:cs="Arial"/>
          <w:b/>
          <w:sz w:val="28"/>
          <w:lang w:val="sk-SK"/>
        </w:rPr>
        <w:t>5</w:t>
      </w:r>
      <w:r w:rsidRPr="00AE0FD3">
        <w:rPr>
          <w:rFonts w:cs="Arial"/>
          <w:b/>
          <w:sz w:val="28"/>
          <w:lang w:val="sk-SK"/>
        </w:rPr>
        <w:t>,</w:t>
      </w:r>
    </w:p>
    <w:p w:rsidR="004E2AE7" w:rsidRPr="00AE0FD3" w:rsidP="00460277">
      <w:pPr>
        <w:bidi w:val="0"/>
        <w:jc w:val="both"/>
        <w:rPr>
          <w:rFonts w:cs="Arial"/>
          <w:b/>
          <w:lang w:val="sk-SK"/>
        </w:rPr>
      </w:pPr>
    </w:p>
    <w:p w:rsidR="004E2AE7" w:rsidRPr="00AE0FD3" w:rsidP="00A9051E">
      <w:pPr>
        <w:bidi w:val="0"/>
        <w:jc w:val="center"/>
        <w:rPr>
          <w:rFonts w:cs="Arial"/>
          <w:lang w:val="sk-SK"/>
        </w:rPr>
      </w:pPr>
      <w:r w:rsidRPr="00AE0FD3" w:rsidR="00A9051E">
        <w:rPr>
          <w:rFonts w:cs="Arial"/>
          <w:lang w:val="sk-SK"/>
        </w:rPr>
        <w:t>o ochrane starobných dôchodkov</w:t>
      </w:r>
    </w:p>
    <w:p w:rsidR="00FE3ADC" w:rsidRPr="00AE0FD3" w:rsidP="00460277">
      <w:pPr>
        <w:bidi w:val="0"/>
        <w:jc w:val="both"/>
        <w:rPr>
          <w:rFonts w:cs="Arial"/>
          <w:lang w:val="sk-SK"/>
        </w:rPr>
      </w:pPr>
    </w:p>
    <w:p w:rsidR="00FE3ADC" w:rsidRPr="00AE0FD3" w:rsidP="00460277">
      <w:pPr>
        <w:bidi w:val="0"/>
        <w:jc w:val="both"/>
        <w:rPr>
          <w:rFonts w:cs="Arial"/>
          <w:lang w:val="sk-SK"/>
        </w:rPr>
      </w:pPr>
    </w:p>
    <w:p w:rsidR="007D06E1" w:rsidRPr="00AE0FD3" w:rsidP="00460277">
      <w:pPr>
        <w:bidi w:val="0"/>
        <w:jc w:val="both"/>
        <w:rPr>
          <w:rFonts w:cs="Arial"/>
          <w:lang w:val="sk-SK"/>
        </w:rPr>
      </w:pPr>
    </w:p>
    <w:p w:rsidR="004E2AE7" w:rsidRPr="00AE0FD3" w:rsidP="00460277">
      <w:pPr>
        <w:bidi w:val="0"/>
        <w:ind w:left="708"/>
        <w:jc w:val="both"/>
        <w:rPr>
          <w:rFonts w:cs="Arial"/>
          <w:b/>
          <w:lang w:val="sk-SK"/>
        </w:rPr>
      </w:pPr>
      <w:r w:rsidRPr="00AE0FD3">
        <w:rPr>
          <w:rFonts w:cs="Arial"/>
          <w:b/>
          <w:lang w:val="sk-SK"/>
        </w:rPr>
        <w:t xml:space="preserve">Národná rada Slovenskej republiky sa uzniesla na tomto zákone : </w:t>
      </w:r>
    </w:p>
    <w:p w:rsidR="00FE3ADC" w:rsidRPr="00AE0FD3" w:rsidP="00460277">
      <w:pPr>
        <w:bidi w:val="0"/>
        <w:ind w:left="708"/>
        <w:jc w:val="both"/>
        <w:rPr>
          <w:rFonts w:cs="Arial"/>
          <w:lang w:val="sk-SK"/>
        </w:rPr>
      </w:pPr>
    </w:p>
    <w:p w:rsidR="00FE3ADC" w:rsidRPr="00AE0FD3" w:rsidP="00460277">
      <w:pPr>
        <w:bidi w:val="0"/>
        <w:ind w:left="708"/>
        <w:jc w:val="both"/>
        <w:rPr>
          <w:rFonts w:cs="Arial"/>
          <w:sz w:val="32"/>
          <w:szCs w:val="32"/>
          <w:lang w:val="sk-SK"/>
        </w:rPr>
      </w:pPr>
    </w:p>
    <w:p w:rsidR="00995728" w:rsidRPr="00AE0FD3" w:rsidP="00995728">
      <w:pPr>
        <w:bidi w:val="0"/>
        <w:rPr>
          <w:rFonts w:cs="Arial"/>
          <w:b/>
          <w:szCs w:val="24"/>
          <w:lang w:val="sk-SK"/>
        </w:rPr>
      </w:pPr>
      <w:r w:rsidRPr="00AE0FD3" w:rsidR="004E2AE7">
        <w:rPr>
          <w:rFonts w:cs="Arial"/>
          <w:b/>
          <w:sz w:val="32"/>
          <w:szCs w:val="32"/>
          <w:lang w:val="sk-SK"/>
        </w:rPr>
        <w:tab/>
        <w:tab/>
        <w:tab/>
        <w:tab/>
        <w:tab/>
        <w:tab/>
      </w:r>
      <w:r w:rsidRPr="00AE0FD3">
        <w:rPr>
          <w:rFonts w:cs="Arial"/>
          <w:b/>
          <w:szCs w:val="24"/>
          <w:lang w:val="sk-SK"/>
        </w:rPr>
        <w:t xml:space="preserve">Čl. </w:t>
      </w:r>
      <w:r w:rsidRPr="00AE0FD3" w:rsidR="00AE0FD3">
        <w:rPr>
          <w:rFonts w:cs="Arial"/>
          <w:b/>
          <w:szCs w:val="24"/>
          <w:lang w:val="sk-SK"/>
        </w:rPr>
        <w:t>I</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Starobné dôchodkové sporenie</w:t>
      </w:r>
    </w:p>
    <w:p w:rsidR="00995728" w:rsidRPr="00AE0FD3" w:rsidP="00995728">
      <w:pPr>
        <w:bidi w:val="0"/>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Starobné dôchodkové sporenie je sporenie podľa osobitného predpisu</w:t>
      </w:r>
      <w:r w:rsidRPr="00AE0FD3">
        <w:rPr>
          <w:rFonts w:cs="Arial"/>
          <w:szCs w:val="24"/>
          <w:vertAlign w:val="superscript"/>
          <w:lang w:val="sk-SK"/>
        </w:rPr>
        <w:t>1</w:t>
      </w:r>
      <w:r w:rsidRPr="00AE0FD3">
        <w:rPr>
          <w:rFonts w:cs="Arial"/>
          <w:szCs w:val="24"/>
          <w:lang w:val="sk-SK"/>
        </w:rPr>
        <w:t>, ktorého účelom je spolu so starobným poistením podľa osobitného predpisu</w:t>
      </w:r>
      <w:r w:rsidRPr="00AE0FD3">
        <w:rPr>
          <w:rFonts w:cs="Arial"/>
          <w:szCs w:val="24"/>
          <w:vertAlign w:val="superscript"/>
          <w:lang w:val="sk-SK"/>
        </w:rPr>
        <w:t>2</w:t>
      </w:r>
      <w:r w:rsidRPr="00AE0FD3">
        <w:rPr>
          <w:rFonts w:cs="Arial"/>
          <w:szCs w:val="24"/>
          <w:lang w:val="sk-SK"/>
        </w:rPr>
        <w:t>, zabezpečiť príjem sporiteľovi v starobe a pozostalým pre prípad smrti. </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Pr="00AE0FD3" w:rsidR="00AE0FD3">
        <w:rPr>
          <w:rFonts w:cs="Arial"/>
          <w:b/>
          <w:szCs w:val="24"/>
          <w:lang w:val="sk-SK"/>
        </w:rPr>
        <w:t>II</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Nedotknuteľnosť vlastníckych práv</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Prostriedky nasporené sporiteľmi na ich osobných účtoch podľa osobitného predpisu</w:t>
      </w:r>
      <w:r w:rsidRPr="00AE0FD3">
        <w:rPr>
          <w:rFonts w:cs="Arial"/>
          <w:szCs w:val="24"/>
          <w:vertAlign w:val="superscript"/>
          <w:lang w:val="sk-SK"/>
        </w:rPr>
        <w:t>1</w:t>
      </w:r>
      <w:r w:rsidRPr="00AE0FD3">
        <w:rPr>
          <w:rFonts w:cs="Arial"/>
          <w:szCs w:val="24"/>
          <w:lang w:val="sk-SK"/>
        </w:rPr>
        <w:t xml:space="preserve"> sú osobným vlastníctvom sporiteľov a požívajú ochranu v zmysle Ústavy SR.</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00AE0FD3">
        <w:rPr>
          <w:rFonts w:cs="Arial"/>
          <w:b/>
          <w:szCs w:val="24"/>
          <w:lang w:val="sk-SK"/>
        </w:rPr>
        <w:t>Čl. III</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Nezrušiteľnosť starobného dôchodkového sporenia</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Starobné dôchodkové sporenie v zmysle tohto zákona je nezrušiteľné.</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IV</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Vek odchodu do dôchodku</w:t>
      </w:r>
    </w:p>
    <w:p w:rsidR="00E22D1C" w:rsidP="00187140">
      <w:pPr>
        <w:bidi w:val="0"/>
        <w:jc w:val="both"/>
        <w:rPr>
          <w:rFonts w:cs="Arial"/>
          <w:szCs w:val="24"/>
          <w:lang w:val="sk-SK"/>
        </w:rPr>
      </w:pPr>
      <w:r w:rsidRPr="00AE0FD3" w:rsidR="00995728">
        <w:rPr>
          <w:rFonts w:cs="Arial"/>
          <w:szCs w:val="24"/>
          <w:lang w:val="sk-SK"/>
        </w:rPr>
        <w:tab/>
        <w:br/>
      </w:r>
      <w:r w:rsidRPr="00AE0FD3" w:rsidR="00187140">
        <w:rPr>
          <w:rFonts w:cs="Arial"/>
          <w:color w:val="FF0000"/>
          <w:szCs w:val="24"/>
          <w:lang w:val="sk-SK"/>
        </w:rPr>
        <w:tab/>
      </w:r>
      <w:r w:rsidRPr="00AE0FD3" w:rsidR="00995728">
        <w:rPr>
          <w:rFonts w:cs="Arial"/>
          <w:szCs w:val="24"/>
          <w:lang w:val="sk-SK"/>
        </w:rPr>
        <w:t xml:space="preserve">(1) </w:t>
      </w:r>
      <w:r w:rsidRPr="00AE0FD3" w:rsidR="00187140">
        <w:rPr>
          <w:rFonts w:cs="Arial"/>
          <w:szCs w:val="24"/>
          <w:lang w:val="sk-SK"/>
        </w:rPr>
        <w:t>D</w:t>
      </w:r>
      <w:r w:rsidRPr="00AE0FD3" w:rsidR="00995728">
        <w:rPr>
          <w:rFonts w:cs="Arial"/>
          <w:szCs w:val="24"/>
          <w:lang w:val="sk-SK"/>
        </w:rPr>
        <w:t>ôchodkový vek v príslušnom kalendárnom roku je súčet dôchodkového veku v kalendárnom roku, ktorý predchádza príslušnému kalendárnemu roku a počtu dní, ktorý sa určí ako súčin čísla 365 a rozdielu priemernej strednej dĺžky života zistenej za prvé referenčné obdobie a priemernej strednej dĺžky života zisten</w:t>
      </w:r>
      <w:r w:rsidRPr="00AE0FD3" w:rsidR="00187140">
        <w:rPr>
          <w:rFonts w:cs="Arial"/>
          <w:szCs w:val="24"/>
          <w:lang w:val="sk-SK"/>
        </w:rPr>
        <w:t xml:space="preserve">ej za druhé referenčné obdobie. </w:t>
      </w:r>
      <w:r w:rsidRPr="00AE0FD3" w:rsidR="00995728">
        <w:rPr>
          <w:rFonts w:cs="Arial"/>
          <w:szCs w:val="24"/>
          <w:lang w:val="sk-SK"/>
        </w:rPr>
        <w:t>Takto určený počet dní sa zaokrúhľuje na celé dni nadol.</w:t>
      </w:r>
    </w:p>
    <w:p w:rsidR="00E22D1C" w:rsidP="00187140">
      <w:pPr>
        <w:bidi w:val="0"/>
        <w:jc w:val="both"/>
        <w:rPr>
          <w:rFonts w:cs="Arial"/>
          <w:szCs w:val="24"/>
          <w:lang w:val="sk-SK"/>
        </w:rPr>
      </w:pPr>
      <w:r w:rsidRPr="00AE0FD3" w:rsidR="00995728">
        <w:rPr>
          <w:rFonts w:cs="Arial"/>
          <w:szCs w:val="24"/>
          <w:lang w:val="sk-SK"/>
        </w:rPr>
        <w:br/>
      </w:r>
      <w:r w:rsidRPr="00AE0FD3" w:rsidR="00187140">
        <w:rPr>
          <w:rFonts w:cs="Arial"/>
          <w:szCs w:val="24"/>
          <w:lang w:val="sk-SK"/>
        </w:rPr>
        <w:tab/>
      </w:r>
      <w:r w:rsidRPr="00AE0FD3" w:rsidR="00995728">
        <w:rPr>
          <w:rFonts w:cs="Arial"/>
          <w:szCs w:val="24"/>
          <w:lang w:val="sk-SK"/>
        </w:rPr>
        <w:t>(2) Na účely určovania dôchodkového veku</w:t>
      </w:r>
    </w:p>
    <w:p w:rsidR="00E22D1C" w:rsidP="00187140">
      <w:pPr>
        <w:bidi w:val="0"/>
        <w:jc w:val="both"/>
        <w:rPr>
          <w:rFonts w:cs="Arial"/>
          <w:szCs w:val="24"/>
          <w:lang w:val="sk-SK"/>
        </w:rPr>
      </w:pPr>
      <w:r w:rsidRPr="00AE0FD3" w:rsidR="00995728">
        <w:rPr>
          <w:rFonts w:cs="Arial"/>
          <w:szCs w:val="24"/>
          <w:lang w:val="sk-SK"/>
        </w:rPr>
        <w:br/>
        <w:t xml:space="preserve">a) stredná dĺžka života je stredná dĺžka života v referenčnom veku vykázaná štatistickým úradom, spoločná pre mužov a ženy, </w:t>
      </w:r>
    </w:p>
    <w:p w:rsidR="00E22D1C" w:rsidP="00187140">
      <w:pPr>
        <w:bidi w:val="0"/>
        <w:jc w:val="both"/>
        <w:rPr>
          <w:rFonts w:cs="Arial"/>
          <w:szCs w:val="24"/>
          <w:lang w:val="sk-SK"/>
        </w:rPr>
      </w:pPr>
      <w:r w:rsidRPr="00AE0FD3" w:rsidR="00995728">
        <w:rPr>
          <w:rFonts w:cs="Arial"/>
          <w:szCs w:val="24"/>
          <w:lang w:val="sk-SK"/>
        </w:rPr>
        <w:br/>
        <w:t xml:space="preserve">b) referenčný vek je dôchodkový vek v príslušnom kalendárnom roku zaokrúhlený na celé roky nadol, </w:t>
      </w:r>
    </w:p>
    <w:p w:rsidR="00E22D1C" w:rsidP="00187140">
      <w:pPr>
        <w:bidi w:val="0"/>
        <w:jc w:val="both"/>
        <w:rPr>
          <w:rFonts w:cs="Arial"/>
          <w:szCs w:val="24"/>
          <w:lang w:val="sk-SK"/>
        </w:rPr>
      </w:pPr>
      <w:r w:rsidRPr="00AE0FD3" w:rsidR="00995728">
        <w:rPr>
          <w:rFonts w:cs="Arial"/>
          <w:szCs w:val="24"/>
          <w:lang w:val="sk-SK"/>
        </w:rPr>
        <w:br/>
        <w:t xml:space="preserve">c) prvé referenčné obdobie je obdobie piatich po sebe nasledujúcich kalendárnych rokov, ktoré sa začína kalendárnym rokom, ktorý o sedem rokov predchádza príslušnému kalendárnemu roku, </w:t>
      </w:r>
    </w:p>
    <w:p w:rsidR="00E22D1C" w:rsidP="00187140">
      <w:pPr>
        <w:bidi w:val="0"/>
        <w:jc w:val="both"/>
        <w:rPr>
          <w:rFonts w:cs="Arial"/>
          <w:szCs w:val="24"/>
          <w:lang w:val="sk-SK"/>
        </w:rPr>
      </w:pPr>
      <w:r w:rsidRPr="00AE0FD3" w:rsidR="00995728">
        <w:rPr>
          <w:rFonts w:cs="Arial"/>
          <w:szCs w:val="24"/>
          <w:lang w:val="sk-SK"/>
        </w:rPr>
        <w:br/>
        <w:t>d) druhé referenčné obdobie je obdobie piatich po sebe nasledujúcich kalendárnych rokov, ktoré sa začína kalendárnym rokom, ktorý o osem rokov pred</w:t>
      </w:r>
      <w:r>
        <w:rPr>
          <w:rFonts w:cs="Arial"/>
          <w:szCs w:val="24"/>
          <w:lang w:val="sk-SK"/>
        </w:rPr>
        <w:t xml:space="preserve">chádza príslušnému kalendárnemu </w:t>
      </w:r>
      <w:r w:rsidRPr="00AE0FD3" w:rsidR="00995728">
        <w:rPr>
          <w:rFonts w:cs="Arial"/>
          <w:szCs w:val="24"/>
          <w:lang w:val="sk-SK"/>
        </w:rPr>
        <w:t xml:space="preserve">roku, </w:t>
      </w:r>
    </w:p>
    <w:p w:rsidR="00E22D1C" w:rsidP="00187140">
      <w:pPr>
        <w:bidi w:val="0"/>
        <w:jc w:val="both"/>
        <w:rPr>
          <w:rFonts w:cs="Arial"/>
          <w:szCs w:val="24"/>
          <w:lang w:val="sk-SK"/>
        </w:rPr>
      </w:pPr>
      <w:r w:rsidRPr="00AE0FD3" w:rsidR="00995728">
        <w:rPr>
          <w:rFonts w:cs="Arial"/>
          <w:szCs w:val="24"/>
          <w:lang w:val="sk-SK"/>
        </w:rPr>
        <w:br/>
        <w:t>e) príslušný kalendárny rok je rok, v ktorom sa dôchodkový vek upravuje.</w:t>
      </w:r>
    </w:p>
    <w:p w:rsidR="00E22D1C" w:rsidP="00187140">
      <w:pPr>
        <w:bidi w:val="0"/>
        <w:jc w:val="both"/>
        <w:rPr>
          <w:rFonts w:cs="Arial"/>
          <w:szCs w:val="24"/>
          <w:lang w:val="sk-SK"/>
        </w:rPr>
      </w:pPr>
      <w:r w:rsidRPr="00AE0FD3" w:rsidR="00995728">
        <w:rPr>
          <w:rFonts w:cs="Arial"/>
          <w:szCs w:val="24"/>
          <w:lang w:val="sk-SK"/>
        </w:rPr>
        <w:br/>
      </w:r>
      <w:r w:rsidRPr="00AE0FD3" w:rsidR="00187140">
        <w:rPr>
          <w:rFonts w:cs="Arial"/>
          <w:szCs w:val="24"/>
          <w:lang w:val="sk-SK"/>
        </w:rPr>
        <w:tab/>
      </w:r>
      <w:r w:rsidRPr="00AE0FD3" w:rsidR="00995728">
        <w:rPr>
          <w:rFonts w:cs="Arial"/>
          <w:szCs w:val="24"/>
          <w:lang w:val="sk-SK"/>
        </w:rPr>
        <w:t>(3) Počet dní, o ktorý sa upravuje dôchodkový vek, dôchodkový vek vyjadrený v rokoch a dňoch na príslušný kalendárny rok a referenčný vek na príslušný kalendárny rok, sa ustanoví opatrením, ktoré vydá ministerstvo podľa údajov štatistického úradu a vyhlási jeho úplné znenie uverejnením v Zbierke zákonov najneskôr do 31. októbra kalendárneho roka, ktorý predchádza príslušnému kalendárnemu roku.</w:t>
      </w:r>
    </w:p>
    <w:p w:rsidR="00995728" w:rsidRPr="00E22D1C" w:rsidP="00187140">
      <w:pPr>
        <w:bidi w:val="0"/>
        <w:jc w:val="both"/>
        <w:rPr>
          <w:rFonts w:cs="Arial"/>
          <w:szCs w:val="24"/>
          <w:lang w:val="sk-SK"/>
        </w:rPr>
      </w:pPr>
      <w:r w:rsidRPr="00AE0FD3">
        <w:rPr>
          <w:rFonts w:cs="Arial"/>
          <w:szCs w:val="24"/>
          <w:lang w:val="sk-SK"/>
        </w:rPr>
        <w:br/>
      </w:r>
      <w:r w:rsidRPr="00AE0FD3" w:rsidR="00187140">
        <w:rPr>
          <w:rFonts w:cs="Arial"/>
          <w:szCs w:val="24"/>
          <w:lang w:val="sk-SK"/>
        </w:rPr>
        <w:tab/>
      </w:r>
      <w:r w:rsidRPr="00AE0FD3">
        <w:rPr>
          <w:rFonts w:cs="Arial"/>
          <w:szCs w:val="24"/>
          <w:lang w:val="sk-SK"/>
        </w:rPr>
        <w:t xml:space="preserve">(4) Dôchodkový vek poistenca, ktorý po 31. decembri 2016 dovŕši dôchodkový vek určený podľa </w:t>
      </w:r>
      <w:r w:rsidRPr="00AE0FD3" w:rsidR="00187140">
        <w:rPr>
          <w:rFonts w:cs="Arial"/>
          <w:szCs w:val="24"/>
          <w:lang w:val="sk-SK"/>
        </w:rPr>
        <w:t>osobitného predpisu</w:t>
      </w:r>
      <w:r w:rsidRPr="00AE0FD3" w:rsidR="00187140">
        <w:rPr>
          <w:rFonts w:cs="Arial"/>
          <w:szCs w:val="24"/>
          <w:vertAlign w:val="superscript"/>
          <w:lang w:val="sk-SK"/>
        </w:rPr>
        <w:t>3</w:t>
      </w:r>
      <w:r w:rsidRPr="00AE0FD3" w:rsidR="00187140">
        <w:rPr>
          <w:rFonts w:cs="Arial"/>
          <w:szCs w:val="24"/>
          <w:lang w:val="sk-SK"/>
        </w:rPr>
        <w:t>, sa zachováva.</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V</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Sadzba a spôsob určenia povinných príspevkov na dôchodkové starobné sporenie</w:t>
      </w:r>
    </w:p>
    <w:p w:rsidR="00995728" w:rsidRPr="00AE0FD3" w:rsidP="00995728">
      <w:pPr>
        <w:bidi w:val="0"/>
        <w:rPr>
          <w:rFonts w:cs="Arial"/>
          <w:szCs w:val="24"/>
          <w:lang w:val="sk-SK"/>
        </w:rPr>
      </w:pPr>
    </w:p>
    <w:p w:rsidR="00995728" w:rsidP="00995728">
      <w:pPr>
        <w:bidi w:val="0"/>
        <w:jc w:val="both"/>
        <w:rPr>
          <w:rFonts w:cs="Arial"/>
          <w:szCs w:val="24"/>
          <w:lang w:val="sk-SK"/>
        </w:rPr>
      </w:pPr>
      <w:r w:rsidRPr="00AE0FD3">
        <w:rPr>
          <w:rFonts w:cs="Arial"/>
          <w:szCs w:val="24"/>
          <w:lang w:val="sk-SK"/>
        </w:rPr>
        <w:tab/>
        <w:t>(1) Suma povinných príspevkov na určuje percentuálnou sadzbou z vymeriavacieho základu dosiahnutého v rozhodujúcom období podľa osobitného predpisu</w:t>
      </w:r>
      <w:r w:rsidRPr="00AE0FD3">
        <w:rPr>
          <w:rFonts w:cs="Arial"/>
          <w:szCs w:val="24"/>
          <w:vertAlign w:val="superscript"/>
          <w:lang w:val="sk-SK"/>
        </w:rPr>
        <w:t>1</w:t>
      </w:r>
      <w:r w:rsidRPr="00AE0FD3" w:rsidR="00187140">
        <w:rPr>
          <w:rFonts w:cs="Arial"/>
          <w:szCs w:val="24"/>
          <w:lang w:val="sk-SK"/>
        </w:rPr>
        <w:t>.</w:t>
      </w:r>
    </w:p>
    <w:p w:rsidR="00E22D1C" w:rsidRPr="00AE0FD3" w:rsidP="00995728">
      <w:pPr>
        <w:bidi w:val="0"/>
        <w:jc w:val="both"/>
        <w:rPr>
          <w:rFonts w:cs="Arial"/>
          <w:szCs w:val="24"/>
          <w:lang w:val="sk-SK"/>
        </w:rPr>
      </w:pPr>
    </w:p>
    <w:p w:rsidR="00995728" w:rsidP="00995728">
      <w:pPr>
        <w:bidi w:val="0"/>
        <w:jc w:val="both"/>
        <w:rPr>
          <w:rFonts w:cs="Arial"/>
          <w:szCs w:val="24"/>
          <w:lang w:val="sk-SK"/>
        </w:rPr>
      </w:pPr>
      <w:r w:rsidRPr="00AE0FD3">
        <w:rPr>
          <w:rFonts w:cs="Arial"/>
          <w:szCs w:val="24"/>
          <w:lang w:val="sk-SK"/>
        </w:rPr>
        <w:tab/>
        <w:t>(2) Sadzba povinných príspevkov je pre zamestnávateľa, samostatne zárobkovo činnú osobu povinne dôchodkovo poistenú podľa osobitného predpisu zúčastnenú na starobnom dôchodkovom sporení, dobrovoľne dôchodkovo poistenú osobu podľa osobitného predpisu zúčastnenú na starobnom dôchodkovom sporení, štát a Sociálnu poisťovňu</w:t>
      </w:r>
      <w:r w:rsidRPr="00AE0FD3" w:rsidR="00742F8D">
        <w:rPr>
          <w:rFonts w:cs="Arial"/>
          <w:szCs w:val="24"/>
          <w:lang w:val="sk-SK"/>
        </w:rPr>
        <w:t xml:space="preserve"> najmenej</w:t>
      </w:r>
    </w:p>
    <w:p w:rsidR="00E22D1C"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 v roku 2017 4,25 % z vymeriavacieho základu</w:t>
      </w:r>
    </w:p>
    <w:p w:rsidR="00995728" w:rsidRPr="00AE0FD3" w:rsidP="00995728">
      <w:pPr>
        <w:bidi w:val="0"/>
        <w:jc w:val="both"/>
        <w:rPr>
          <w:rFonts w:cs="Arial"/>
          <w:szCs w:val="24"/>
          <w:lang w:val="sk-SK"/>
        </w:rPr>
      </w:pPr>
      <w:r w:rsidRPr="00AE0FD3">
        <w:rPr>
          <w:rFonts w:cs="Arial"/>
          <w:szCs w:val="24"/>
          <w:lang w:val="sk-SK"/>
        </w:rPr>
        <w:t>b) v roku 2018 4,50 % z vymeriavacieho základu,</w:t>
      </w:r>
    </w:p>
    <w:p w:rsidR="00995728" w:rsidRPr="00AE0FD3" w:rsidP="00995728">
      <w:pPr>
        <w:bidi w:val="0"/>
        <w:jc w:val="both"/>
        <w:rPr>
          <w:rFonts w:cs="Arial"/>
          <w:szCs w:val="24"/>
          <w:lang w:val="sk-SK"/>
        </w:rPr>
      </w:pPr>
      <w:r w:rsidRPr="00AE0FD3">
        <w:rPr>
          <w:rFonts w:cs="Arial"/>
          <w:szCs w:val="24"/>
          <w:lang w:val="sk-SK"/>
        </w:rPr>
        <w:t>c) v roku 2019 4,75 % z vymeriavacieho základu,</w:t>
      </w:r>
    </w:p>
    <w:p w:rsidR="00995728" w:rsidRPr="00AE0FD3" w:rsidP="00995728">
      <w:pPr>
        <w:bidi w:val="0"/>
        <w:jc w:val="both"/>
        <w:rPr>
          <w:rFonts w:cs="Arial"/>
          <w:szCs w:val="24"/>
          <w:lang w:val="sk-SK"/>
        </w:rPr>
      </w:pPr>
      <w:r w:rsidRPr="00AE0FD3">
        <w:rPr>
          <w:rFonts w:cs="Arial"/>
          <w:szCs w:val="24"/>
          <w:lang w:val="sk-SK"/>
        </w:rPr>
        <w:t>d) v roku 2020 5 % z vymeriavacieho základu,</w:t>
      </w:r>
    </w:p>
    <w:p w:rsidR="00995728" w:rsidRPr="00AE0FD3" w:rsidP="00995728">
      <w:pPr>
        <w:bidi w:val="0"/>
        <w:jc w:val="both"/>
        <w:rPr>
          <w:rFonts w:cs="Arial"/>
          <w:szCs w:val="24"/>
          <w:lang w:val="sk-SK"/>
        </w:rPr>
      </w:pPr>
      <w:r w:rsidRPr="00AE0FD3">
        <w:rPr>
          <w:rFonts w:cs="Arial"/>
          <w:szCs w:val="24"/>
          <w:lang w:val="sk-SK"/>
        </w:rPr>
        <w:t>e) v roku 2021 5,25 % z vymeriavacieho základu,</w:t>
      </w:r>
    </w:p>
    <w:p w:rsidR="00995728" w:rsidRPr="00AE0FD3" w:rsidP="00995728">
      <w:pPr>
        <w:bidi w:val="0"/>
        <w:jc w:val="both"/>
        <w:rPr>
          <w:rFonts w:cs="Arial"/>
          <w:szCs w:val="24"/>
          <w:lang w:val="sk-SK"/>
        </w:rPr>
      </w:pPr>
      <w:r w:rsidRPr="00AE0FD3">
        <w:rPr>
          <w:rFonts w:cs="Arial"/>
          <w:szCs w:val="24"/>
          <w:lang w:val="sk-SK"/>
        </w:rPr>
        <w:t>f) v roku 2022 5,50 % z vymeriavacieho základu,</w:t>
      </w:r>
    </w:p>
    <w:p w:rsidR="00995728" w:rsidRPr="00AE0FD3" w:rsidP="00995728">
      <w:pPr>
        <w:bidi w:val="0"/>
        <w:jc w:val="both"/>
        <w:rPr>
          <w:rFonts w:cs="Arial"/>
          <w:szCs w:val="24"/>
          <w:lang w:val="sk-SK"/>
        </w:rPr>
      </w:pPr>
      <w:r w:rsidRPr="00AE0FD3">
        <w:rPr>
          <w:rFonts w:cs="Arial"/>
          <w:szCs w:val="24"/>
          <w:lang w:val="sk-SK"/>
        </w:rPr>
        <w:t>g) v roku 2023 5,75 % z vymeriavacieho základu,</w:t>
      </w:r>
    </w:p>
    <w:p w:rsidR="00995728" w:rsidRPr="00AE0FD3" w:rsidP="00995728">
      <w:pPr>
        <w:bidi w:val="0"/>
        <w:jc w:val="both"/>
        <w:rPr>
          <w:rFonts w:cs="Arial"/>
          <w:szCs w:val="24"/>
          <w:lang w:val="sk-SK"/>
        </w:rPr>
      </w:pPr>
      <w:r w:rsidRPr="00AE0FD3">
        <w:rPr>
          <w:rFonts w:cs="Arial"/>
          <w:szCs w:val="24"/>
          <w:lang w:val="sk-SK"/>
        </w:rPr>
        <w:t>h) v roku 2024 a nasledujúcich rokoch 6% z vymeriavacieho základu.</w:t>
      </w:r>
    </w:p>
    <w:p w:rsidR="00995728" w:rsidRPr="00AE0FD3" w:rsidP="00995728">
      <w:pPr>
        <w:bidi w:val="0"/>
        <w:rPr>
          <w:rFonts w:cs="Arial"/>
          <w:szCs w:val="24"/>
          <w:lang w:val="sk-SK"/>
        </w:rPr>
      </w:pPr>
    </w:p>
    <w:p w:rsidR="00187140" w:rsidRPr="00AE0FD3" w:rsidP="00995728">
      <w:pPr>
        <w:bidi w:val="0"/>
        <w:rPr>
          <w:rFonts w:cs="Arial"/>
          <w:szCs w:val="24"/>
          <w:lang w:val="sk-SK"/>
        </w:rPr>
      </w:pPr>
    </w:p>
    <w:p w:rsidR="00AE0FD3" w:rsidP="00995728">
      <w:pPr>
        <w:bidi w:val="0"/>
        <w:jc w:val="center"/>
        <w:rPr>
          <w:rFonts w:cs="Arial"/>
          <w:b/>
          <w:szCs w:val="24"/>
          <w:lang w:val="sk-SK"/>
        </w:rPr>
      </w:pPr>
    </w:p>
    <w:p w:rsidR="00995728" w:rsidP="00AE0FD3">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VI</w:t>
      </w:r>
    </w:p>
    <w:p w:rsidR="00AE0FD3" w:rsidRPr="00AE0FD3" w:rsidP="00AE0FD3">
      <w:pPr>
        <w:bidi w:val="0"/>
        <w:jc w:val="center"/>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Účinnosť</w:t>
      </w:r>
    </w:p>
    <w:p w:rsidR="00995728" w:rsidRPr="00AE0FD3" w:rsidP="00995728">
      <w:pPr>
        <w:bidi w:val="0"/>
        <w:jc w:val="both"/>
        <w:rPr>
          <w:rFonts w:cs="Arial"/>
          <w:szCs w:val="24"/>
          <w:lang w:val="sk-SK"/>
        </w:rPr>
      </w:pPr>
    </w:p>
    <w:p w:rsidR="00995728" w:rsidRPr="00AE0FD3" w:rsidP="00AE0FD3">
      <w:pPr>
        <w:bidi w:val="0"/>
        <w:jc w:val="center"/>
        <w:rPr>
          <w:rFonts w:cs="Arial"/>
          <w:szCs w:val="24"/>
          <w:lang w:val="sk-SK"/>
        </w:rPr>
      </w:pPr>
      <w:r w:rsidRPr="00AE0FD3">
        <w:rPr>
          <w:rFonts w:cs="Arial"/>
          <w:szCs w:val="24"/>
          <w:lang w:val="sk-SK"/>
        </w:rPr>
        <w:t>Tento zákon nadobúda ú</w:t>
      </w:r>
      <w:r w:rsidRPr="00AE0FD3" w:rsidR="00187140">
        <w:rPr>
          <w:rFonts w:cs="Arial"/>
          <w:szCs w:val="24"/>
          <w:lang w:val="sk-SK"/>
        </w:rPr>
        <w:t>činnosť 1.</w:t>
      </w:r>
      <w:r w:rsidRPr="00AE0FD3">
        <w:rPr>
          <w:rFonts w:cs="Arial"/>
          <w:szCs w:val="24"/>
          <w:lang w:val="sk-SK"/>
        </w:rPr>
        <w:t xml:space="preserve"> januára 2017.</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1) Zákon č. 43/2004 Z.</w:t>
      </w:r>
      <w:r w:rsidR="00D53B9C">
        <w:rPr>
          <w:rFonts w:cs="Arial"/>
          <w:szCs w:val="24"/>
          <w:lang w:val="sk-SK"/>
        </w:rPr>
        <w:t xml:space="preserve"> </w:t>
      </w:r>
      <w:r w:rsidRPr="00AE0FD3">
        <w:rPr>
          <w:rFonts w:cs="Arial"/>
          <w:szCs w:val="24"/>
          <w:lang w:val="sk-SK"/>
        </w:rPr>
        <w:t>z. o starobnom dôchodkovom poistení v znení</w:t>
      </w:r>
    </w:p>
    <w:p w:rsidR="00995728" w:rsidRPr="00AE0FD3" w:rsidP="00995728">
      <w:pPr>
        <w:bidi w:val="0"/>
        <w:jc w:val="both"/>
        <w:rPr>
          <w:rFonts w:cs="Arial"/>
          <w:szCs w:val="24"/>
          <w:lang w:val="sk-SK"/>
        </w:rPr>
      </w:pPr>
      <w:r w:rsidRPr="00AE0FD3">
        <w:rPr>
          <w:rFonts w:cs="Arial"/>
          <w:szCs w:val="24"/>
          <w:lang w:val="sk-SK"/>
        </w:rPr>
        <w:t>2) Zákon č. 461/2003 Z.</w:t>
      </w:r>
      <w:r w:rsidR="00D53B9C">
        <w:rPr>
          <w:rFonts w:cs="Arial"/>
          <w:szCs w:val="24"/>
          <w:lang w:val="sk-SK"/>
        </w:rPr>
        <w:t xml:space="preserve"> </w:t>
      </w:r>
      <w:r w:rsidRPr="00AE0FD3">
        <w:rPr>
          <w:rFonts w:cs="Arial"/>
          <w:szCs w:val="24"/>
          <w:lang w:val="sk-SK"/>
        </w:rPr>
        <w:t>z. o sociálnom poistení</w:t>
      </w:r>
    </w:p>
    <w:p w:rsidR="00C86514" w:rsidRPr="00AE0FD3" w:rsidP="00AE0FD3">
      <w:pPr>
        <w:bidi w:val="0"/>
        <w:jc w:val="both"/>
        <w:rPr>
          <w:rFonts w:cs="Arial"/>
          <w:b/>
          <w:lang w:val="sk-SK"/>
        </w:rPr>
      </w:pPr>
      <w:r w:rsidRPr="00AE0FD3" w:rsidR="00187140">
        <w:rPr>
          <w:rFonts w:cs="Arial"/>
          <w:szCs w:val="24"/>
          <w:lang w:val="sk-SK"/>
        </w:rPr>
        <w:t>3) § 65 ods. 4 až 8 a § 274 zákona č. 461/2003 Z.</w:t>
      </w:r>
      <w:r w:rsidR="00D53B9C">
        <w:rPr>
          <w:rFonts w:cs="Arial"/>
          <w:szCs w:val="24"/>
          <w:lang w:val="sk-SK"/>
        </w:rPr>
        <w:t xml:space="preserve"> </w:t>
      </w:r>
      <w:r w:rsidRPr="00AE0FD3" w:rsidR="00187140">
        <w:rPr>
          <w:rFonts w:cs="Arial"/>
          <w:szCs w:val="24"/>
          <w:lang w:val="sk-SK"/>
        </w:rPr>
        <w:t>z. o sociálnom poistení</w:t>
      </w:r>
    </w:p>
    <w:sectPr>
      <w:pgSz w:w="12240" w:h="15840"/>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EA0"/>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CF1B72"/>
    <w:multiLevelType w:val="hybridMultilevel"/>
    <w:tmpl w:val="C0784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5892CCB"/>
    <w:multiLevelType w:val="hybridMultilevel"/>
    <w:tmpl w:val="991A08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14D0381"/>
    <w:multiLevelType w:val="hybridMultilevel"/>
    <w:tmpl w:val="E4E4C4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3C70D3E"/>
    <w:multiLevelType w:val="hybridMultilevel"/>
    <w:tmpl w:val="59F436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0E56501"/>
    <w:multiLevelType w:val="hybridMultilevel"/>
    <w:tmpl w:val="797E580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4E751917"/>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D0068B4"/>
    <w:multiLevelType w:val="hybridMultilevel"/>
    <w:tmpl w:val="633A45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E5E1F23"/>
    <w:multiLevelType w:val="hybridMultilevel"/>
    <w:tmpl w:val="55503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B1C31"/>
    <w:rsid w:val="00055145"/>
    <w:rsid w:val="00075087"/>
    <w:rsid w:val="000C74F8"/>
    <w:rsid w:val="00135D39"/>
    <w:rsid w:val="00136F71"/>
    <w:rsid w:val="001569CD"/>
    <w:rsid w:val="00187140"/>
    <w:rsid w:val="00200E6D"/>
    <w:rsid w:val="00266E3F"/>
    <w:rsid w:val="002A5F50"/>
    <w:rsid w:val="002B6D5C"/>
    <w:rsid w:val="00361B4B"/>
    <w:rsid w:val="00383997"/>
    <w:rsid w:val="003C06E2"/>
    <w:rsid w:val="003D4E23"/>
    <w:rsid w:val="00421EDE"/>
    <w:rsid w:val="00427D42"/>
    <w:rsid w:val="00460277"/>
    <w:rsid w:val="004B1213"/>
    <w:rsid w:val="004B1C31"/>
    <w:rsid w:val="004D1BDF"/>
    <w:rsid w:val="004E2AE7"/>
    <w:rsid w:val="00524263"/>
    <w:rsid w:val="00550037"/>
    <w:rsid w:val="00664D87"/>
    <w:rsid w:val="006A013B"/>
    <w:rsid w:val="006A132E"/>
    <w:rsid w:val="006D7D51"/>
    <w:rsid w:val="00742F8D"/>
    <w:rsid w:val="00752251"/>
    <w:rsid w:val="00782331"/>
    <w:rsid w:val="00785887"/>
    <w:rsid w:val="007926B4"/>
    <w:rsid w:val="0079286B"/>
    <w:rsid w:val="007D06E1"/>
    <w:rsid w:val="00832FB3"/>
    <w:rsid w:val="00841E16"/>
    <w:rsid w:val="00995728"/>
    <w:rsid w:val="009C3DCA"/>
    <w:rsid w:val="009C4AC7"/>
    <w:rsid w:val="00A9051E"/>
    <w:rsid w:val="00AA03AF"/>
    <w:rsid w:val="00AE0FD3"/>
    <w:rsid w:val="00B05F3B"/>
    <w:rsid w:val="00B07C2C"/>
    <w:rsid w:val="00B625B4"/>
    <w:rsid w:val="00C86514"/>
    <w:rsid w:val="00C86F1F"/>
    <w:rsid w:val="00C97C36"/>
    <w:rsid w:val="00CC3323"/>
    <w:rsid w:val="00D126EA"/>
    <w:rsid w:val="00D1299D"/>
    <w:rsid w:val="00D21E9B"/>
    <w:rsid w:val="00D53B9C"/>
    <w:rsid w:val="00E12FC9"/>
    <w:rsid w:val="00E22D1C"/>
    <w:rsid w:val="00EE028C"/>
    <w:rsid w:val="00EF151D"/>
    <w:rsid w:val="00F33211"/>
    <w:rsid w:val="00FC012B"/>
    <w:rsid w:val="00FE3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7D06E1"/>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tl w:val="0"/>
      <w:cs w:val="0"/>
      <w:lang w:val="en-US" w:eastAsia="x-none"/>
    </w:rPr>
  </w:style>
  <w:style w:type="paragraph" w:styleId="BodyText2">
    <w:name w:val="Body Text 2"/>
    <w:basedOn w:val="Normal"/>
    <w:link w:val="BodyText2Char"/>
    <w:uiPriority w:val="99"/>
    <w:rsid w:val="00FE3ADC"/>
    <w:pPr>
      <w:widowControl w:val="0"/>
      <w:autoSpaceDE w:val="0"/>
      <w:autoSpaceDN w:val="0"/>
      <w:adjustRightInd w:val="0"/>
      <w:spacing w:after="120" w:line="480" w:lineRule="auto"/>
      <w:jc w:val="left"/>
    </w:pPr>
    <w:rPr>
      <w:rFonts w:ascii="Times New Roman" w:hAnsi="Times New Roman"/>
      <w:szCs w:val="24"/>
      <w:lang w:val="sk-SK"/>
    </w:rPr>
  </w:style>
  <w:style w:type="character" w:customStyle="1" w:styleId="BodyText2Char">
    <w:name w:val="Body Text 2 Char"/>
    <w:basedOn w:val="DefaultParagraphFont"/>
    <w:link w:val="BodyText2"/>
    <w:uiPriority w:val="99"/>
    <w:locked/>
    <w:rsid w:val="00FE3ADC"/>
    <w:rPr>
      <w:rFonts w:ascii="Times New Roman" w:hAnsi="Times New Roman" w:cs="Times New Roman"/>
      <w:sz w:val="24"/>
      <w:rtl w:val="0"/>
      <w:cs w:val="0"/>
    </w:rPr>
  </w:style>
  <w:style w:type="paragraph" w:styleId="ListParagraph">
    <w:name w:val="List Paragraph"/>
    <w:basedOn w:val="Normal"/>
    <w:uiPriority w:val="34"/>
    <w:qFormat/>
    <w:rsid w:val="00FE3ADC"/>
    <w:pPr>
      <w:ind w:left="708"/>
      <w:jc w:val="left"/>
    </w:pPr>
    <w:rPr>
      <w:rFonts w:cs="Arial"/>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569</Words>
  <Characters>3171</Characters>
  <Application>Microsoft Office Word</Application>
  <DocSecurity>0</DocSecurity>
  <Lines>0</Lines>
  <Paragraphs>0</Paragraphs>
  <ScaleCrop>false</ScaleCrop>
  <Company>Kancelaria NR SR</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Petra Satinová</dc:creator>
  <cp:lastModifiedBy>Satinová Petra</cp:lastModifiedBy>
  <cp:revision>2</cp:revision>
  <cp:lastPrinted>2011-04-28T11:34:00Z</cp:lastPrinted>
  <dcterms:created xsi:type="dcterms:W3CDTF">2015-08-19T16:00:00Z</dcterms:created>
  <dcterms:modified xsi:type="dcterms:W3CDTF">2015-08-19T16:00:00Z</dcterms:modified>
</cp:coreProperties>
</file>