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A77" w:rsidRPr="00D47699" w:rsidP="00D14A77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D47699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14A77" w:rsidRPr="00D47699" w:rsidP="00D14A77">
      <w:pPr>
        <w:bidi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47699">
        <w:rPr>
          <w:rFonts w:ascii="Times New Roman" w:hAnsi="Times New Roman"/>
          <w:b/>
          <w:bCs/>
          <w:color w:val="000000"/>
          <w:sz w:val="24"/>
          <w:szCs w:val="24"/>
        </w:rPr>
        <w:t>vybraných vplyvov</w:t>
      </w:r>
    </w:p>
    <w:p w:rsidR="00D14A77" w:rsidRPr="00D47699" w:rsidP="00D14A77">
      <w:pPr>
        <w:bidi w:val="0"/>
        <w:jc w:val="both"/>
        <w:rPr>
          <w:rFonts w:ascii="Times New Roman" w:hAnsi="Times New Roman"/>
          <w:color w:val="000000"/>
        </w:rPr>
      </w:pPr>
      <w:r w:rsidRPr="00D47699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D47699">
        <w:rPr>
          <w:rFonts w:ascii="Times New Roman" w:hAnsi="Times New Roman"/>
          <w:color w:val="000000"/>
        </w:rPr>
        <w:t xml:space="preserve">Návrh zákona, </w:t>
      </w:r>
      <w:r w:rsidRPr="00D47699">
        <w:rPr>
          <w:rFonts w:ascii="Times New Roman" w:hAnsi="Times New Roman"/>
          <w:bCs/>
          <w:color w:val="000000"/>
        </w:rPr>
        <w:t xml:space="preserve">ktorým sa mení a dopĺňa zákon č. 580/2004 Z. z. o zdravotnom poistení </w:t>
      </w:r>
      <w:r w:rsidRPr="00D47699">
        <w:rPr>
          <w:rFonts w:ascii="Times New Roman" w:hAnsi="Times New Roman"/>
        </w:rPr>
        <w:t xml:space="preserve">a  o  zmene  a  doplnení  zákona  č.   95/2002 Z. z. o poisťovníctve a o zmene a doplnení niektorých zákonov v znení neskorších predpisov </w:t>
      </w:r>
    </w:p>
    <w:p w:rsidR="00D14A77" w:rsidRPr="00D47699" w:rsidP="00D14A77">
      <w:pPr>
        <w:bidi w:val="0"/>
        <w:jc w:val="both"/>
        <w:rPr>
          <w:rFonts w:ascii="Times New Roman" w:hAnsi="Times New Roman"/>
          <w:color w:val="000000"/>
        </w:rPr>
      </w:pPr>
      <w:r w:rsidRPr="00D47699">
        <w:rPr>
          <w:rFonts w:ascii="Times New Roman" w:hAnsi="Times New Roman"/>
          <w:b/>
          <w:bCs/>
          <w:color w:val="000000"/>
        </w:rPr>
        <w:t>Termín začatia a ukončenia PPK:</w:t>
      </w:r>
      <w:r w:rsidRPr="00D47699">
        <w:rPr>
          <w:rFonts w:ascii="Times New Roman" w:hAnsi="Times New Roman"/>
          <w:color w:val="000000"/>
        </w:rPr>
        <w:t xml:space="preserve"> -  </w:t>
      </w:r>
    </w:p>
    <w:p w:rsidR="00D14A77" w:rsidRPr="00D47699" w:rsidP="00D14A77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D14A77" w:rsidRPr="00D47699" w:rsidP="00D14A77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47699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28"/>
        <w:gridCol w:w="1189"/>
        <w:gridCol w:w="1179"/>
        <w:gridCol w:w="1192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2. Vplyvy na podnikateľské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D14A77" w:rsidRPr="00D47699" w:rsidP="00D14A77">
      <w:pPr>
        <w:bidi w:val="0"/>
        <w:rPr>
          <w:rFonts w:ascii="Times New Roman" w:hAnsi="Times New Roman"/>
          <w:color w:val="000000"/>
        </w:rPr>
      </w:pPr>
      <w:r w:rsidRPr="00D47699">
        <w:rPr>
          <w:rFonts w:ascii="Times New Roman" w:hAnsi="Times New Roman"/>
          <w:color w:val="000000"/>
        </w:rPr>
        <w:t> </w:t>
      </w:r>
    </w:p>
    <w:p w:rsidR="00D14A77" w:rsidRPr="00D47699" w:rsidP="00D14A77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47699">
        <w:rPr>
          <w:rFonts w:ascii="Times New Roman" w:hAnsi="Times New Roman"/>
          <w:b/>
          <w:bCs/>
          <w:color w:val="000000"/>
        </w:rPr>
        <w:t>A.3. Poznámky</w:t>
      </w:r>
    </w:p>
    <w:p w:rsidR="00D14A77" w:rsidRPr="00D47699" w:rsidP="00D14A77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47699">
        <w:rPr>
          <w:rFonts w:ascii="Times New Roman" w:hAnsi="Times New Roman"/>
          <w:b/>
          <w:bCs/>
          <w:color w:val="000000"/>
        </w:rPr>
        <w:t>A.4. Alternatívne riešenia</w:t>
      </w:r>
    </w:p>
    <w:p w:rsidR="00D14A77" w:rsidRPr="00D47699" w:rsidP="00D14A77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47699">
        <w:rPr>
          <w:rFonts w:ascii="Times New Roman" w:hAnsi="Times New Roman"/>
          <w:b/>
          <w:bCs/>
          <w:color w:val="000000"/>
        </w:rPr>
        <w:t>A.5. Stanovisko gestorov</w:t>
      </w:r>
    </w:p>
    <w:p w:rsidR="00D14A77" w:rsidRPr="00D47699" w:rsidP="00D14A77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D47699">
        <w:rPr>
          <w:rFonts w:ascii="Times New Roman" w:hAnsi="Times New Roman"/>
          <w:color w:val="000000"/>
        </w:rPr>
        <w:t>- </w:t>
      </w:r>
    </w:p>
    <w:p w:rsidR="00D14A77" w:rsidRPr="00D47699" w:rsidP="00D14A77">
      <w:pPr>
        <w:bidi w:val="0"/>
        <w:rPr>
          <w:rFonts w:ascii="Times New Roman" w:hAnsi="Times New Roman"/>
          <w:b/>
          <w:bCs/>
        </w:rPr>
      </w:pPr>
      <w:r w:rsidRPr="00D47699">
        <w:rPr>
          <w:rFonts w:ascii="Times New Roman" w:hAnsi="Times New Roman"/>
          <w:b/>
          <w:bCs/>
        </w:rPr>
        <w:br w:type="page"/>
      </w:r>
    </w:p>
    <w:p w:rsidR="00D14A77" w:rsidRPr="00D47699" w:rsidP="00D14A77">
      <w:pPr>
        <w:bidi w:val="0"/>
        <w:jc w:val="center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Vplyvy na rozpočet verejnej správy,</w:t>
      </w:r>
    </w:p>
    <w:p w:rsidR="00D14A77" w:rsidRPr="00D47699" w:rsidP="00D14A77">
      <w:pPr>
        <w:bidi w:val="0"/>
        <w:jc w:val="center"/>
        <w:rPr>
          <w:rFonts w:ascii="Times New Roman" w:hAnsi="Times New Roman"/>
          <w:b/>
          <w:bCs/>
        </w:rPr>
      </w:pPr>
      <w:r w:rsidRPr="00D47699">
        <w:rPr>
          <w:rFonts w:ascii="Times New Roman" w:hAnsi="Times New Roman"/>
          <w:b/>
          <w:bCs/>
        </w:rPr>
        <w:t xml:space="preserve">na zamestnanosť vo verejnej správe a financovanie </w:t>
      </w:r>
    </w:p>
    <w:p w:rsidR="00D14A77" w:rsidRPr="00D47699" w:rsidP="00D14A77">
      <w:pPr>
        <w:bidi w:val="0"/>
        <w:jc w:val="center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návrhu zákona, ktorým sa mení a dopĺňa zákon č. 580/2004 Z. z. o </w:t>
      </w:r>
      <w:r w:rsidRPr="00D47699">
        <w:rPr>
          <w:rFonts w:ascii="Times New Roman" w:hAnsi="Times New Roman"/>
          <w:b/>
        </w:rPr>
        <w:t xml:space="preserve">zdravotnom  poistení  a  o  zmene  a  doplnení  zákona  č.   95/2002 Z. z. o poisťovníctve a o zmene a doplnení niektorých zákonov v znení neskorších predpisov 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</w:rPr>
        <w:t> </w:t>
      </w:r>
    </w:p>
    <w:p w:rsidR="00D14A77" w:rsidRPr="00D47699" w:rsidP="00D14A77">
      <w:pPr>
        <w:bidi w:val="0"/>
        <w:rPr>
          <w:rFonts w:ascii="Times New Roman" w:hAnsi="Times New Roman"/>
          <w:b/>
          <w:bCs/>
        </w:rPr>
      </w:pPr>
      <w:r w:rsidRPr="00D47699">
        <w:rPr>
          <w:rFonts w:ascii="Times New Roman" w:hAnsi="Times New Roman"/>
          <w:b/>
          <w:bCs/>
        </w:rPr>
        <w:t xml:space="preserve">2.1. Zhrnutie vplyvov na rozpočet verejnej správy v návrhu </w:t>
      </w:r>
    </w:p>
    <w:tbl>
      <w:tblPr>
        <w:tblStyle w:val="TableNormal"/>
        <w:tblW w:w="5116" w:type="pct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2"/>
        <w:gridCol w:w="1815"/>
        <w:gridCol w:w="1714"/>
        <w:gridCol w:w="1785"/>
      </w:tblGrid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Tabuľka č. 1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verejnej správy</w:t>
            </w:r>
          </w:p>
        </w:tc>
        <w:tc>
          <w:tcPr>
            <w:tcW w:w="2819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Vplyv na rozpočet verejnej správy (ESA2010) v €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9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Príjmy verejnej správy celkom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 w:themeColor="tx1" w:themeShade="FF"/>
              </w:rPr>
            </w:pPr>
            <w:r w:rsidRPr="00D47699">
              <w:rPr>
                <w:rFonts w:ascii="Times New Roman" w:hAnsi="Times New Roman"/>
                <w:b/>
                <w:bCs/>
                <w:color w:val="000000" w:themeColor="tx1" w:themeShade="FF"/>
              </w:rPr>
              <w:t>-180 000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 w:themeColor="tx1" w:themeShade="FF"/>
              </w:rPr>
            </w:pPr>
            <w:r w:rsidRPr="00D47699">
              <w:rPr>
                <w:rFonts w:ascii="Times New Roman" w:hAnsi="Times New Roman"/>
                <w:b/>
                <w:bCs/>
                <w:color w:val="000000" w:themeColor="tx1" w:themeShade="FF"/>
              </w:rPr>
              <w:t>-180 000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 w:themeColor="tx1" w:themeShade="FF"/>
              </w:rPr>
            </w:pPr>
            <w:r w:rsidRPr="00D47699">
              <w:rPr>
                <w:rFonts w:ascii="Times New Roman" w:hAnsi="Times New Roman"/>
                <w:b/>
                <w:bCs/>
                <w:color w:val="000000" w:themeColor="tx1" w:themeShade="FF"/>
              </w:rPr>
              <w:t>-180 000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-180 000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-180 000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-180 000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Výdavky verejnej správy celkom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 xml:space="preserve">Štátny rozpočet 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Sociálna poisťovňa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18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zdravotné poisťovne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 xml:space="preserve">Celková zamestnanosť 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 xml:space="preserve">- z toho vplyv na ŠR 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0" w:type="dxa"/>
            <w:right w:w="0" w:type="dxa"/>
          </w:tblCellMar>
        </w:tblPrEx>
        <w:trPr>
          <w:trHeight w:val="70"/>
        </w:trPr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>Financovanie zabezpečené v rozpočte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>0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0" w:type="dxa"/>
            <w:right w:w="0" w:type="dxa"/>
          </w:tblCellMar>
        </w:tblPrEx>
        <w:trPr>
          <w:trHeight w:val="601"/>
        </w:trPr>
        <w:tc>
          <w:tcPr>
            <w:tcW w:w="2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v tom: za každý subjekt verejnej správy / program zvlášť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14A77" w:rsidRPr="00D47699" w:rsidP="002D3825">
            <w:pPr>
              <w:bidi w:val="0"/>
              <w:spacing w:line="70" w:lineRule="atLeast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</w:tbl>
    <w:p w:rsidR="00D14A77" w:rsidRPr="00D47699" w:rsidP="00D14A77">
      <w:pPr>
        <w:bidi w:val="0"/>
        <w:rPr>
          <w:rFonts w:ascii="Times New Roman" w:hAnsi="Times New Roman"/>
          <w:b/>
          <w:bCs/>
        </w:rPr>
      </w:pPr>
    </w:p>
    <w:p w:rsidR="00D14A77" w:rsidP="00D14A77">
      <w:pPr>
        <w:bidi w:val="0"/>
        <w:rPr>
          <w:rFonts w:ascii="Times New Roman" w:hAnsi="Times New Roman"/>
          <w:b/>
          <w:bCs/>
        </w:rPr>
      </w:pP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2.2. Financovanie návrhu</w:t>
      </w:r>
    </w:p>
    <w:tbl>
      <w:tblPr>
        <w:tblStyle w:val="TableNormal"/>
        <w:tblW w:w="5000" w:type="pct"/>
        <w:tblCellMar>
          <w:left w:w="70" w:type="dxa"/>
          <w:right w:w="70" w:type="dxa"/>
        </w:tblCellMar>
        <w:tblLook w:val="04A0"/>
      </w:tblPr>
      <w:tblGrid>
        <w:gridCol w:w="4446"/>
        <w:gridCol w:w="1588"/>
        <w:gridCol w:w="1588"/>
        <w:gridCol w:w="1590"/>
      </w:tblGrid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Tabuľka č. 2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  <w:u w:val="single"/>
              </w:rPr>
              <w:t>Financovanie</w:t>
            </w:r>
          </w:p>
        </w:tc>
        <w:tc>
          <w:tcPr>
            <w:tcW w:w="2281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Vplyv na rozpočet verejnej správy (ESA2010) v €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76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2018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Celkový vplyv na rozpočet verejnej správy (- príjmy, + výdavky resp. zníženie príjmov)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</w:rPr>
              <w:t xml:space="preserve">180 000 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</w:rPr>
              <w:t>180 000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z toho vplyv na ŠR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Obce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VÚC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z toho vplyv na Sociálnu poisťovňu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z toho vplyv na zdravotné poisťovne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180 000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180 000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180 000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financovanie zabezpečené v rozpočte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 xml:space="preserve">ostatné zdroje financovania 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Rozpočtovo nekrytý vplyv / úspora *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</w:rPr>
              <w:t>180 000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180 000</w:t>
            </w:r>
          </w:p>
        </w:tc>
        <w:tc>
          <w:tcPr>
            <w:tcW w:w="7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180 000</w:t>
            </w:r>
          </w:p>
        </w:tc>
      </w:tr>
      <w:tr>
        <w:tblPrEx>
          <w:tblW w:w="5000" w:type="pct"/>
          <w:tblCellMar>
            <w:left w:w="70" w:type="dxa"/>
            <w:right w:w="70" w:type="dxa"/>
          </w:tblCellMar>
          <w:tblLook w:val="04A0"/>
        </w:tblPrEx>
        <w:trPr>
          <w:trHeight w:val="20"/>
        </w:trPr>
        <w:tc>
          <w:tcPr>
            <w:tcW w:w="271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D47699">
              <w:rPr>
                <w:rFonts w:ascii="Times New Roman" w:hAnsi="Times New Roman"/>
                <w:color w:val="000000"/>
              </w:rPr>
              <w:t>* úspora má znamienko (-)</w:t>
            </w: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0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</w:tr>
    </w:tbl>
    <w:p w:rsidR="00D14A77" w:rsidRPr="00D47699" w:rsidP="00D14A77">
      <w:pPr>
        <w:bidi w:val="0"/>
        <w:rPr>
          <w:rFonts w:ascii="Times New Roman" w:hAnsi="Times New Roman"/>
          <w:b/>
          <w:bCs/>
        </w:rPr>
      </w:pP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Návrh na riešenie úbytku príjmov alebo zvýšených výdavkov podľa § 33 ods. 1 zákona č. 523/2004 Z. z. o rozpočtových pravidlách verejnej správy:</w:t>
      </w:r>
    </w:p>
    <w:p w:rsidR="00D14A77" w:rsidRPr="00D47699" w:rsidP="00D14A7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 </w:t>
      </w:r>
    </w:p>
    <w:p w:rsidR="00D14A77" w:rsidRPr="00D47699" w:rsidP="00D14A7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jc w:val="both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Úbytok príjmov bude pokrytý z vlastných zdrojov zdravotných poisťovní (z príjmov verejného zdravotného poistenia), bez dodatočného nároku na zdroje štátneho rozpočtu. </w:t>
      </w:r>
    </w:p>
    <w:p w:rsidR="00D14A77" w:rsidRPr="00D47699" w:rsidP="00D14A77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bidi w:val="0"/>
        <w:rPr>
          <w:rFonts w:ascii="Times New Roman" w:hAnsi="Times New Roman"/>
          <w:bCs/>
        </w:rPr>
      </w:pPr>
      <w:r w:rsidRPr="00D47699">
        <w:rPr>
          <w:rFonts w:ascii="Times New Roman" w:hAnsi="Times New Roman"/>
          <w:b/>
          <w:bCs/>
        </w:rPr>
        <w:t> 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2.3. Popis a charakteristika návrhu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</w:rPr>
        <w:t> </w:t>
      </w:r>
      <w:r w:rsidRPr="00D47699">
        <w:rPr>
          <w:rFonts w:ascii="Times New Roman" w:hAnsi="Times New Roman"/>
          <w:b/>
          <w:bCs/>
        </w:rPr>
        <w:t>2.3.1. Popis návrhu:</w:t>
      </w:r>
    </w:p>
    <w:p w:rsidR="00D14A77" w:rsidRPr="00D47699" w:rsidP="00D14A7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  <w:r w:rsidRPr="00D47699">
        <w:rPr>
          <w:rFonts w:ascii="Times New Roman" w:hAnsi="Times New Roman"/>
          <w:b/>
          <w:bCs/>
        </w:rPr>
        <w:t xml:space="preserve"> zákona, ktor</w:t>
      </w:r>
      <w:r>
        <w:rPr>
          <w:rFonts w:ascii="Times New Roman" w:hAnsi="Times New Roman"/>
          <w:b/>
          <w:bCs/>
        </w:rPr>
        <w:t>ým</w:t>
      </w:r>
      <w:r w:rsidRPr="00D47699">
        <w:rPr>
          <w:rFonts w:ascii="Times New Roman" w:hAnsi="Times New Roman"/>
          <w:b/>
          <w:bCs/>
        </w:rPr>
        <w:t xml:space="preserve"> sa mení a dopĺňa zákon č. 580/2004 Z. z. o zdravotnom poistení </w:t>
      </w:r>
      <w:r w:rsidR="001727EB">
        <w:rPr>
          <w:rFonts w:ascii="Times New Roman" w:hAnsi="Times New Roman"/>
          <w:b/>
          <w:bCs/>
        </w:rPr>
        <w:t xml:space="preserve">a o zmene a doplnení zákona č. 95/2002 Z. z. o poisťovníctve a o zmene a doplnení niektorých zákonov </w:t>
      </w:r>
      <w:r w:rsidRPr="00D47699">
        <w:rPr>
          <w:rFonts w:ascii="Times New Roman" w:hAnsi="Times New Roman"/>
          <w:b/>
          <w:bCs/>
        </w:rPr>
        <w:t>v znení neskorších predpisov</w:t>
      </w:r>
    </w:p>
    <w:p w:rsidR="00D14A77" w:rsidRPr="00D47699" w:rsidP="00D14A77">
      <w:pPr>
        <w:bidi w:val="0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</w:rPr>
        <w:t xml:space="preserve">Návrhom zákona </w:t>
      </w:r>
      <w:r w:rsidRPr="00D47699">
        <w:rPr>
          <w:rFonts w:ascii="Times New Roman" w:hAnsi="Times New Roman"/>
        </w:rPr>
        <w:t xml:space="preserve"> </w:t>
      </w:r>
      <w:r w:rsidRPr="00D47699">
        <w:rPr>
          <w:rFonts w:ascii="Times New Roman" w:hAnsi="Times New Roman"/>
          <w:color w:val="000000" w:themeColor="tx1" w:themeShade="FF"/>
        </w:rPr>
        <w:t xml:space="preserve">sa zavádza oslobodenie likvidačného zostatku spod odvodovej povinnosti v prípade, ak  príjem z likvidačného zostatku </w:t>
      </w:r>
      <w:r>
        <w:rPr>
          <w:rFonts w:ascii="Times New Roman" w:hAnsi="Times New Roman"/>
          <w:color w:val="000000" w:themeColor="tx1" w:themeShade="FF"/>
        </w:rPr>
        <w:t xml:space="preserve"> nie je predmetom</w:t>
      </w:r>
      <w:r w:rsidRPr="00D47699">
        <w:rPr>
          <w:rFonts w:ascii="Times New Roman" w:hAnsi="Times New Roman"/>
          <w:color w:val="000000" w:themeColor="tx1" w:themeShade="FF"/>
        </w:rPr>
        <w:t xml:space="preserve"> dane z príjmov..</w:t>
      </w:r>
    </w:p>
    <w:p w:rsidR="00D14A77" w:rsidRPr="00D47699" w:rsidP="00D14A77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D47699">
        <w:rPr>
          <w:rFonts w:ascii="Times New Roman" w:hAnsi="Times New Roman"/>
          <w:color w:val="000000" w:themeColor="tx1" w:themeShade="FF"/>
        </w:rPr>
        <w:t>Doposiaľ odhadovaný príj</w:t>
      </w:r>
      <w:r>
        <w:rPr>
          <w:rFonts w:ascii="Times New Roman" w:hAnsi="Times New Roman"/>
          <w:color w:val="000000" w:themeColor="tx1" w:themeShade="FF"/>
        </w:rPr>
        <w:t>e</w:t>
      </w:r>
      <w:r w:rsidRPr="00D47699">
        <w:rPr>
          <w:rFonts w:ascii="Times New Roman" w:hAnsi="Times New Roman"/>
          <w:color w:val="000000" w:themeColor="tx1" w:themeShade="FF"/>
        </w:rPr>
        <w:t>m zdravotných poisťovní vo výške 180 000 eur ročne je vo výške 0,04 promile celkových príjmov z poistného. Uvedená zmena je vzhľadom na celkový objem zdrojov zanedbateľná a výpadok príjmov bude v plnej miere riešený z vlastných zdrojov zdravotnej poisťovne, bez dodatočného nároku na štátny rozpočet.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2.3.2. Charakteristika návrhu podľa bodu  2.3.2. Metodiky :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</w:rPr>
        <w:t> </w:t>
      </w:r>
      <w:r w:rsidRPr="00D47699">
        <w:rPr>
          <w:rFonts w:ascii="Times New Roman" w:hAnsi="Times New Roman"/>
          <w:b/>
          <w:bCs/>
          <w:bdr w:val="single" w:sz="4" w:space="0" w:color="000000" w:frame="1"/>
        </w:rPr>
        <w:t xml:space="preserve">     </w:t>
      </w:r>
      <w:r w:rsidRPr="00D47699">
        <w:rPr>
          <w:rFonts w:ascii="Times New Roman" w:hAnsi="Times New Roman"/>
          <w:b/>
          <w:bCs/>
        </w:rPr>
        <w:t xml:space="preserve">  </w:t>
      </w:r>
      <w:r w:rsidRPr="00D47699">
        <w:rPr>
          <w:rFonts w:ascii="Times New Roman" w:hAnsi="Times New Roman"/>
        </w:rPr>
        <w:t>zmena sadzby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D47699">
        <w:rPr>
          <w:rFonts w:ascii="Times New Roman" w:hAnsi="Times New Roman"/>
        </w:rPr>
        <w:t>  zmena v nároku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dr w:val="single" w:sz="4" w:space="0" w:color="000000" w:frame="1"/>
        </w:rPr>
        <w:t xml:space="preserve">     </w:t>
      </w:r>
      <w:r w:rsidRPr="00D47699">
        <w:rPr>
          <w:rFonts w:ascii="Times New Roman" w:hAnsi="Times New Roman"/>
        </w:rPr>
        <w:t>  nová služba alebo nariadenie (alebo ich zrušenie)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dr w:val="single" w:sz="4" w:space="0" w:color="000000" w:frame="1"/>
        </w:rPr>
        <w:t>     </w:t>
      </w:r>
      <w:r w:rsidRPr="00D47699">
        <w:rPr>
          <w:rFonts w:ascii="Times New Roman" w:hAnsi="Times New Roman"/>
        </w:rPr>
        <w:t>  kombinovaný návrh</w:t>
      </w:r>
    </w:p>
    <w:p w:rsidR="00D14A77" w:rsidRPr="00D47699" w:rsidP="00D14A77">
      <w:pPr>
        <w:bidi w:val="0"/>
        <w:jc w:val="both"/>
        <w:rPr>
          <w:rFonts w:ascii="Times New Roman" w:hAnsi="Times New Roman"/>
        </w:rPr>
      </w:pPr>
      <w:r w:rsidRPr="00D47699">
        <w:rPr>
          <w:rFonts w:ascii="Times New Roman" w:hAnsi="Times New Roman"/>
          <w:bdr w:val="single" w:sz="4" w:space="0" w:color="000000" w:frame="1"/>
        </w:rPr>
        <w:t xml:space="preserve"> X </w:t>
      </w:r>
      <w:r w:rsidRPr="00D47699">
        <w:rPr>
          <w:rFonts w:ascii="Times New Roman" w:hAnsi="Times New Roman"/>
        </w:rPr>
        <w:t>  iné (zúženie vymeriavacieho základu pre výpočet zdravotných odvodov, oslobodením likvidačného zostatku spod odvodovej povinnosti)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</w:rPr>
        <w:t>  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  <w:b/>
          <w:bCs/>
        </w:rPr>
        <w:t>2.3.3. Predpoklady vývoja objemu aktivít:</w:t>
      </w:r>
    </w:p>
    <w:p w:rsidR="00D14A77" w:rsidRPr="00D47699" w:rsidP="00D14A77">
      <w:pPr>
        <w:bidi w:val="0"/>
        <w:rPr>
          <w:rFonts w:ascii="Times New Roman" w:hAnsi="Times New Roman"/>
        </w:rPr>
      </w:pPr>
      <w:r w:rsidRPr="00D47699">
        <w:rPr>
          <w:rFonts w:ascii="Times New Roman" w:hAnsi="Times New Roman"/>
        </w:rPr>
        <w:t> </w:t>
      </w:r>
      <w:r w:rsidRPr="00D47699">
        <w:rPr>
          <w:rFonts w:ascii="Times New Roman" w:hAnsi="Times New Roman"/>
          <w:b/>
          <w:bCs/>
        </w:rPr>
        <w:t>2.3.4. Výpočty vplyvov na verejné financie</w:t>
      </w:r>
    </w:p>
    <w:p w:rsidR="00D14A77" w:rsidRPr="00D47699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D47699">
        <w:rPr>
          <w:rFonts w:ascii="Times New Roman" w:hAnsi="Times New Roman"/>
        </w:rPr>
        <w:t xml:space="preserve">Kvantifikácia predpokladá negatívny vplyv na rozpočet verejnej správy na úrovni 180 000 eur v rokoch 2016, 2017 a 2018. </w:t>
      </w:r>
    </w:p>
    <w:p w:rsidR="00D14A77" w:rsidRPr="00D47699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D47699">
        <w:rPr>
          <w:rFonts w:ascii="Times New Roman" w:hAnsi="Times New Roman"/>
        </w:rPr>
        <w:t xml:space="preserve">Kvantifikácia vychádza z údajov o predpisoch poistného zo zárobkovej činnosti podľa § 10b ods. 1 písm. e) zákona č. 580/2004 Z. z. za rok 2013 (posledný ukončený rok, pokiaľ ide o ročné zúčtovanie poistného). </w:t>
      </w:r>
    </w:p>
    <w:p w:rsidR="00D14A77" w:rsidRPr="00D47699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D47699">
        <w:rPr>
          <w:rFonts w:ascii="Times New Roman" w:hAnsi="Times New Roman"/>
        </w:rPr>
        <w:t>Vzhľadom k skutočnosti, že sa jedná o príjmy, ktoré sú známe iba z oznámení platiteľov dividend a oznámení poistencov, pričom sa zároveň jedná o príjmy, ktoré sú oslobodené od dane z príjmov, prípadne nie sú predmetom dane z príjmov, nie je k dispozícii detailnejšia štruktúra týchto príjmov (celková suma zahŕňa dividendy od spoločností zo sídlom  v SR, dividendy od spoločností z cudziny, podiel na likvidačnom zostatku, vyrovnací podiel, podiel vyplácaný tichému spoločníkovi, podiel na zisku vyplatený zamestnancovi bez účasti na základnom imaní a pod.). V r. 2013 predstavoval predpis poistného zo zárobkovej činnosti podľa § 10b ods. 1 písm. e) zákona č. 580/2004 Z. z. za rok 2013 (t. j. za rovnaký rok, v ktorom boli preddavky vykázané) sumu cca 180 000 eur. Dá sa predpokladať, že táto suma sa týka práve odvodu z likvidačného zostatku (klasické dividendy za rok 2013 sú spravidla vyplatené až nasledujúci rok po roku, ktorého sa týkajú). Vzhľadom k uvedenému bola táto suma stanovená ako kvalifikovaný odhad, v ktorej sa príjem z likvidačného zostatku podieľa na celkovom príjme z dividend. Bolo abstrahované od skutočnosti, že likvidačný zostatok sa vypláca aj právnickým osobám alebo fyzickým osobám, ktoré nie sú účastníkmi systému verejného zdravotného poistenia v SR, teda skutočný dopad je možný aj nižší, ako je odhadovaný.</w:t>
      </w:r>
    </w:p>
    <w:p w:rsidR="00D14A77" w:rsidRPr="00D47699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  <w:r w:rsidRPr="00D47699">
        <w:rPr>
          <w:rFonts w:ascii="Times New Roman" w:hAnsi="Times New Roman"/>
        </w:rPr>
        <w:t>Odhadovaný vplyv pre ďalšie roky nebol upravený indexom rastu, nakoľko nie je predpoklad medziročného nárastu počtu spoločností, vstupujúcich do likvidácie ani predpoklad výrazného nárastu likvidačného zostatku pri spoločnostiach v likvidácii.</w:t>
      </w:r>
    </w:p>
    <w:p w:rsidR="00D14A77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D14A77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D14A77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p w:rsidR="00D14A77" w:rsidRPr="00D47699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D47699">
        <w:rPr>
          <w:rFonts w:ascii="Times New Roman" w:hAnsi="Times New Roman"/>
          <w:b/>
        </w:rPr>
        <w:t>Kvantifikácia príjmov</w:t>
      </w:r>
    </w:p>
    <w:p w:rsidR="00D14A77" w:rsidRPr="00D47699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</w:p>
    <w:tbl>
      <w:tblPr>
        <w:tblStyle w:val="TableNormal"/>
        <w:tblW w:w="5116" w:type="pct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276"/>
        <w:gridCol w:w="3260"/>
        <w:gridCol w:w="1817"/>
        <w:gridCol w:w="1538"/>
        <w:gridCol w:w="1535"/>
      </w:tblGrid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0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000000"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  <w:u w:val="single"/>
              </w:rPr>
              <w:t>Rozpočet zdravotných poisťovní - príjmy</w:t>
            </w:r>
          </w:p>
        </w:tc>
        <w:tc>
          <w:tcPr>
            <w:tcW w:w="259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Vplyv na rozpočet zdravotných poisťovní  v € (ESA2010)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240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FFFFFF"/>
                <w:u w:val="single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2015</w:t>
            </w:r>
          </w:p>
        </w:tc>
        <w:tc>
          <w:tcPr>
            <w:tcW w:w="81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2016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</w:rPr>
            </w:pPr>
            <w:r w:rsidRPr="00D47699">
              <w:rPr>
                <w:rFonts w:ascii="Times New Roman" w:hAnsi="Times New Roman"/>
                <w:b/>
                <w:bCs/>
                <w:color w:val="FFFFFF"/>
              </w:rPr>
              <w:t>2017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100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b/>
                <w:bCs/>
                <w:color w:val="000000"/>
              </w:rPr>
            </w:pPr>
            <w:r w:rsidRPr="00D47699">
              <w:rPr>
                <w:rFonts w:ascii="Times New Roman" w:hAnsi="Times New Roman"/>
                <w:b/>
                <w:bCs/>
                <w:color w:val="000000"/>
              </w:rPr>
              <w:t>Daňové a odvodové príjmy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</w:rPr>
              <w:t>-</w:t>
            </w:r>
            <w:r w:rsidRPr="00D47699">
              <w:rPr>
                <w:rFonts w:ascii="Times New Roman" w:hAnsi="Times New Roman"/>
                <w:b/>
                <w:bCs/>
                <w:color w:val="000000"/>
              </w:rPr>
              <w:t>180 000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</w:rPr>
              <w:t>-</w:t>
            </w:r>
            <w:r w:rsidRPr="00D47699">
              <w:rPr>
                <w:rFonts w:ascii="Times New Roman" w:hAnsi="Times New Roman"/>
                <w:b/>
                <w:bCs/>
                <w:color w:val="000000"/>
              </w:rPr>
              <w:t>180 000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right"/>
              <w:rPr>
                <w:rFonts w:ascii="Times New Roman" w:hAnsi="Times New Roman"/>
                <w:b/>
                <w:bCs/>
              </w:rPr>
            </w:pPr>
            <w:r w:rsidRPr="00D47699">
              <w:rPr>
                <w:rFonts w:ascii="Times New Roman" w:hAnsi="Times New Roman"/>
                <w:b/>
                <w:bCs/>
              </w:rPr>
              <w:t>-</w:t>
            </w:r>
            <w:r w:rsidRPr="00D47699">
              <w:rPr>
                <w:rFonts w:ascii="Times New Roman" w:hAnsi="Times New Roman"/>
                <w:b/>
                <w:bCs/>
                <w:color w:val="000000"/>
              </w:rPr>
              <w:t>180 000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  <w:iCs/>
                <w:color w:val="000000"/>
              </w:rPr>
            </w:pPr>
            <w:r w:rsidRPr="00255688">
              <w:rPr>
                <w:rFonts w:ascii="Times New Roman" w:hAnsi="Times New Roman"/>
                <w:iCs/>
                <w:color w:val="000000"/>
              </w:rPr>
              <w:t>154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rPr>
                <w:rFonts w:ascii="Times New Roman" w:hAnsi="Times New Roman"/>
                <w:iCs/>
                <w:color w:val="000000"/>
              </w:rPr>
            </w:pPr>
            <w:r w:rsidRPr="00255688">
              <w:rPr>
                <w:rFonts w:ascii="Times New Roman" w:hAnsi="Times New Roman"/>
                <w:iCs/>
                <w:color w:val="000000"/>
              </w:rPr>
              <w:t>Zdravotné poistenie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  <w:iCs/>
              </w:rPr>
            </w:pPr>
            <w:r w:rsidRPr="00255688">
              <w:rPr>
                <w:rFonts w:ascii="Times New Roman" w:hAnsi="Times New Roman"/>
                <w:iCs/>
              </w:rPr>
              <w:t>-180 000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  <w:iCs/>
              </w:rPr>
            </w:pPr>
            <w:r w:rsidRPr="00255688">
              <w:rPr>
                <w:rFonts w:ascii="Times New Roman" w:hAnsi="Times New Roman"/>
                <w:iCs/>
              </w:rPr>
              <w:t>-180 000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  <w:iCs/>
              </w:rPr>
            </w:pPr>
            <w:r w:rsidRPr="00255688">
              <w:rPr>
                <w:rFonts w:ascii="Times New Roman" w:hAnsi="Times New Roman"/>
                <w:iCs/>
              </w:rPr>
              <w:t>-180 000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67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  <w:color w:val="000000"/>
              </w:rPr>
            </w:pPr>
            <w:r w:rsidRPr="00255688">
              <w:rPr>
                <w:rFonts w:ascii="Times New Roman" w:hAnsi="Times New Roman"/>
                <w:color w:val="000000"/>
              </w:rPr>
              <w:t>154009</w:t>
            </w:r>
          </w:p>
        </w:tc>
        <w:tc>
          <w:tcPr>
            <w:tcW w:w="17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rPr>
                <w:rFonts w:ascii="Times New Roman" w:hAnsi="Times New Roman"/>
                <w:color w:val="000000"/>
              </w:rPr>
            </w:pPr>
            <w:r w:rsidRPr="00255688">
              <w:rPr>
                <w:rFonts w:ascii="Times New Roman" w:hAnsi="Times New Roman"/>
                <w:color w:val="000000"/>
              </w:rPr>
              <w:t>Iní platitelia</w:t>
            </w:r>
          </w:p>
        </w:tc>
        <w:tc>
          <w:tcPr>
            <w:tcW w:w="9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255688">
              <w:rPr>
                <w:rFonts w:ascii="Times New Roman" w:hAnsi="Times New Roman"/>
              </w:rPr>
              <w:t>-180 000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255688">
              <w:rPr>
                <w:rFonts w:ascii="Times New Roman" w:hAnsi="Times New Roman"/>
              </w:rPr>
              <w:t>-180 000</w:t>
            </w:r>
          </w:p>
        </w:tc>
        <w:tc>
          <w:tcPr>
            <w:tcW w:w="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extDirection w:val="lrTb"/>
            <w:vAlign w:val="center"/>
            <w:hideMark/>
          </w:tcPr>
          <w:p w:rsidR="00D14A77" w:rsidRPr="00255688" w:rsidP="002D3825">
            <w:pPr>
              <w:bidi w:val="0"/>
              <w:jc w:val="right"/>
              <w:rPr>
                <w:rFonts w:ascii="Times New Roman" w:hAnsi="Times New Roman"/>
              </w:rPr>
            </w:pPr>
            <w:r w:rsidRPr="00255688">
              <w:rPr>
                <w:rFonts w:ascii="Times New Roman" w:hAnsi="Times New Roman"/>
              </w:rPr>
              <w:t>-180 000</w:t>
            </w: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>
        <w:tblPrEx>
          <w:tblW w:w="5116" w:type="pct"/>
          <w:tblInd w:w="-214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113"/>
        </w:trPr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center"/>
            <w:hideMark/>
          </w:tcPr>
          <w:p w:rsidR="00D14A77" w:rsidRPr="00D47699" w:rsidP="002D3825">
            <w:pPr>
              <w:bidi w:val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nil"/>
              <w:right w:val="nil"/>
            </w:tcBorders>
            <w:noWrap/>
            <w:textDirection w:val="lrTb"/>
            <w:vAlign w:val="bottom"/>
            <w:hideMark/>
          </w:tcPr>
          <w:p w:rsidR="00D14A77" w:rsidRPr="00D47699" w:rsidP="002D3825">
            <w:pPr>
              <w:bidi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D14A77" w:rsidRPr="00D47699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b/>
        </w:rPr>
      </w:pPr>
      <w:r w:rsidRPr="00D47699">
        <w:rPr>
          <w:rFonts w:ascii="Times New Roman" w:hAnsi="Times New Roman"/>
          <w:b/>
        </w:rPr>
        <w:t>Vplyv na zamestnanosť</w:t>
      </w:r>
    </w:p>
    <w:p w:rsidR="00D14A77" w:rsidRPr="00D47699" w:rsidP="00D14A77">
      <w:pPr>
        <w:bidi w:val="0"/>
        <w:jc w:val="both"/>
        <w:rPr>
          <w:rFonts w:ascii="Times New Roman" w:hAnsi="Times New Roman"/>
        </w:rPr>
      </w:pPr>
      <w:r w:rsidRPr="00D47699">
        <w:rPr>
          <w:rFonts w:ascii="Times New Roman" w:hAnsi="Times New Roman"/>
        </w:rPr>
        <w:t>Navrhované opatrenie nemá vplyv na zamestnanosť.</w:t>
      </w:r>
    </w:p>
    <w:p w:rsidR="00D14A77" w:rsidRPr="00D47699" w:rsidP="00D14A77">
      <w:pPr>
        <w:bidi w:val="0"/>
        <w:rPr>
          <w:rFonts w:ascii="Times New Roman" w:hAnsi="Times New Roman"/>
          <w:b/>
        </w:rPr>
      </w:pPr>
      <w:r w:rsidRPr="00D47699">
        <w:rPr>
          <w:rFonts w:ascii="Times New Roman" w:hAnsi="Times New Roman"/>
          <w:b/>
        </w:rPr>
        <w:t>3. Vplyvy na podnikateľské prostredie:</w:t>
      </w:r>
    </w:p>
    <w:p w:rsidR="00D14A77" w:rsidRPr="00D47699" w:rsidP="00D14A77">
      <w:pPr>
        <w:bidi w:val="0"/>
        <w:jc w:val="right"/>
        <w:rPr>
          <w:rFonts w:ascii="Times New Roman" w:hAnsi="Times New Roman"/>
          <w:b/>
        </w:rPr>
      </w:pPr>
      <w:r w:rsidRPr="00D47699">
        <w:rPr>
          <w:rFonts w:ascii="Times New Roman" w:hAnsi="Times New Roman"/>
        </w:rPr>
        <w:t>Príloha č. 3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textDirection w:val="lrTb"/>
            <w:vAlign w:val="center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</w:rPr>
            </w:pP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Vplyvy na podnikateľské prostredie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3.1. Ktoré podnikateľské subjekty budú predkladaným návrhom ovplyvnené a aký je ich počet?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Podnikateľské subjekty, ktoré ukončujú svoju činnosť a vyplácajú si vklady vložené do podnikania vo forme likvidačného zostatku.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3.2. Aký je predpokladaný charakter a rozsah nákladov a prínosov?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 xml:space="preserve">Pozitívny dopad na podnikateľov. Uvedené opatrenie odstraňuje situáciu, kedy musel podnikateľ z prostriedkov, vložených do podnikania, po ukončení podnikania odviesť poistné na verejné zdravotné poistenie. 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3.3. Aká je predpokladaná výška administratívnych nákladov, ktoré podniky vynaložia v súvislosti s implementáciou návrhu?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bidi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 xml:space="preserve">Bez dodatočných administratívnych nákladov. </w:t>
            </w:r>
          </w:p>
          <w:p w:rsidR="00D14A77" w:rsidRPr="00D47699" w:rsidP="002D3825">
            <w:pPr>
              <w:bidi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Predpokladá sa pozitívny vplyv – zníženie administratívnej záťaže, súvisiacej s oznamovacou povinnosťou do zdravotnej poisťovne pri výplate likvidačného zostatku.</w:t>
            </w:r>
          </w:p>
          <w:p w:rsidR="00D14A77" w:rsidRPr="00D47699" w:rsidP="002D3825">
            <w:pPr>
              <w:bidi w:val="0"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3.4. Aké sú dôsledky pripravovaného návrhu pre fungovanie podnikateľských subjektov na slovenskom trhu (ako sa zmenia operácie na trhu?)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 w:rsidRPr="00D47699">
              <w:rPr>
                <w:rFonts w:ascii="Times New Roman" w:hAnsi="Times New Roman"/>
              </w:rPr>
              <w:t>Neovplyvní fungovanie podnikateľských subjektov.</w:t>
            </w:r>
          </w:p>
        </w:tc>
      </w:tr>
      <w:tr>
        <w:tblPrEx>
          <w:tblW w:w="0" w:type="auto"/>
          <w:tblLook w:val="04A0"/>
        </w:tblPrEx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>3.5. Aké sú predpokladané spoločensko-ekonomické dôsledky pripravovaných regulácií?</w:t>
            </w:r>
          </w:p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14A77" w:rsidRPr="00D47699" w:rsidP="002D3825">
            <w:pPr>
              <w:autoSpaceDE w:val="0"/>
              <w:autoSpaceDN w:val="0"/>
              <w:bidi w:val="0"/>
              <w:adjustRightInd w:val="0"/>
              <w:jc w:val="both"/>
              <w:rPr>
                <w:rFonts w:ascii="Times New Roman" w:hAnsi="Times New Roman"/>
              </w:rPr>
            </w:pPr>
            <w:r w:rsidRPr="00D47699">
              <w:rPr>
                <w:rFonts w:ascii="Times New Roman" w:hAnsi="Times New Roman"/>
              </w:rPr>
              <w:t xml:space="preserve"> Nepredpokladá sa.</w:t>
            </w:r>
          </w:p>
        </w:tc>
      </w:tr>
    </w:tbl>
    <w:p w:rsidR="00D14A77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p w:rsidR="001D7263" w:rsidP="00D14A77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</w:rPr>
      </w:pPr>
    </w:p>
    <w:sectPr w:rsidSect="00044E6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E6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</w:p>
  <w:p w:rsidR="00044E6A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6789"/>
    <w:multiLevelType w:val="hybridMultilevel"/>
    <w:tmpl w:val="282C93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27F7616"/>
    <w:multiLevelType w:val="hybridMultilevel"/>
    <w:tmpl w:val="F184DAFC"/>
    <w:lvl w:ilvl="0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>
    <w:nsid w:val="02F05B87"/>
    <w:multiLevelType w:val="hybridMultilevel"/>
    <w:tmpl w:val="7528F48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7864A9E"/>
    <w:multiLevelType w:val="hybridMultilevel"/>
    <w:tmpl w:val="1FBCC6D8"/>
    <w:lvl w:ilvl="0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cs="Times New Roman"/>
        <w:rtl w:val="0"/>
        <w:cs w:val="0"/>
      </w:rPr>
    </w:lvl>
  </w:abstractNum>
  <w:abstractNum w:abstractNumId="4">
    <w:nsid w:val="0AA6230C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C5C60A9"/>
    <w:multiLevelType w:val="hybridMultilevel"/>
    <w:tmpl w:val="6F9AD7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0E52092C"/>
    <w:multiLevelType w:val="hybridMultilevel"/>
    <w:tmpl w:val="84123AEE"/>
    <w:lvl w:ilvl="0">
      <w:start w:val="2"/>
      <w:numFmt w:val="decimal"/>
      <w:lvlText w:val="%1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0FA60F80"/>
    <w:multiLevelType w:val="hybridMultilevel"/>
    <w:tmpl w:val="60BA49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10E85364"/>
    <w:multiLevelType w:val="hybridMultilevel"/>
    <w:tmpl w:val="26FC1D82"/>
    <w:lvl w:ilvl="0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9">
    <w:nsid w:val="115F10CF"/>
    <w:multiLevelType w:val="hybridMultilevel"/>
    <w:tmpl w:val="5678A584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13B111EF"/>
    <w:multiLevelType w:val="hybridMultilevel"/>
    <w:tmpl w:val="019070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1">
    <w:nsid w:val="151F0C64"/>
    <w:multiLevelType w:val="hybridMultilevel"/>
    <w:tmpl w:val="E14485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  <w:sz w:val="22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18EE2121"/>
    <w:multiLevelType w:val="hybridMultilevel"/>
    <w:tmpl w:val="819CD4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1A530FDB"/>
    <w:multiLevelType w:val="hybridMultilevel"/>
    <w:tmpl w:val="CEAC19C0"/>
    <w:lvl w:ilvl="0">
      <w:start w:val="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  <w:color w:val="000000" w:themeColor="tx1" w:themeShade="FF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1CF358BA"/>
    <w:multiLevelType w:val="hybridMultilevel"/>
    <w:tmpl w:val="1F0EB9E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58056A0"/>
    <w:multiLevelType w:val="hybridMultilevel"/>
    <w:tmpl w:val="CA7EEDCA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2088"/>
        </w:tabs>
        <w:ind w:left="2088" w:hanging="48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  <w:rPr>
        <w:rFonts w:cs="Times New Roman"/>
        <w:rtl w:val="0"/>
        <w:cs w:val="0"/>
      </w:rPr>
    </w:lvl>
  </w:abstractNum>
  <w:abstractNum w:abstractNumId="16">
    <w:nsid w:val="3DE955E3"/>
    <w:multiLevelType w:val="singleLevel"/>
    <w:tmpl w:val="69D2F768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</w:abstractNum>
  <w:abstractNum w:abstractNumId="17">
    <w:nsid w:val="4BCE62D2"/>
    <w:multiLevelType w:val="hybridMultilevel"/>
    <w:tmpl w:val="7E4231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1E024AF"/>
    <w:multiLevelType w:val="hybridMultilevel"/>
    <w:tmpl w:val="F57C230C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9">
    <w:nsid w:val="6B0A2A94"/>
    <w:multiLevelType w:val="hybridMultilevel"/>
    <w:tmpl w:val="FF32B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3750F35"/>
    <w:multiLevelType w:val="hybridMultilevel"/>
    <w:tmpl w:val="074C28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79853BF"/>
    <w:multiLevelType w:val="hybridMultilevel"/>
    <w:tmpl w:val="F086C6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B2E579E"/>
    <w:multiLevelType w:val="hybridMultilevel"/>
    <w:tmpl w:val="1A9AEA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14"/>
  </w:num>
  <w:num w:numId="3">
    <w:abstractNumId w:val="10"/>
  </w:num>
  <w:num w:numId="4">
    <w:abstractNumId w:val="18"/>
  </w:num>
  <w:num w:numId="5">
    <w:abstractNumId w:val="0"/>
  </w:num>
  <w:num w:numId="6">
    <w:abstractNumId w:val="20"/>
  </w:num>
  <w:num w:numId="7">
    <w:abstractNumId w:val="9"/>
  </w:num>
  <w:num w:numId="8">
    <w:abstractNumId w:val="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21"/>
  </w:num>
  <w:num w:numId="12">
    <w:abstractNumId w:val="16"/>
    <w:lvlOverride w:ilvl="0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"/>
  </w:num>
  <w:num w:numId="19">
    <w:abstractNumId w:val="19"/>
  </w:num>
  <w:num w:numId="20">
    <w:abstractNumId w:val="2"/>
  </w:num>
  <w:num w:numId="21">
    <w:abstractNumId w:val="12"/>
  </w:num>
  <w:num w:numId="22">
    <w:abstractNumId w:val="3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compat/>
  <w:rsids>
    <w:rsidRoot w:val="00EB727E"/>
    <w:rsid w:val="000037DE"/>
    <w:rsid w:val="000208A1"/>
    <w:rsid w:val="00024389"/>
    <w:rsid w:val="00044E6A"/>
    <w:rsid w:val="000736D5"/>
    <w:rsid w:val="000777B9"/>
    <w:rsid w:val="00080F20"/>
    <w:rsid w:val="000B4505"/>
    <w:rsid w:val="000C09B6"/>
    <w:rsid w:val="000D1E22"/>
    <w:rsid w:val="000E6C8C"/>
    <w:rsid w:val="000F2F06"/>
    <w:rsid w:val="0013515B"/>
    <w:rsid w:val="00144589"/>
    <w:rsid w:val="001608AB"/>
    <w:rsid w:val="001727EB"/>
    <w:rsid w:val="0017346B"/>
    <w:rsid w:val="00181673"/>
    <w:rsid w:val="0019581F"/>
    <w:rsid w:val="001A7E2E"/>
    <w:rsid w:val="001C3847"/>
    <w:rsid w:val="001D7263"/>
    <w:rsid w:val="001F15E2"/>
    <w:rsid w:val="00206FFA"/>
    <w:rsid w:val="00214430"/>
    <w:rsid w:val="00214476"/>
    <w:rsid w:val="00231EEE"/>
    <w:rsid w:val="00240DAD"/>
    <w:rsid w:val="0025013B"/>
    <w:rsid w:val="00255688"/>
    <w:rsid w:val="002A282A"/>
    <w:rsid w:val="002B6D06"/>
    <w:rsid w:val="002B7E51"/>
    <w:rsid w:val="002D3825"/>
    <w:rsid w:val="002E355C"/>
    <w:rsid w:val="002E7240"/>
    <w:rsid w:val="002F305F"/>
    <w:rsid w:val="003030E1"/>
    <w:rsid w:val="0030559B"/>
    <w:rsid w:val="00315D9F"/>
    <w:rsid w:val="00357975"/>
    <w:rsid w:val="00364478"/>
    <w:rsid w:val="00382525"/>
    <w:rsid w:val="003A4363"/>
    <w:rsid w:val="003B19E6"/>
    <w:rsid w:val="003C19FA"/>
    <w:rsid w:val="003C3764"/>
    <w:rsid w:val="003D4235"/>
    <w:rsid w:val="003E62CC"/>
    <w:rsid w:val="00414F44"/>
    <w:rsid w:val="00433685"/>
    <w:rsid w:val="0044790D"/>
    <w:rsid w:val="00491A0B"/>
    <w:rsid w:val="00496BFF"/>
    <w:rsid w:val="004D1A6F"/>
    <w:rsid w:val="004E003A"/>
    <w:rsid w:val="004E5387"/>
    <w:rsid w:val="004E738C"/>
    <w:rsid w:val="004F0D0A"/>
    <w:rsid w:val="00501576"/>
    <w:rsid w:val="00507EE8"/>
    <w:rsid w:val="00561142"/>
    <w:rsid w:val="005A009B"/>
    <w:rsid w:val="005A3385"/>
    <w:rsid w:val="005B2628"/>
    <w:rsid w:val="005B4FBD"/>
    <w:rsid w:val="005B6F28"/>
    <w:rsid w:val="005C30DE"/>
    <w:rsid w:val="005D1212"/>
    <w:rsid w:val="005D1730"/>
    <w:rsid w:val="006032B7"/>
    <w:rsid w:val="006374A4"/>
    <w:rsid w:val="006432A7"/>
    <w:rsid w:val="0065024A"/>
    <w:rsid w:val="006B0157"/>
    <w:rsid w:val="006D3661"/>
    <w:rsid w:val="006D3D85"/>
    <w:rsid w:val="006E2E2B"/>
    <w:rsid w:val="006F2ED4"/>
    <w:rsid w:val="006F3244"/>
    <w:rsid w:val="00734BF3"/>
    <w:rsid w:val="007820AE"/>
    <w:rsid w:val="0078280D"/>
    <w:rsid w:val="00794D7B"/>
    <w:rsid w:val="007E08EB"/>
    <w:rsid w:val="007E139C"/>
    <w:rsid w:val="00835D6E"/>
    <w:rsid w:val="0084259A"/>
    <w:rsid w:val="00872C92"/>
    <w:rsid w:val="0087364D"/>
    <w:rsid w:val="00883076"/>
    <w:rsid w:val="00891412"/>
    <w:rsid w:val="00897AA0"/>
    <w:rsid w:val="008A16AB"/>
    <w:rsid w:val="008A5C07"/>
    <w:rsid w:val="008C6467"/>
    <w:rsid w:val="008D0DC3"/>
    <w:rsid w:val="008E66EB"/>
    <w:rsid w:val="00951623"/>
    <w:rsid w:val="009628DF"/>
    <w:rsid w:val="00963766"/>
    <w:rsid w:val="0096755C"/>
    <w:rsid w:val="009F2C99"/>
    <w:rsid w:val="009F7DDF"/>
    <w:rsid w:val="00A02EF4"/>
    <w:rsid w:val="00A11B82"/>
    <w:rsid w:val="00A1517E"/>
    <w:rsid w:val="00A2773D"/>
    <w:rsid w:val="00A46490"/>
    <w:rsid w:val="00A51E2A"/>
    <w:rsid w:val="00A81EA6"/>
    <w:rsid w:val="00A83204"/>
    <w:rsid w:val="00A94C20"/>
    <w:rsid w:val="00AD6204"/>
    <w:rsid w:val="00B001C0"/>
    <w:rsid w:val="00B0224B"/>
    <w:rsid w:val="00B05E43"/>
    <w:rsid w:val="00B41684"/>
    <w:rsid w:val="00B62B02"/>
    <w:rsid w:val="00B93B54"/>
    <w:rsid w:val="00BA2FFE"/>
    <w:rsid w:val="00BB0E0B"/>
    <w:rsid w:val="00BE0A59"/>
    <w:rsid w:val="00BE2260"/>
    <w:rsid w:val="00BF4794"/>
    <w:rsid w:val="00C11D24"/>
    <w:rsid w:val="00C30A03"/>
    <w:rsid w:val="00C32B0C"/>
    <w:rsid w:val="00C4273F"/>
    <w:rsid w:val="00C529C8"/>
    <w:rsid w:val="00C55365"/>
    <w:rsid w:val="00C82D80"/>
    <w:rsid w:val="00CA2D89"/>
    <w:rsid w:val="00D063DA"/>
    <w:rsid w:val="00D14A77"/>
    <w:rsid w:val="00D31488"/>
    <w:rsid w:val="00D47699"/>
    <w:rsid w:val="00D72725"/>
    <w:rsid w:val="00D7601C"/>
    <w:rsid w:val="00DB4947"/>
    <w:rsid w:val="00DC18AA"/>
    <w:rsid w:val="00DC76FA"/>
    <w:rsid w:val="00E1416D"/>
    <w:rsid w:val="00E511DE"/>
    <w:rsid w:val="00E66417"/>
    <w:rsid w:val="00E73469"/>
    <w:rsid w:val="00E82A8D"/>
    <w:rsid w:val="00EB727E"/>
    <w:rsid w:val="00EF008C"/>
    <w:rsid w:val="00EF1235"/>
    <w:rsid w:val="00F04FEC"/>
    <w:rsid w:val="00F11AE5"/>
    <w:rsid w:val="00F17A55"/>
    <w:rsid w:val="00F87748"/>
    <w:rsid w:val="00F93AA6"/>
    <w:rsid w:val="00FF6B38"/>
    <w:rsid w:val="00FF77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27E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3">
    <w:name w:val="heading 3"/>
    <w:basedOn w:val="Normal"/>
    <w:link w:val="Nadpis3Char"/>
    <w:uiPriority w:val="9"/>
    <w:qFormat/>
    <w:rsid w:val="00491A0B"/>
    <w:pPr>
      <w:spacing w:before="100" w:beforeAutospacing="1" w:after="100" w:afterAutospacing="1" w:line="240" w:lineRule="auto"/>
      <w:jc w:val="left"/>
      <w:outlineLvl w:val="2"/>
    </w:pPr>
    <w:rPr>
      <w:rFonts w:ascii="Times New Roman" w:hAnsi="Times New Roman"/>
      <w:b/>
      <w:bCs/>
      <w:sz w:val="27"/>
      <w:szCs w:val="27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locked/>
    <w:rsid w:val="00491A0B"/>
    <w:rPr>
      <w:rFonts w:ascii="Times New Roman" w:hAnsi="Times New Roman" w:cs="Times New Roman"/>
      <w:b/>
      <w:bCs/>
      <w:sz w:val="27"/>
      <w:szCs w:val="27"/>
      <w:rtl w:val="0"/>
      <w:cs w:val="0"/>
      <w:lang w:val="x-none" w:eastAsia="sk-SK"/>
    </w:rPr>
  </w:style>
  <w:style w:type="paragraph" w:styleId="ListParagraph">
    <w:name w:val="List Paragraph"/>
    <w:aliases w:val="Odsek,Odsek zoznamu2,body"/>
    <w:basedOn w:val="Normal"/>
    <w:link w:val="OdsekzoznamuChar"/>
    <w:uiPriority w:val="99"/>
    <w:qFormat/>
    <w:rsid w:val="00A1517E"/>
    <w:pPr>
      <w:ind w:left="720"/>
      <w:contextualSpacing/>
      <w:jc w:val="left"/>
    </w:pPr>
  </w:style>
  <w:style w:type="character" w:customStyle="1" w:styleId="OdsekzoznamuChar">
    <w:name w:val="Odsek zoznamu Char"/>
    <w:aliases w:val="Odsek Char,Odsek zoznamu2 Char,body Char"/>
    <w:link w:val="ListParagraph"/>
    <w:uiPriority w:val="34"/>
    <w:locked/>
    <w:rsid w:val="00891412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0037DE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0037DE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0037DE"/>
    <w:rPr>
      <w:rFonts w:ascii="Calibri" w:hAnsi="Calibri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0037DE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0037DE"/>
    <w:rPr>
      <w:b/>
      <w:bCs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037DE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037DE"/>
    <w:rPr>
      <w:rFonts w:ascii="Tahoma" w:hAnsi="Tahoma" w:cs="Tahoma"/>
      <w:sz w:val="16"/>
      <w:szCs w:val="16"/>
      <w:rtl w:val="0"/>
      <w:cs w:val="0"/>
    </w:rPr>
  </w:style>
  <w:style w:type="paragraph" w:styleId="NormalWeb">
    <w:name w:val="Normal (Web)"/>
    <w:basedOn w:val="Normal"/>
    <w:uiPriority w:val="99"/>
    <w:rsid w:val="00491A0B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odyText">
    <w:name w:val="Body Text"/>
    <w:basedOn w:val="Normal"/>
    <w:link w:val="ZkladntextChar"/>
    <w:uiPriority w:val="99"/>
    <w:unhideWhenUsed/>
    <w:rsid w:val="006D3661"/>
    <w:pPr>
      <w:widowControl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6D3661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  <w:style w:type="paragraph" w:customStyle="1" w:styleId="Zarakazakladnhotextu2">
    <w:name w:val="Zara?ka zakladn?ho textu 2"/>
    <w:basedOn w:val="Normal"/>
    <w:rsid w:val="006D3661"/>
    <w:pPr>
      <w:widowControl w:val="0"/>
      <w:spacing w:after="0" w:line="240" w:lineRule="auto"/>
      <w:ind w:firstLine="708"/>
      <w:jc w:val="both"/>
    </w:pPr>
    <w:rPr>
      <w:rFonts w:ascii="Arial" w:hAnsi="Arial" w:cs="Arial"/>
      <w:sz w:val="20"/>
      <w:szCs w:val="20"/>
      <w:lang w:eastAsia="sk-SK"/>
    </w:rPr>
  </w:style>
  <w:style w:type="character" w:styleId="PlaceholderText">
    <w:name w:val="Placeholder Text"/>
    <w:basedOn w:val="DefaultParagraphFont"/>
    <w:uiPriority w:val="99"/>
    <w:semiHidden/>
    <w:rsid w:val="006D3661"/>
    <w:rPr>
      <w:rFonts w:ascii="Times New Roman" w:hAnsi="Times New Roman" w:cs="Times New Roman"/>
      <w:color w:val="808080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6D3661"/>
    <w:rPr>
      <w:rFonts w:cs="Times New Roman"/>
      <w:color w:val="0000FF"/>
      <w:u w:val="single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044E6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044E6A"/>
    <w:rPr>
      <w:rFonts w:ascii="Calibri" w:hAnsi="Calibri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044E6A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044E6A"/>
    <w:rPr>
      <w:rFonts w:ascii="Calibri" w:hAnsi="Calibri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6</Pages>
  <Words>1092</Words>
  <Characters>6225</Characters>
  <Application>Microsoft Office Word</Application>
  <DocSecurity>0</DocSecurity>
  <Lines>0</Lines>
  <Paragraphs>0</Paragraphs>
  <ScaleCrop>false</ScaleCrop>
  <Company>MZ SR</Company>
  <LinksUpToDate>false</LinksUpToDate>
  <CharactersWithSpaces>7303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Martincová</dc:creator>
  <cp:lastModifiedBy>Viera Martincová</cp:lastModifiedBy>
  <cp:revision>6</cp:revision>
  <cp:lastPrinted>2015-08-13T10:44:00Z</cp:lastPrinted>
  <dcterms:created xsi:type="dcterms:W3CDTF">2015-07-23T09:40:00Z</dcterms:created>
  <dcterms:modified xsi:type="dcterms:W3CDTF">2015-08-13T10:47:00Z</dcterms:modified>
</cp:coreProperties>
</file>