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4F09" w:rsidRPr="00FC4F09" w:rsidP="00FC4F09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FC4F0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FC4F09" w:rsidRPr="00FC4F09" w:rsidP="00FC4F09">
      <w:pPr>
        <w:bidi w:val="0"/>
        <w:jc w:val="center"/>
        <w:rPr>
          <w:rFonts w:ascii="Times New Roman" w:hAnsi="Times New Roman"/>
        </w:rPr>
      </w:pPr>
      <w:r w:rsidRPr="00FC4F09">
        <w:rPr>
          <w:rFonts w:ascii="Times New Roman" w:hAnsi="Times New Roman"/>
          <w:b/>
          <w:bCs/>
        </w:rPr>
        <w:t> </w:t>
      </w:r>
    </w:p>
    <w:p w:rsidR="00FC4F09" w:rsidRPr="00FC4F09" w:rsidP="00FC4F09">
      <w:pPr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  <w:b/>
          <w:bCs/>
        </w:rPr>
        <w:t xml:space="preserve">A.1. </w:t>
        <w:tab/>
        <w:t xml:space="preserve">Názov materiálu: </w:t>
      </w:r>
      <w:r w:rsidRPr="00FC4F09">
        <w:rPr>
          <w:rFonts w:ascii="Times New Roman" w:hAnsi="Times New Roman"/>
          <w:bCs/>
        </w:rPr>
        <w:t>Návrh zákona o alternatívnom riešení spotrebiteľských sporov a o zmene a doplnení niektorých zákonov</w:t>
      </w:r>
    </w:p>
    <w:p w:rsidR="00FC4F09" w:rsidRPr="00FC4F09" w:rsidP="00FC4F09">
      <w:pPr>
        <w:bidi w:val="0"/>
        <w:rPr>
          <w:rFonts w:ascii="Times New Roman" w:hAnsi="Times New Roman"/>
        </w:rPr>
      </w:pPr>
    </w:p>
    <w:p w:rsidR="00FC4F09" w:rsidRPr="00FC4F09" w:rsidP="00FC4F09">
      <w:pPr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  <w:b/>
          <w:bCs/>
        </w:rPr>
        <w:t>       </w:t>
        <w:tab/>
        <w:t xml:space="preserve">Termín začatia a ukončenia PPK: </w:t>
      </w:r>
    </w:p>
    <w:p w:rsidR="00FC4F09" w:rsidRPr="00FC4F09" w:rsidP="00FC4F09">
      <w:pPr>
        <w:bidi w:val="0"/>
        <w:rPr>
          <w:rFonts w:ascii="Times New Roman" w:hAnsi="Times New Roman"/>
        </w:rPr>
      </w:pPr>
    </w:p>
    <w:p w:rsidR="00FC4F09" w:rsidRPr="00FC4F09" w:rsidP="00FC4F09">
      <w:pPr>
        <w:bidi w:val="0"/>
        <w:rPr>
          <w:rFonts w:ascii="Times New Roman" w:hAnsi="Times New Roman"/>
        </w:rPr>
      </w:pPr>
      <w:r w:rsidRPr="00FC4F09">
        <w:rPr>
          <w:rFonts w:ascii="Times New Roman" w:hAnsi="Times New Roman"/>
          <w:b/>
          <w:bCs/>
        </w:rPr>
        <w:t>A.2. Vplyvy:</w:t>
      </w:r>
    </w:p>
    <w:p w:rsidR="00FC4F09" w:rsidRPr="00FC4F09" w:rsidP="00FC4F09">
      <w:pPr>
        <w:bidi w:val="0"/>
        <w:rPr>
          <w:rFonts w:ascii="Times New Roman" w:hAnsi="Times New Roman"/>
        </w:rPr>
      </w:pPr>
      <w:r w:rsidRPr="00FC4F09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Pozitívne</w:t>
            </w:r>
            <w:r w:rsidRPr="00FC4F09">
              <w:rPr>
                <w:rFonts w:ascii="Times New Roman" w:hAnsi="Times New Roman"/>
                <w:vertAlign w:val="superscript"/>
              </w:rPr>
              <w:t>*</w:t>
            </w:r>
            <w:r w:rsidRPr="00FC4F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Žiadne</w:t>
            </w:r>
            <w:r w:rsidRPr="00FC4F09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Negatívne</w:t>
            </w:r>
            <w:r w:rsidRPr="00FC4F09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1. Vplyvy na rozpočet verejnej správy</w:t>
            </w:r>
          </w:p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  <w:r w:rsidRPr="00FC4F09" w:rsidR="00A26D35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3, Sociálne vplyvy </w:t>
            </w:r>
          </w:p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– vplyvy  na hospodárenie obyvateľstva,</w:t>
            </w:r>
          </w:p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- sociálnu exklúziu,</w:t>
            </w:r>
          </w:p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  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</w:tr>
    </w:tbl>
    <w:p w:rsidR="00FC4F09" w:rsidRPr="00FC4F09" w:rsidP="00FC4F09">
      <w:pPr>
        <w:bidi w:val="0"/>
        <w:jc w:val="both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 </w:t>
      </w:r>
      <w:r w:rsidRPr="00FC4F09">
        <w:rPr>
          <w:rFonts w:ascii="Times New Roman" w:hAnsi="Times New Roman"/>
          <w:b/>
          <w:bCs/>
        </w:rPr>
        <w:t> </w:t>
      </w:r>
    </w:p>
    <w:p w:rsidR="00FC4F09" w:rsidRPr="00FC4F09" w:rsidP="00FC4F09">
      <w:pPr>
        <w:bidi w:val="0"/>
        <w:jc w:val="both"/>
        <w:rPr>
          <w:rFonts w:ascii="Times New Roman" w:hAnsi="Times New Roman"/>
          <w:b/>
          <w:bCs/>
        </w:rPr>
      </w:pPr>
      <w:r w:rsidRPr="00FC4F09">
        <w:rPr>
          <w:rFonts w:ascii="Times New Roman" w:hAnsi="Times New Roman"/>
          <w:b/>
          <w:bCs/>
        </w:rPr>
        <w:t>A.3. Poznámky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 xml:space="preserve">Predkladaný návrh zákona predpokladá vplyvy na rozpočet verejnej správy, podnikateľské prostredie, sociálne vplyvy a vplyvy na informatizáciu spoločnosti. Vplyvy na životné prostredie sa nepredpokladajú. </w:t>
      </w:r>
    </w:p>
    <w:p w:rsidR="00A26D35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Návrh zákona</w:t>
      </w:r>
      <w:r>
        <w:rPr>
          <w:rFonts w:ascii="Times New Roman" w:hAnsi="Times New Roman"/>
        </w:rPr>
        <w:t xml:space="preserve"> predpokladá pozitívne vplyvy na rozpočet verejnej správy, a to vzhľadom na navrhované pokuty za správne delikty podľa § 25, výnosy ktorých majú byť príjmom štátneho rozpočtu.</w:t>
      </w:r>
      <w:r w:rsidR="004B2BF3">
        <w:rPr>
          <w:rFonts w:ascii="Times New Roman" w:hAnsi="Times New Roman"/>
        </w:rPr>
        <w:t xml:space="preserve"> Nakoľko však ide o novú oblasť činnost</w:t>
      </w:r>
      <w:r w:rsidR="000110A6">
        <w:rPr>
          <w:rFonts w:ascii="Times New Roman" w:hAnsi="Times New Roman"/>
        </w:rPr>
        <w:t>i</w:t>
      </w:r>
      <w:r w:rsidR="004B2BF3">
        <w:rPr>
          <w:rFonts w:ascii="Times New Roman" w:hAnsi="Times New Roman"/>
        </w:rPr>
        <w:t xml:space="preserve"> vybraných orgánov verejnej správy</w:t>
      </w:r>
      <w:r w:rsidR="000110A6">
        <w:rPr>
          <w:rFonts w:ascii="Times New Roman" w:hAnsi="Times New Roman"/>
        </w:rPr>
        <w:t>,</w:t>
      </w:r>
      <w:r w:rsidR="004B2BF3">
        <w:rPr>
          <w:rFonts w:ascii="Times New Roman" w:hAnsi="Times New Roman"/>
        </w:rPr>
        <w:t xml:space="preserve"> tento vplyv nie je možné kvantifikovať.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 xml:space="preserve">Návrh zákona počíta </w:t>
      </w:r>
      <w:r w:rsidR="00A26D35">
        <w:rPr>
          <w:rFonts w:ascii="Times New Roman" w:hAnsi="Times New Roman"/>
        </w:rPr>
        <w:t xml:space="preserve">aj </w:t>
      </w:r>
      <w:r w:rsidRPr="00FC4F09">
        <w:rPr>
          <w:rFonts w:ascii="Times New Roman" w:hAnsi="Times New Roman"/>
        </w:rPr>
        <w:t>s negatívnymi vplyvmi na rozpočet verejnej správy, a to  z dôvodu, že Slovenská republika je povinná transponovať smernicu Európskeho parlamentu a Rady 2013/11/EÚ z  21. mája 2013 o alternatívnom riešení spotrebiteľských sporov, ktorou sa mení nariadenie (ES) č. 2006/2004 a smernica 2009/22/ES (smernica o alternatívnom riešení spotrebiteľských sporov) (ďalej aj „smernica o ARS“ alebo aj „smernica“), v zmysle ktorej musia členské štáty vytvoriť systém, v ktorom sa každý spotrebiteľ bude môcť so svojimi spormi obrátiť na subjekt alternatívneho riešenia sporov. Každý členský štát je podľa smernice o ARS povinný zabezpečiť, že všetky systémy alternatívneho riešenia sporov oznámené Európskej komisii budú transparentné a že budú spory medzi spotrebiteľmi a predávajúcimi riešiť účinne a nestranne. Povinnosťou Slovenskej republiky je teda v súlade s požiadavkami vyplývajúcimi zo smernice o alternatívnom riešení spotrebiteľských sporov zabezpečiť úplné odvetvové a geografické pokrytie subjektov alternatívneho riešenia sporov, ako aj ekonomickú dostupnosť týchto systémov pre spotrebiteľov.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 xml:space="preserve">Návrh zákona v súvislosti so zavedením nových povinností predávajúcich zároveň počíta s miernym zvýšením nákladov dotknutých podnikateľských subjektov. Pôjde najmä o administratívne náklady, ktoré môžu vzniknúť v súvislosti so zavedením povinnosti informovať spotrebiteľa v zákonom stanovenej forme </w:t>
      </w:r>
      <w:r w:rsidRPr="00FC4F09">
        <w:rPr>
          <w:rFonts w:ascii="Times New Roman" w:hAnsi="Times New Roman"/>
          <w:color w:val="000000"/>
        </w:rPr>
        <w:t>o subjektoch alternatívneho riešenia sporov, do ktorých pôsobnosti konkrétny predávajúci patrí a v súvislosti so zavedením povinnosti poskytnúť v rámci alternatívneho riešenia spotrebiteľského sporu súčinnosť subjektu alternatívneho riešenia sporov</w:t>
      </w:r>
      <w:r w:rsidRPr="00FC4F09">
        <w:rPr>
          <w:rFonts w:ascii="Times New Roman" w:hAnsi="Times New Roman"/>
        </w:rPr>
        <w:t xml:space="preserve">. Predávajúci budú zároveň povinní samostatne znášať náklady spojené s alternatívnym riešením sporu, ktoré im vzniknú, a to bez možnosti ich náhrady. Na druhej strane sa však predpokladajú aj výrazné pozitívne vplyvy na podnikateľské prostredie, nakoľko pri alternatívnom riešení spotrebiteľských sporov sa síce </w:t>
      </w:r>
      <w:r w:rsidR="00BD5B3E">
        <w:rPr>
          <w:rFonts w:ascii="Times New Roman" w:hAnsi="Times New Roman"/>
        </w:rPr>
        <w:t>očakávajú</w:t>
      </w:r>
      <w:r w:rsidRPr="00FC4F09">
        <w:rPr>
          <w:rFonts w:ascii="Times New Roman" w:hAnsi="Times New Roman"/>
        </w:rPr>
        <w:t xml:space="preserve"> náklady, ktoré budú predávajúci musieť znášať, avšak </w:t>
      </w:r>
      <w:r w:rsidR="00BD5B3E">
        <w:rPr>
          <w:rFonts w:ascii="Times New Roman" w:hAnsi="Times New Roman"/>
        </w:rPr>
        <w:t xml:space="preserve">predpokladá sa, že budú </w:t>
      </w:r>
      <w:r w:rsidRPr="00FC4F09">
        <w:rPr>
          <w:rFonts w:ascii="Times New Roman" w:hAnsi="Times New Roman"/>
        </w:rPr>
        <w:t xml:space="preserve">nižšie ako v prípade súdnych sporov, ktorých počet </w:t>
      </w:r>
      <w:r w:rsidR="00BD5B3E">
        <w:rPr>
          <w:rFonts w:ascii="Times New Roman" w:hAnsi="Times New Roman"/>
        </w:rPr>
        <w:t xml:space="preserve">by </w:t>
      </w:r>
      <w:r w:rsidRPr="00FC4F09">
        <w:rPr>
          <w:rFonts w:ascii="Times New Roman" w:hAnsi="Times New Roman"/>
        </w:rPr>
        <w:t xml:space="preserve">sa </w:t>
      </w:r>
      <w:r w:rsidR="00ED1E12">
        <w:rPr>
          <w:rFonts w:ascii="Times New Roman" w:hAnsi="Times New Roman"/>
        </w:rPr>
        <w:t xml:space="preserve">súčasne </w:t>
      </w:r>
      <w:r w:rsidR="00BD5B3E">
        <w:rPr>
          <w:rFonts w:ascii="Times New Roman" w:hAnsi="Times New Roman"/>
        </w:rPr>
        <w:t xml:space="preserve">mal </w:t>
      </w:r>
      <w:r w:rsidRPr="00FC4F09">
        <w:rPr>
          <w:rFonts w:ascii="Times New Roman" w:hAnsi="Times New Roman"/>
        </w:rPr>
        <w:t>vďaka systému alternatívneho riešenia spotrebiteľských sporov zníži</w:t>
      </w:r>
      <w:r w:rsidR="00BD5B3E">
        <w:rPr>
          <w:rFonts w:ascii="Times New Roman" w:hAnsi="Times New Roman"/>
        </w:rPr>
        <w:t>ť</w:t>
      </w:r>
      <w:r w:rsidRPr="00FC4F09">
        <w:rPr>
          <w:rFonts w:ascii="Times New Roman" w:hAnsi="Times New Roman"/>
        </w:rPr>
        <w:t>. Systémom alternatívneho riešenia spotrebiteľských sporov sa tiež môže prispieť k zachovaniu dobrého mena dotknutých podnikateľských subjektov a k udržaniu dôvery spotrebiteľov.</w:t>
        <w:tab/>
        <w:t xml:space="preserve"> 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Zákonodarca predpokladá v súvislosti s vytvorením systému alternatívneho riešenia spotrebiteľských sporov pozitívny sociálny vplyv návrhu zákona. Na systém alternatívneho riešenia spotrebiteľských sporov sa totiž bude môcť každý spotrebiteľ obrátiť so svojimi spormi, a to bez ohľadu na sektor podnikania, kúpny kanál či krajinu, z ktorej bol tovar alebo služba kúpené. Týmto systémom teda dôjde k zvýšeniu úrovne ochrany spotrebiteľa a k zlepšeniu vymožiteľnosti ich práv.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Napokon sa predpokladajú i pozitívne vplyvy na informatizáciu spoločnosti, a to z dôvodu, že  subjekty alternatívneho riešenia sporov budú v zmysle návrhu zákona využívať pri komunikácii s predávajúcimi a spotrebiteľmi najmä telefonický kontakt a elektronické prostriedky. Návrh na začatie alternatívneho riešenia sporu môže navyše spotrebiteľ podať elektronickými prostriedkami, a to bez potreby jeho dodatočného doloženia v listinnej podobe.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</w:p>
    <w:p w:rsidR="00FC4F09" w:rsidRPr="00FC4F09" w:rsidP="00FC4F09">
      <w:pPr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  <w:b/>
          <w:bCs/>
        </w:rPr>
        <w:t>A.4. Alternatívne riešenia</w:t>
      </w:r>
    </w:p>
    <w:p w:rsidR="00FC4F09" w:rsidRPr="00FC4F09" w:rsidP="00FC4F09">
      <w:pPr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 </w:t>
      </w:r>
    </w:p>
    <w:p w:rsidR="00FC4F09" w:rsidRPr="00FC4F09" w:rsidP="00FC4F09">
      <w:pPr>
        <w:bidi w:val="0"/>
        <w:jc w:val="both"/>
        <w:rPr>
          <w:rFonts w:ascii="Times New Roman" w:hAnsi="Times New Roman"/>
          <w:bCs/>
        </w:rPr>
      </w:pPr>
      <w:r w:rsidRPr="00FC4F09">
        <w:rPr>
          <w:rFonts w:ascii="Times New Roman" w:hAnsi="Times New Roman"/>
          <w:bCs/>
        </w:rPr>
        <w:t xml:space="preserve">Nie sú navrhované. </w:t>
      </w:r>
    </w:p>
    <w:p w:rsidR="00FC4F09" w:rsidRPr="00FC4F09" w:rsidP="00FC4F09">
      <w:pPr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  <w:b/>
          <w:bCs/>
        </w:rPr>
        <w:t> </w:t>
      </w: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  <w:r w:rsidRPr="00FC4F09">
        <w:rPr>
          <w:rFonts w:ascii="Times New Roman" w:hAnsi="Times New Roman"/>
          <w:b/>
          <w:bCs/>
        </w:rPr>
        <w:t>A.5. Stanovisko gestorov</w:t>
      </w: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Návrh zákona je vypracovaný z dôvodu potreby prebratia smernice</w:t>
      </w:r>
      <w:r w:rsidRPr="00FC4F09">
        <w:rPr>
          <w:rFonts w:ascii="Times New Roman" w:hAnsi="Times New Roman"/>
          <w:color w:val="808080"/>
        </w:rPr>
        <w:t xml:space="preserve"> </w:t>
      </w:r>
      <w:r w:rsidRPr="00FC4F09">
        <w:rPr>
          <w:rFonts w:ascii="Times New Roman" w:hAnsi="Times New Roman"/>
        </w:rPr>
        <w:t>Európskeho parlamentu a Rady 2013/11/EÚ z 21. mája 2013 o alternatívnom riešení spotrebiteľských sporov, ktorou sa mení nariadenie (ES) č. 2006/2004 a smernica 2009/22/ES (smernica o alternatívnom riešení spotrebiteľských sporov)</w:t>
      </w:r>
      <w:r w:rsidRPr="00FC4F09">
        <w:rPr>
          <w:rFonts w:ascii="Times New Roman" w:hAnsi="Times New Roman"/>
          <w:bCs/>
        </w:rPr>
        <w:t xml:space="preserve"> a implementácie nariadenia </w:t>
      </w:r>
      <w:r w:rsidRPr="00FC4F09">
        <w:rPr>
          <w:rFonts w:ascii="Times New Roman" w:hAnsi="Times New Roman"/>
          <w:bCs/>
          <w:color w:val="000000"/>
        </w:rPr>
        <w:t xml:space="preserve">Európskeho parlamentu a Rady (EÚ) č. 524/2013 z 21. mája 2013 o riešení spotrebiteľských sporov online, ktorým sa mení nariadenie (ES) č. 2006/2004 a smernica 2009/22/ES (nariadenie o riešení spotrebiteľských sporov online) </w:t>
      </w:r>
      <w:r w:rsidRPr="00FC4F09">
        <w:rPr>
          <w:rFonts w:ascii="Times New Roman" w:hAnsi="Times New Roman"/>
        </w:rPr>
        <w:t xml:space="preserve">do právneho poriadku Slovenskej republiky, preto v zmysle čl. 12 ods. 3 Legislatívnych pravidiel vlády Slovenskej republiky nebolo uskutočnené predbežné pripomienkové konanie. </w:t>
      </w: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  <w:sectPr w:rsidSect="0023301E">
          <w:pgSz w:w="11906" w:h="16838"/>
          <w:pgMar w:top="1079" w:right="1417" w:bottom="1417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tabs>
          <w:tab w:val="left" w:pos="4395"/>
        </w:tabs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F09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FC4F09" w:rsidRPr="00FC4F09" w:rsidP="00FC4F09">
      <w:pPr>
        <w:tabs>
          <w:tab w:val="left" w:pos="4395"/>
        </w:tabs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F09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</w:rPr>
      </w:pPr>
      <w:r w:rsidRPr="00FC4F09">
        <w:rPr>
          <w:rFonts w:ascii="Times New Roman" w:hAnsi="Times New Roman"/>
          <w:b/>
        </w:rPr>
        <w:t>2.1. Zhrnutie vplyvov na rozpočet verejnej správy v návrhu</w:t>
      </w:r>
    </w:p>
    <w:p w:rsidR="00FC4F09" w:rsidRPr="00FC4F09" w:rsidP="00FC4F09">
      <w:pPr>
        <w:tabs>
          <w:tab w:val="left" w:pos="4395"/>
        </w:tabs>
        <w:bidi w:val="0"/>
        <w:jc w:val="right"/>
        <w:rPr>
          <w:rFonts w:ascii="Times New Roman" w:hAnsi="Times New Roman"/>
          <w:sz w:val="20"/>
          <w:szCs w:val="20"/>
        </w:rPr>
      </w:pPr>
      <w:r w:rsidRPr="00FC4F09">
        <w:rPr>
          <w:rFonts w:ascii="Times New Roman" w:hAnsi="Times New Roman"/>
          <w:sz w:val="20"/>
          <w:szCs w:val="20"/>
        </w:rPr>
        <w:t xml:space="preserve">Tabuľka č. 1 </w:t>
      </w:r>
    </w:p>
    <w:p w:rsidR="00FC4F09" w:rsidRPr="00FC4F09" w:rsidP="00FC4F09">
      <w:pPr>
        <w:tabs>
          <w:tab w:val="left" w:pos="4395"/>
        </w:tabs>
        <w:bidi w:val="0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47"/>
      </w:tblGrid>
      <w:tr>
        <w:tblPrEx>
          <w:tblW w:w="970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3781" w:type="dxa"/>
          <w:cantSplit/>
          <w:trHeight w:val="285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Vplyvy na rozpočet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2018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SOI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Cs/>
              </w:rPr>
              <w:t>0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Cs/>
                <w:i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Cs/>
                <w:i/>
              </w:rPr>
              <w:t>0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i/>
              </w:rPr>
              <w:t>0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A8203C">
              <w:rPr>
                <w:rFonts w:ascii="Times New Roman" w:hAnsi="Times New Roman"/>
                <w:b/>
                <w:bCs/>
              </w:rPr>
              <w:t>248 022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C4F09" w:rsidRPr="00FC4F09" w:rsidP="00737088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236F63">
              <w:rPr>
                <w:rFonts w:ascii="Times New Roman" w:hAnsi="Times New Roman"/>
                <w:b/>
                <w:bCs/>
              </w:rPr>
              <w:t>484 044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236F63">
              <w:rPr>
                <w:rFonts w:ascii="Times New Roman" w:hAnsi="Times New Roman"/>
                <w:b/>
                <w:bCs/>
              </w:rPr>
              <w:t>484 044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-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SOI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A8203C">
            <w:pPr>
              <w:bidi w:val="0"/>
              <w:jc w:val="right"/>
              <w:rPr>
                <w:rFonts w:ascii="Times New Roman" w:hAnsi="Times New Roman"/>
              </w:rPr>
            </w:pPr>
            <w:r w:rsidR="00A8203C">
              <w:rPr>
                <w:rFonts w:ascii="Times New Roman" w:hAnsi="Times New Roman"/>
                <w:bCs/>
              </w:rPr>
              <w:t>206</w:t>
            </w:r>
            <w:r w:rsidR="00335064">
              <w:rPr>
                <w:rFonts w:ascii="Times New Roman" w:hAnsi="Times New Roman"/>
                <w:bCs/>
              </w:rPr>
              <w:t xml:space="preserve"> </w:t>
            </w:r>
            <w:r w:rsidR="00A8203C">
              <w:rPr>
                <w:rFonts w:ascii="Times New Roman" w:hAnsi="Times New Roman"/>
                <w:bCs/>
              </w:rPr>
              <w:t>685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="00236F63">
              <w:rPr>
                <w:rFonts w:ascii="Times New Roman" w:hAnsi="Times New Roman"/>
                <w:bCs/>
              </w:rPr>
              <w:t>403 370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="00236F63">
              <w:rPr>
                <w:rFonts w:ascii="Times New Roman" w:hAnsi="Times New Roman"/>
                <w:bCs/>
              </w:rPr>
              <w:t>403 370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FC4F09">
              <w:rPr>
                <w:rFonts w:ascii="Times New Roman" w:hAnsi="Times New Roman"/>
                <w:b/>
                <w:bCs/>
                <w:i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FC4F09" w:rsidP="00A8203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="00A8203C">
              <w:rPr>
                <w:rFonts w:ascii="Times New Roman" w:hAnsi="Times New Roman"/>
                <w:b/>
                <w:bCs/>
                <w:i/>
              </w:rPr>
              <w:t>206</w:t>
            </w:r>
            <w:r w:rsidR="00335064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A8203C">
              <w:rPr>
                <w:rFonts w:ascii="Times New Roman" w:hAnsi="Times New Roman"/>
                <w:b/>
                <w:bCs/>
                <w:i/>
              </w:rPr>
              <w:t>685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236F63" w:rsidP="00236F63">
            <w:pPr>
              <w:bidi w:val="0"/>
              <w:jc w:val="right"/>
              <w:rPr>
                <w:rFonts w:ascii="Times New Roman" w:hAnsi="Times New Roman"/>
                <w:b/>
                <w:i/>
              </w:rPr>
            </w:pPr>
            <w:r w:rsidRPr="00236F63">
              <w:rPr>
                <w:rFonts w:ascii="Times New Roman" w:hAnsi="Times New Roman"/>
                <w:b/>
                <w:bCs/>
                <w:i/>
              </w:rPr>
              <w:t>403 370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6F63" w:rsidRPr="00236F63" w:rsidP="00236F63">
            <w:pPr>
              <w:bidi w:val="0"/>
              <w:jc w:val="right"/>
              <w:rPr>
                <w:rFonts w:ascii="Times New Roman" w:hAnsi="Times New Roman"/>
                <w:b/>
                <w:i/>
              </w:rPr>
            </w:pPr>
            <w:r w:rsidRPr="00236F63">
              <w:rPr>
                <w:rFonts w:ascii="Times New Roman" w:hAnsi="Times New Roman"/>
                <w:b/>
                <w:bCs/>
                <w:i/>
              </w:rPr>
              <w:t>403 370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URSO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A8203C">
            <w:pPr>
              <w:bidi w:val="0"/>
              <w:jc w:val="right"/>
              <w:rPr>
                <w:rFonts w:ascii="Times New Roman" w:hAnsi="Times New Roman"/>
              </w:rPr>
            </w:pPr>
            <w:r w:rsidR="00A8203C">
              <w:rPr>
                <w:rFonts w:ascii="Times New Roman" w:hAnsi="Times New Roman"/>
                <w:bCs/>
              </w:rPr>
              <w:t>20 668,5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="00236F63">
              <w:rPr>
                <w:rFonts w:ascii="Times New Roman" w:hAnsi="Times New Roman"/>
                <w:bCs/>
              </w:rPr>
              <w:t>40 337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="00236F63">
              <w:rPr>
                <w:rFonts w:ascii="Times New Roman" w:hAnsi="Times New Roman"/>
                <w:bCs/>
              </w:rPr>
              <w:t>40 337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7088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7088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FC4F09">
              <w:rPr>
                <w:rFonts w:ascii="Times New Roman" w:hAnsi="Times New Roman"/>
                <w:b/>
                <w:bCs/>
                <w:i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7088" w:rsidRPr="00737088" w:rsidP="00D12A50">
            <w:pPr>
              <w:bidi w:val="0"/>
              <w:jc w:val="right"/>
              <w:rPr>
                <w:rFonts w:ascii="Times New Roman" w:hAnsi="Times New Roman"/>
                <w:b/>
                <w:i/>
              </w:rPr>
            </w:pPr>
            <w:r w:rsidR="00A8203C">
              <w:rPr>
                <w:rFonts w:ascii="Times New Roman" w:hAnsi="Times New Roman"/>
                <w:bCs/>
              </w:rPr>
              <w:t>20 668,5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7088" w:rsidRPr="00236F63" w:rsidP="00D12A50">
            <w:pPr>
              <w:bidi w:val="0"/>
              <w:jc w:val="right"/>
              <w:rPr>
                <w:rFonts w:ascii="Times New Roman" w:hAnsi="Times New Roman"/>
                <w:b/>
                <w:i/>
              </w:rPr>
            </w:pPr>
            <w:r w:rsidRPr="00236F63" w:rsidR="00236F63">
              <w:rPr>
                <w:rFonts w:ascii="Times New Roman" w:hAnsi="Times New Roman"/>
                <w:b/>
                <w:bCs/>
                <w:i/>
              </w:rPr>
              <w:t>40 337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7088" w:rsidRPr="00236F63" w:rsidP="00D12A50">
            <w:pPr>
              <w:bidi w:val="0"/>
              <w:jc w:val="right"/>
              <w:rPr>
                <w:rFonts w:ascii="Times New Roman" w:hAnsi="Times New Roman"/>
                <w:b/>
                <w:i/>
              </w:rPr>
            </w:pPr>
            <w:r w:rsidRPr="00236F63" w:rsidR="00236F63">
              <w:rPr>
                <w:rFonts w:ascii="Times New Roman" w:hAnsi="Times New Roman"/>
                <w:b/>
                <w:bCs/>
                <w:i/>
              </w:rPr>
              <w:t>40 337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FC4F09" w:rsidP="00FC4F09">
            <w:pPr>
              <w:bidi w:val="0"/>
              <w:rPr>
                <w:rFonts w:ascii="Times New Roman" w:hAnsi="Times New Roman"/>
                <w:bCs/>
                <w:iCs/>
              </w:rPr>
            </w:pPr>
            <w:r w:rsidRPr="00FC4F09">
              <w:rPr>
                <w:rFonts w:ascii="Times New Roman" w:hAnsi="Times New Roman"/>
                <w:bCs/>
                <w:iCs/>
              </w:rPr>
              <w:t>RÚ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FC4F09" w:rsidP="00D12A50">
            <w:pPr>
              <w:bidi w:val="0"/>
              <w:jc w:val="right"/>
              <w:rPr>
                <w:rFonts w:ascii="Times New Roman" w:hAnsi="Times New Roman"/>
              </w:rPr>
            </w:pPr>
            <w:r w:rsidR="00A8203C">
              <w:rPr>
                <w:rFonts w:ascii="Times New Roman" w:hAnsi="Times New Roman"/>
                <w:bCs/>
              </w:rPr>
              <w:t>20 668,5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FC4F09" w:rsidP="00236F63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40 337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6F63" w:rsidRPr="00FC4F09" w:rsidP="00236F63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40 337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FC4F09">
              <w:rPr>
                <w:rFonts w:ascii="Times New Roman" w:hAnsi="Times New Roman"/>
                <w:b/>
                <w:bCs/>
                <w:i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737088" w:rsidP="00D12A50">
            <w:pPr>
              <w:bidi w:val="0"/>
              <w:jc w:val="right"/>
              <w:rPr>
                <w:rFonts w:ascii="Times New Roman" w:hAnsi="Times New Roman"/>
                <w:b/>
                <w:i/>
              </w:rPr>
            </w:pPr>
            <w:r w:rsidR="00A8203C">
              <w:rPr>
                <w:rFonts w:ascii="Times New Roman" w:hAnsi="Times New Roman"/>
                <w:bCs/>
              </w:rPr>
              <w:t>20 668,5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36F63" w:rsidRPr="00236F63" w:rsidP="00236F63">
            <w:pPr>
              <w:bidi w:val="0"/>
              <w:jc w:val="right"/>
              <w:rPr>
                <w:rFonts w:ascii="Times New Roman" w:hAnsi="Times New Roman"/>
                <w:b/>
                <w:i/>
              </w:rPr>
            </w:pPr>
            <w:r w:rsidRPr="00236F63">
              <w:rPr>
                <w:rFonts w:ascii="Times New Roman" w:hAnsi="Times New Roman"/>
                <w:b/>
                <w:bCs/>
                <w:i/>
              </w:rPr>
              <w:t>40 337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6F63" w:rsidRPr="00236F63" w:rsidP="00236F63">
            <w:pPr>
              <w:bidi w:val="0"/>
              <w:jc w:val="right"/>
              <w:rPr>
                <w:rFonts w:ascii="Times New Roman" w:hAnsi="Times New Roman"/>
                <w:b/>
                <w:i/>
              </w:rPr>
            </w:pPr>
            <w:r w:rsidRPr="00236F63">
              <w:rPr>
                <w:rFonts w:ascii="Times New Roman" w:hAnsi="Times New Roman"/>
                <w:b/>
                <w:bCs/>
                <w:i/>
              </w:rPr>
              <w:t>40 337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C4F09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1298B" w:rsidRPr="00FC4F09" w:rsidP="00FC4F0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1298B" w:rsidRPr="00FC4F09" w:rsidP="0091298B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1298B" w:rsidRPr="00FC4F09" w:rsidP="0091298B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A8203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1298B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747D4C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1298B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747D4C">
              <w:rPr>
                <w:rFonts w:ascii="Times New Roman" w:hAnsi="Times New Roman"/>
                <w:b/>
                <w:bCs/>
              </w:rPr>
              <w:t>24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298B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  <w:i/>
              </w:rPr>
              <w:t>- z toho vplyv na ŠR</w:t>
            </w:r>
            <w:r w:rsidRPr="00FC4F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298B" w:rsidRPr="00FC4F09" w:rsidP="0091298B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298B" w:rsidRPr="00FC4F09" w:rsidP="0091298B">
            <w:pPr>
              <w:bidi w:val="0"/>
              <w:jc w:val="right"/>
              <w:rPr>
                <w:rFonts w:ascii="Times New Roman" w:hAnsi="Times New Roman"/>
              </w:rPr>
            </w:pPr>
            <w:r w:rsidR="00A8203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1298B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="00747D4C">
              <w:rPr>
                <w:rFonts w:ascii="Times New Roman" w:hAnsi="Times New Roman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298B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="00747D4C">
              <w:rPr>
                <w:rFonts w:ascii="Times New Roman" w:hAnsi="Times New Roman"/>
              </w:rPr>
              <w:t>24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0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  <w:p w:rsidR="00FC4F09" w:rsidRPr="00FC4F09" w:rsidP="00FC4F09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</w:tbl>
    <w:p w:rsidR="00FC4F09" w:rsidRPr="00FC4F09" w:rsidP="00FC4F09">
      <w:pPr>
        <w:bidi w:val="0"/>
        <w:rPr>
          <w:rFonts w:ascii="Times New Roman" w:hAnsi="Times New Roman"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  <w:r w:rsidRPr="00FC4F09">
        <w:rPr>
          <w:rFonts w:ascii="Times New Roman" w:hAnsi="Times New Roman"/>
          <w:b/>
          <w:bCs/>
        </w:rPr>
        <w:t>2.2. Financovanie návrhu</w:t>
      </w:r>
    </w:p>
    <w:p w:rsidR="00FC4F09" w:rsidRPr="00FC4F09" w:rsidP="00FC4F09">
      <w:pPr>
        <w:tabs>
          <w:tab w:val="left" w:pos="4395"/>
        </w:tabs>
        <w:bidi w:val="0"/>
        <w:jc w:val="right"/>
        <w:rPr>
          <w:rFonts w:ascii="Times New Roman" w:hAnsi="Times New Roman"/>
          <w:sz w:val="20"/>
          <w:szCs w:val="20"/>
        </w:rPr>
      </w:pPr>
      <w:r w:rsidRPr="00FC4F09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198"/>
        <w:gridCol w:w="1264"/>
        <w:gridCol w:w="1264"/>
        <w:gridCol w:w="1264"/>
        <w:gridCol w:w="1222"/>
      </w:tblGrid>
      <w:tr>
        <w:tblPrEx>
          <w:tblW w:w="92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3750" w:type="dxa"/>
          <w:cantSplit/>
          <w:trHeight w:val="285"/>
        </w:trPr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Financovanie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2018</w:t>
            </w: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5064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5064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5064" w:rsidRPr="00FC4F09" w:rsidP="00A8203C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A8203C">
              <w:rPr>
                <w:rFonts w:ascii="Times New Roman" w:hAnsi="Times New Roman"/>
                <w:b/>
                <w:bCs/>
              </w:rPr>
              <w:t>248</w:t>
            </w:r>
            <w:r>
              <w:rPr>
                <w:rFonts w:ascii="Times New Roman" w:hAnsi="Times New Roman"/>
                <w:b/>
                <w:bCs/>
              </w:rPr>
              <w:t xml:space="preserve"> 0</w:t>
            </w:r>
            <w:r w:rsidR="00A8203C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484 044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484 044</w:t>
            </w: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5064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5064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A8203C">
              <w:rPr>
                <w:rFonts w:ascii="Times New Roman" w:hAnsi="Times New Roman"/>
                <w:b/>
                <w:bCs/>
              </w:rPr>
              <w:t>248 022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484 044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484 044</w:t>
            </w: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highlight w:val="yellow"/>
              </w:rPr>
            </w:pPr>
            <w:r w:rsidRPr="00FC4F09">
              <w:rPr>
                <w:rFonts w:ascii="Times New Roman" w:hAnsi="Times New Roman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</w:tr>
      <w:tr>
        <w:tblPrEx>
          <w:tblW w:w="9212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5064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5064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A8203C">
              <w:rPr>
                <w:rFonts w:ascii="Times New Roman" w:hAnsi="Times New Roman"/>
                <w:b/>
                <w:bCs/>
              </w:rPr>
              <w:t>248 022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484 044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484 044</w:t>
            </w:r>
          </w:p>
        </w:tc>
      </w:tr>
    </w:tbl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  <w:r w:rsidRPr="00FC4F09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hAnsi="Times New Roman"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  <w:r w:rsidRPr="00FC4F09">
        <w:rPr>
          <w:rFonts w:ascii="Times New Roman" w:hAnsi="Times New Roman"/>
          <w:b/>
          <w:bCs/>
        </w:rPr>
        <w:t>2.3. Popis a charakteristika návrhu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hAnsi="Times New Roman"/>
          <w:b/>
          <w:bCs/>
        </w:rPr>
      </w:pPr>
      <w:r w:rsidRPr="00FC4F09">
        <w:rPr>
          <w:rFonts w:ascii="Times New Roman" w:hAnsi="Times New Roman"/>
          <w:b/>
          <w:bCs/>
        </w:rPr>
        <w:t>2.3.1. Popis návrhu: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S cieľom zlepšiť prístup spotrebiteľov k nápravným opatreniam pomocou systémov alternatívneho riešenia sporov vnútroštátneho i cezhraničného charakteru prijali Európsky parlament a Rada v roku 2013 smernicu o alternatívnom riešení spotrebiteľských sporov a nariadenie Európskeho parlamentu a Rady (EÚ) č. 524/2013 z 21. mája 2013 o riešení spotrebiteľských sporov online, ktorým sa mení nariadenie (ES) č. 2006/2004 a smernica  2009/22/ES (nariadenie o riešení spotrebiteľských sporov online).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Smernica o alternatívnom riešení spotrebiteľských sporov počíta s vytvorením systému na úrovni jednotlivých členských štátov, v ktorom sa každý spotrebiteľ bude môcť so svojimi spormi (bez ohľadu na sektor podnikania, kúpny kanál či krajinu, z ktorej bol tovar alebo služba kúpené) obrátiť na systém alternatívneho riešenia spotrebiteľských sporov (ďalej aj „systém ARS“). Každý členský štát je v zmysle smernice o ARS povinný zabezpečiť, že všetky systémy ARS oznámené Európskej komisii budú transparentné a že budú spory medzi spotrebiteľmi a predávajúcimi riešiť účinne a nestranne. Výsledkom má byť väčší počet nastolených a vyriešených spotrebiteľských problémov.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Povinnosťou Slovenskej republiky je v súlade s požiadavkami vyplývajúcimi zo smernice o alternatívnom riešení spotrebiteľských sporov zabezpečiť úplné odvetvové a geografické pokrytie subjektov ARS, ako aj ekonomickú dostupnosť týchto systémov pre spotrebiteľov.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 xml:space="preserve">MH SR posúdilo jednotlivé dostupné možnosti na zabezpečenie systému ARS v podmienkach Slovenskej republiky. Na základe zistení MH SR možno konštatovať, že po zohľadnení všetkých relevantných aspektov, a tiež nezanedbateľnej otázky vplyvu na štátny rozpočet SR, je sledovaný cieľ možné najlepšie dosiahnuť rozšírením kompetencií Úradu pre reguláciu sieťových odvetví (ďalej len „ÚRSO“) a </w:t>
      </w:r>
      <w:r w:rsidRPr="00FC4F09">
        <w:rPr>
          <w:rFonts w:ascii="Times New Roman" w:hAnsi="Times New Roman"/>
          <w:color w:val="000000"/>
        </w:rPr>
        <w:t xml:space="preserve">Úradu pre reguláciu elektronických komunikácií a poštových služieb </w:t>
      </w:r>
      <w:r w:rsidRPr="00FC4F09">
        <w:rPr>
          <w:rFonts w:ascii="Times New Roman" w:hAnsi="Times New Roman"/>
        </w:rPr>
        <w:t xml:space="preserve"> o mimosúdne riešenie sporov (ďalej len „RÚ“). Nevyhnutné bude zároveň vytvorenie reziduálneho subjektu ARS zaoberajúceho sa spormi, na ktorých riešenie nie je príslušný žiaden z uvedených osobitných subjektov ARS, s cieľom zabezpečiť úplné odvetvové a geografické pokrytie a prístup spotrebiteľov k alternatívnemu riešeniu sporov v súlade s požiadavkami vyplývajúcimi pre SR zo smernice o alternatívnom riešení spotrebiteľských sporov. Týmto reziduálnym subjektom má byť Slovenská obchodná inšpekcia (ďalej len „SOI“), preto  je potrebné rozšíriť aj jej kompetencie.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 xml:space="preserve">Na riadne plnenie </w:t>
      </w:r>
      <w:r w:rsidRPr="00DD7E5E">
        <w:rPr>
          <w:rFonts w:ascii="Times New Roman" w:hAnsi="Times New Roman"/>
        </w:rPr>
        <w:t>povinností subjektov ARS vyplývajúcich z návrhu zákona ako aj zo samotnej smernice bude potrebné zvýšiť súčasný stav zamestnancov o dvoch kvalifikovaných zamestnancov SOI pre každý kraj a štyroch zamestnancov na úrovni Ústredného inšpektorátu SOI (t.j. spolu maximálne 20 nových zamestnancov pre SOI) a o </w:t>
      </w:r>
      <w:r w:rsidRPr="00DD7E5E" w:rsidR="002D0A67">
        <w:rPr>
          <w:rFonts w:ascii="Times New Roman" w:hAnsi="Times New Roman"/>
        </w:rPr>
        <w:t>dvoch</w:t>
      </w:r>
      <w:r w:rsidRPr="00DD7E5E">
        <w:rPr>
          <w:rFonts w:ascii="Times New Roman" w:hAnsi="Times New Roman"/>
        </w:rPr>
        <w:t xml:space="preserve"> kvalifikovan</w:t>
      </w:r>
      <w:r w:rsidRPr="00DD7E5E" w:rsidR="002D0A67">
        <w:rPr>
          <w:rFonts w:ascii="Times New Roman" w:hAnsi="Times New Roman"/>
        </w:rPr>
        <w:t>ých</w:t>
      </w:r>
      <w:r w:rsidRPr="00DD7E5E">
        <w:rPr>
          <w:rFonts w:ascii="Times New Roman" w:hAnsi="Times New Roman"/>
        </w:rPr>
        <w:t xml:space="preserve"> zamestnanc</w:t>
      </w:r>
      <w:r w:rsidRPr="00DD7E5E" w:rsidR="002D0A67">
        <w:rPr>
          <w:rFonts w:ascii="Times New Roman" w:hAnsi="Times New Roman"/>
        </w:rPr>
        <w:t>ov</w:t>
      </w:r>
      <w:r w:rsidRPr="00DD7E5E">
        <w:rPr>
          <w:rFonts w:ascii="Times New Roman" w:hAnsi="Times New Roman"/>
        </w:rPr>
        <w:t xml:space="preserve"> ÚRSO a </w:t>
      </w:r>
      <w:r w:rsidRPr="00DD7E5E" w:rsidR="002D0A67">
        <w:rPr>
          <w:rFonts w:ascii="Times New Roman" w:hAnsi="Times New Roman"/>
        </w:rPr>
        <w:t xml:space="preserve">dvoch kvalifikovaných zamestnancov </w:t>
      </w:r>
      <w:r w:rsidRPr="00DD7E5E">
        <w:rPr>
          <w:rFonts w:ascii="Times New Roman" w:hAnsi="Times New Roman"/>
        </w:rPr>
        <w:t>RÚ.</w:t>
      </w:r>
      <w:r w:rsidRPr="00DD7E5E" w:rsidR="000571D9">
        <w:rPr>
          <w:rFonts w:ascii="Times New Roman" w:hAnsi="Times New Roman"/>
        </w:rPr>
        <w:t xml:space="preserve"> Vzhľadom na posunutie účinnosti zákona na 1. júla 2016 sú v doložke vplyvov na rok 2016 premietnuté výdavky na financovanie návrhu v druhej polovici roku 2016.</w:t>
      </w:r>
    </w:p>
    <w:p w:rsidR="00FC4F09" w:rsidRPr="00FC4F0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Navrhovanou úpravou sa zároveň minimalizujú dodatočné náklady na priestorové a  materiálno-technické vybavenie, keďže by sa využili existujúce priestory SOI, ÚRSO a RÚ.</w:t>
      </w:r>
    </w:p>
    <w:p w:rsidR="00D53F89" w:rsidP="00FC4F09">
      <w:pPr>
        <w:bidi w:val="0"/>
        <w:spacing w:before="200"/>
        <w:jc w:val="both"/>
        <w:rPr>
          <w:rFonts w:ascii="Times New Roman" w:hAnsi="Times New Roman"/>
        </w:rPr>
      </w:pPr>
      <w:r w:rsidRPr="00FC4F09" w:rsidR="00FC4F09">
        <w:rPr>
          <w:rFonts w:ascii="Times New Roman" w:hAnsi="Times New Roman"/>
        </w:rPr>
        <w:t xml:space="preserve">Pri vyčísľovaní vplyvov na rozpočet verejnej správy sme pritom vychádzali z údajov, ktoré nám poskytli dotknuté orgány verejnej správy. Náklady na jedného zamestnanca dotknutých orgánov verejnej správy predstavujú sumu cca </w:t>
      </w:r>
      <w:r>
        <w:rPr>
          <w:rFonts w:ascii="Times New Roman" w:hAnsi="Times New Roman"/>
        </w:rPr>
        <w:t>20 168,50</w:t>
      </w:r>
      <w:r w:rsidRPr="00FC4F09" w:rsidR="00FC4F09">
        <w:rPr>
          <w:rFonts w:ascii="Times New Roman" w:hAnsi="Times New Roman"/>
        </w:rPr>
        <w:t xml:space="preserve"> € ročne</w:t>
      </w:r>
      <w:r w:rsidRPr="00D53F89">
        <w:rPr>
          <w:rFonts w:ascii="Times New Roman" w:hAnsi="Times New Roman"/>
        </w:rPr>
        <w:t xml:space="preserve"> z toho na</w:t>
      </w:r>
      <w:r>
        <w:rPr>
          <w:rFonts w:ascii="Times New Roman" w:hAnsi="Times New Roman"/>
        </w:rPr>
        <w:t>:</w:t>
      </w:r>
    </w:p>
    <w:p w:rsidR="00D53F89" w:rsidP="00D53F89">
      <w:pPr>
        <w:pStyle w:val="ListParagraph"/>
        <w:numPr>
          <w:numId w:val="4"/>
        </w:numPr>
        <w:bidi w:val="0"/>
        <w:spacing w:before="200"/>
        <w:jc w:val="both"/>
        <w:rPr>
          <w:rFonts w:ascii="Times New Roman" w:hAnsi="Times New Roman"/>
          <w:sz w:val="24"/>
          <w:szCs w:val="24"/>
        </w:rPr>
      </w:pPr>
      <w:r w:rsidRPr="00D53F89">
        <w:rPr>
          <w:rFonts w:ascii="Times New Roman" w:hAnsi="Times New Roman"/>
          <w:sz w:val="24"/>
          <w:szCs w:val="24"/>
        </w:rPr>
        <w:t xml:space="preserve">mzdy (610) cca </w:t>
      </w:r>
      <w:r>
        <w:rPr>
          <w:rFonts w:ascii="Times New Roman" w:hAnsi="Times New Roman"/>
          <w:sz w:val="24"/>
          <w:szCs w:val="24"/>
        </w:rPr>
        <w:t>14 304</w:t>
      </w:r>
      <w:r w:rsidRPr="00D53F89">
        <w:rPr>
          <w:rFonts w:ascii="Times New Roman" w:hAnsi="Times New Roman" w:hint="default"/>
          <w:sz w:val="24"/>
          <w:szCs w:val="24"/>
        </w:rPr>
        <w:t>,- €</w:t>
      </w:r>
      <w:r>
        <w:rPr>
          <w:rFonts w:ascii="Times New Roman" w:hAnsi="Times New Roman"/>
          <w:sz w:val="24"/>
          <w:szCs w:val="24"/>
        </w:rPr>
        <w:t xml:space="preserve"> /t.j. 1 192 x 12/</w:t>
      </w:r>
      <w:r w:rsidRPr="00D53F89">
        <w:rPr>
          <w:rFonts w:ascii="Times New Roman" w:hAnsi="Times New Roman"/>
          <w:sz w:val="24"/>
          <w:szCs w:val="24"/>
        </w:rPr>
        <w:t xml:space="preserve">; </w:t>
      </w:r>
    </w:p>
    <w:p w:rsidR="00D53F89" w:rsidP="00D53F89">
      <w:pPr>
        <w:pStyle w:val="ListParagraph"/>
        <w:numPr>
          <w:numId w:val="4"/>
        </w:numPr>
        <w:bidi w:val="0"/>
        <w:spacing w:before="200"/>
        <w:jc w:val="both"/>
        <w:rPr>
          <w:rFonts w:ascii="Times New Roman" w:hAnsi="Times New Roman"/>
          <w:sz w:val="24"/>
          <w:szCs w:val="24"/>
        </w:rPr>
      </w:pPr>
      <w:r w:rsidRPr="00D53F89">
        <w:rPr>
          <w:rFonts w:ascii="Times New Roman" w:hAnsi="Times New Roman"/>
          <w:sz w:val="24"/>
          <w:szCs w:val="24"/>
        </w:rPr>
        <w:t>odvody (620) cca 4</w:t>
      </w:r>
      <w:r w:rsidR="00D347D5">
        <w:rPr>
          <w:rFonts w:ascii="Times New Roman" w:hAnsi="Times New Roman"/>
          <w:sz w:val="24"/>
          <w:szCs w:val="24"/>
        </w:rPr>
        <w:t xml:space="preserve"> </w:t>
      </w:r>
      <w:r w:rsidRPr="00D53F89">
        <w:rPr>
          <w:rFonts w:ascii="Times New Roman" w:hAnsi="Times New Roman" w:hint="default"/>
          <w:sz w:val="24"/>
          <w:szCs w:val="24"/>
        </w:rPr>
        <w:t>999,5 €</w:t>
      </w:r>
      <w:r w:rsidR="00236F63">
        <w:rPr>
          <w:rFonts w:ascii="Times New Roman" w:hAnsi="Times New Roman"/>
          <w:sz w:val="24"/>
          <w:szCs w:val="24"/>
        </w:rPr>
        <w:t xml:space="preserve"> /t.j. 34,95% /</w:t>
      </w:r>
      <w:r w:rsidRPr="00D53F89">
        <w:rPr>
          <w:rFonts w:ascii="Times New Roman" w:hAnsi="Times New Roman"/>
          <w:sz w:val="24"/>
          <w:szCs w:val="24"/>
        </w:rPr>
        <w:t>;</w:t>
      </w:r>
    </w:p>
    <w:p w:rsidR="00D53F89" w:rsidP="00D53F89">
      <w:pPr>
        <w:pStyle w:val="ListParagraph"/>
        <w:numPr>
          <w:numId w:val="4"/>
        </w:numPr>
        <w:bidi w:val="0"/>
        <w:spacing w:before="200"/>
        <w:jc w:val="both"/>
        <w:rPr>
          <w:rFonts w:ascii="Times New Roman" w:hAnsi="Times New Roman" w:hint="default"/>
          <w:sz w:val="24"/>
          <w:szCs w:val="24"/>
        </w:rPr>
      </w:pPr>
      <w:r w:rsidRPr="00D53F89">
        <w:rPr>
          <w:rFonts w:ascii="Times New Roman" w:hAnsi="Times New Roman" w:hint="default"/>
          <w:sz w:val="24"/>
          <w:szCs w:val="24"/>
        </w:rPr>
        <w:t>stravné</w:t>
      </w:r>
      <w:r w:rsidRPr="00D53F89">
        <w:rPr>
          <w:rFonts w:ascii="Times New Roman" w:hAnsi="Times New Roman" w:hint="default"/>
          <w:sz w:val="24"/>
          <w:szCs w:val="24"/>
        </w:rPr>
        <w:t xml:space="preserve"> (637014) cca 650,- €</w:t>
      </w:r>
      <w:r>
        <w:rPr>
          <w:rFonts w:ascii="Times New Roman" w:hAnsi="Times New Roman" w:hint="default"/>
          <w:sz w:val="24"/>
          <w:szCs w:val="24"/>
        </w:rPr>
        <w:t xml:space="preserve"> /t.j. 250 pracovný</w:t>
      </w:r>
      <w:r>
        <w:rPr>
          <w:rFonts w:ascii="Times New Roman" w:hAnsi="Times New Roman" w:hint="default"/>
          <w:sz w:val="24"/>
          <w:szCs w:val="24"/>
        </w:rPr>
        <w:t>ch dní</w:t>
      </w:r>
      <w:r>
        <w:rPr>
          <w:rFonts w:ascii="Times New Roman" w:hAnsi="Times New Roman" w:hint="default"/>
          <w:sz w:val="24"/>
          <w:szCs w:val="24"/>
        </w:rPr>
        <w:t xml:space="preserve"> x (4,0 x 0,65)/;</w:t>
      </w:r>
    </w:p>
    <w:p w:rsidR="00D53F89" w:rsidP="00D53F89">
      <w:pPr>
        <w:pStyle w:val="ListParagraph"/>
        <w:numPr>
          <w:numId w:val="4"/>
        </w:numPr>
        <w:bidi w:val="0"/>
        <w:spacing w:before="200"/>
        <w:jc w:val="both"/>
        <w:rPr>
          <w:rFonts w:ascii="Times New Roman" w:hAnsi="Times New Roman"/>
          <w:sz w:val="24"/>
          <w:szCs w:val="24"/>
        </w:rPr>
      </w:pPr>
      <w:r w:rsidRPr="00D53F89">
        <w:rPr>
          <w:rFonts w:ascii="Times New Roman" w:hAnsi="Times New Roman" w:hint="default"/>
          <w:sz w:val="24"/>
          <w:szCs w:val="24"/>
        </w:rPr>
        <w:t>sociá</w:t>
      </w:r>
      <w:r w:rsidRPr="00D53F89">
        <w:rPr>
          <w:rFonts w:ascii="Times New Roman" w:hAnsi="Times New Roman" w:hint="default"/>
          <w:sz w:val="24"/>
          <w:szCs w:val="24"/>
        </w:rPr>
        <w:t>lny fond (637016) cca 215,- €</w:t>
      </w:r>
      <w:r>
        <w:rPr>
          <w:rFonts w:ascii="Times New Roman" w:hAnsi="Times New Roman"/>
          <w:sz w:val="24"/>
          <w:szCs w:val="24"/>
        </w:rPr>
        <w:t xml:space="preserve"> /t.j. 0,015 x 14</w:t>
      </w:r>
      <w:r w:rsidR="00D34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304/</w:t>
      </w:r>
      <w:r w:rsidR="00236F63">
        <w:rPr>
          <w:rFonts w:ascii="Times New Roman" w:hAnsi="Times New Roman"/>
          <w:sz w:val="24"/>
          <w:szCs w:val="24"/>
        </w:rPr>
        <w:t>.</w:t>
      </w:r>
    </w:p>
    <w:p w:rsidR="00FC4F09" w:rsidRPr="00D53F89" w:rsidP="00D53F89">
      <w:pPr>
        <w:bidi w:val="0"/>
        <w:spacing w:before="200"/>
        <w:jc w:val="both"/>
        <w:rPr>
          <w:rFonts w:ascii="Times New Roman" w:hAnsi="Times New Roman"/>
        </w:rPr>
      </w:pPr>
      <w:r w:rsidRPr="00D53F89">
        <w:rPr>
          <w:rFonts w:ascii="Times New Roman" w:hAnsi="Times New Roman"/>
        </w:rPr>
        <w:t>Zároveň je potrebné počítať s jednorazovým výdavkom vo výške 500,- € na jedného zamestnanca, z dôvodu nutnosti zabezpečenia výpočtovej techniky pre zamestnanca na riadny výkon jeho pracovnej činnosti.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  <w:r w:rsidRPr="00FC4F09">
        <w:rPr>
          <w:rFonts w:ascii="Times New Roman" w:hAnsi="Times New Roman"/>
          <w:b/>
          <w:bCs/>
        </w:rPr>
        <w:t>2.3.2. Charakteristika návrhu podľa bodu  2.3.2. Metodiky :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eastAsia="Calibri" w:hAnsi="Times New Roman"/>
        </w:rPr>
      </w:pPr>
      <w:r w:rsidRPr="00FC4F09">
        <w:rPr>
          <w:rFonts w:ascii="Times New Roman" w:eastAsia="Calibri" w:hAnsi="Times New Roman"/>
          <w:b/>
          <w:bdr w:val="single" w:sz="4" w:space="0" w:color="auto"/>
        </w:rPr>
        <w:t xml:space="preserve">     </w:t>
      </w:r>
      <w:r w:rsidRPr="00FC4F09">
        <w:rPr>
          <w:rFonts w:ascii="Times New Roman" w:eastAsia="Calibri" w:hAnsi="Times New Roman"/>
          <w:b/>
        </w:rPr>
        <w:t xml:space="preserve">  </w:t>
      </w:r>
      <w:r w:rsidRPr="00FC4F09">
        <w:rPr>
          <w:rFonts w:ascii="Times New Roman" w:eastAsia="Calibri" w:hAnsi="Times New Roman"/>
        </w:rPr>
        <w:t>zmena sadzby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eastAsia="Calibri" w:hAnsi="Times New Roman" w:hint="default"/>
        </w:rPr>
      </w:pPr>
      <w:r w:rsidRPr="00FC4F09">
        <w:rPr>
          <w:rFonts w:ascii="Times New Roman" w:eastAsia="Calibri" w:hAnsi="Times New Roman"/>
          <w:bdr w:val="single" w:sz="4" w:space="0" w:color="auto"/>
        </w:rPr>
        <w:t xml:space="preserve">     </w:t>
      </w:r>
      <w:r w:rsidRPr="00FC4F09">
        <w:rPr>
          <w:rFonts w:ascii="Times New Roman" w:eastAsia="Calibri" w:hAnsi="Times New Roman"/>
        </w:rPr>
        <w:t xml:space="preserve">  zmen</w:t>
      </w:r>
      <w:r w:rsidRPr="00FC4F09">
        <w:rPr>
          <w:rFonts w:ascii="Times New Roman" w:eastAsia="Calibri" w:hAnsi="Times New Roman"/>
        </w:rPr>
        <w:t>a v </w:t>
      </w:r>
      <w:r w:rsidRPr="00FC4F09">
        <w:rPr>
          <w:rFonts w:ascii="Times New Roman" w:eastAsia="Calibri" w:hAnsi="Times New Roman" w:hint="default"/>
        </w:rPr>
        <w:t>ná</w:t>
      </w:r>
      <w:r w:rsidRPr="00FC4F09">
        <w:rPr>
          <w:rFonts w:ascii="Times New Roman" w:eastAsia="Calibri" w:hAnsi="Times New Roman" w:hint="default"/>
        </w:rPr>
        <w:t>roku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eastAsia="Calibri" w:hAnsi="Times New Roman" w:hint="default"/>
        </w:rPr>
      </w:pPr>
      <w:r w:rsidRPr="00FC4F09">
        <w:rPr>
          <w:rFonts w:ascii="Times New Roman" w:eastAsia="Calibri" w:hAnsi="Times New Roman"/>
          <w:bdr w:val="single" w:sz="4" w:space="0" w:color="auto"/>
        </w:rPr>
        <w:t xml:space="preserve">     </w:t>
      </w:r>
      <w:r w:rsidRPr="00FC4F09">
        <w:rPr>
          <w:rFonts w:ascii="Times New Roman" w:eastAsia="Calibri" w:hAnsi="Times New Roman" w:hint="default"/>
        </w:rPr>
        <w:t xml:space="preserve">  nová</w:t>
      </w:r>
      <w:r w:rsidRPr="00FC4F09">
        <w:rPr>
          <w:rFonts w:ascii="Times New Roman" w:eastAsia="Calibri" w:hAnsi="Times New Roman" w:hint="default"/>
        </w:rPr>
        <w:t xml:space="preserve"> služ</w:t>
      </w:r>
      <w:r w:rsidRPr="00FC4F09">
        <w:rPr>
          <w:rFonts w:ascii="Times New Roman" w:eastAsia="Calibri" w:hAnsi="Times New Roman" w:hint="default"/>
        </w:rPr>
        <w:t>ba alebo nariadenie (alebo ich zruš</w:t>
      </w:r>
      <w:r w:rsidRPr="00FC4F09">
        <w:rPr>
          <w:rFonts w:ascii="Times New Roman" w:eastAsia="Calibri" w:hAnsi="Times New Roman" w:hint="default"/>
        </w:rPr>
        <w:t>enie)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eastAsia="Calibri" w:hAnsi="Times New Roman" w:hint="default"/>
        </w:rPr>
      </w:pPr>
      <w:r w:rsidRPr="00FC4F09">
        <w:rPr>
          <w:rFonts w:ascii="Times New Roman" w:eastAsia="Calibri" w:hAnsi="Times New Roman"/>
          <w:bdr w:val="single" w:sz="4" w:space="0" w:color="auto"/>
        </w:rPr>
        <w:t xml:space="preserve">     </w:t>
      </w:r>
      <w:r w:rsidRPr="00FC4F09">
        <w:rPr>
          <w:rFonts w:ascii="Times New Roman" w:eastAsia="Calibri" w:hAnsi="Times New Roman" w:hint="default"/>
        </w:rPr>
        <w:t xml:space="preserve">  kombinovaný</w:t>
      </w:r>
      <w:r w:rsidRPr="00FC4F09">
        <w:rPr>
          <w:rFonts w:ascii="Times New Roman" w:eastAsia="Calibri" w:hAnsi="Times New Roman" w:hint="default"/>
        </w:rPr>
        <w:t xml:space="preserve"> ná</w:t>
      </w:r>
      <w:r w:rsidRPr="00FC4F09">
        <w:rPr>
          <w:rFonts w:ascii="Times New Roman" w:eastAsia="Calibri" w:hAnsi="Times New Roman" w:hint="default"/>
        </w:rPr>
        <w:t>vrh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eastAsia="Calibri" w:hAnsi="Times New Roman" w:hint="default"/>
        </w:rPr>
      </w:pPr>
      <w:r w:rsidRPr="00FC4F09">
        <w:rPr>
          <w:rFonts w:ascii="Times New Roman" w:eastAsia="Calibri" w:hAnsi="Times New Roman"/>
          <w:bdr w:val="single" w:sz="4" w:space="0" w:color="auto"/>
        </w:rPr>
        <w:t xml:space="preserve">     </w:t>
      </w:r>
      <w:r w:rsidRPr="00FC4F09">
        <w:rPr>
          <w:rFonts w:ascii="Times New Roman" w:eastAsia="Calibri" w:hAnsi="Times New Roman" w:hint="default"/>
        </w:rPr>
        <w:t xml:space="preserve">  iné</w:t>
      </w:r>
      <w:r w:rsidRPr="00FC4F09">
        <w:rPr>
          <w:rFonts w:ascii="Times New Roman" w:eastAsia="Calibri" w:hAnsi="Times New Roman" w:hint="default"/>
        </w:rPr>
        <w:t xml:space="preserve"> 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</w:rPr>
      </w:pPr>
      <w:r w:rsidRPr="00FC4F09">
        <w:rPr>
          <w:rFonts w:ascii="Times New Roman" w:hAnsi="Times New Roman"/>
          <w:b/>
          <w:bCs/>
        </w:rPr>
        <w:t>2.3.3. Predpoklady vývoja objemu aktivít: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Jasne popíšte, v prípade potreby použite nižšie uvedenú tabuľku. Uveďte aj odhady základov daní a/alebo poplatkov, ak sa ich táto zmena týka.</w:t>
      </w:r>
    </w:p>
    <w:p w:rsidR="00FC4F09" w:rsidRPr="00FC4F09" w:rsidP="00FC4F09">
      <w:pPr>
        <w:tabs>
          <w:tab w:val="left" w:pos="4395"/>
        </w:tabs>
        <w:bidi w:val="0"/>
        <w:jc w:val="right"/>
        <w:rPr>
          <w:rFonts w:ascii="Times New Roman" w:hAnsi="Times New Roman"/>
          <w:sz w:val="20"/>
          <w:szCs w:val="20"/>
        </w:rPr>
      </w:pPr>
      <w:r w:rsidRPr="00FC4F09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</w:tr>
      <w:tr>
        <w:tblPrEx>
          <w:tblW w:w="0" w:type="auto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</w:rPr>
            </w:pPr>
            <w:r w:rsidRPr="00FC4F09">
              <w:rPr>
                <w:rFonts w:ascii="Times New Roman" w:hAnsi="Times New Roman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</w:rPr>
            </w:pPr>
            <w:r w:rsidRPr="00FC4F09">
              <w:rPr>
                <w:rFonts w:ascii="Times New Roman" w:hAnsi="Times New Roman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</w:rPr>
            </w:pPr>
            <w:r w:rsidRPr="00FC4F09">
              <w:rPr>
                <w:rFonts w:ascii="Times New Roman" w:hAnsi="Times New Roman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  <w:r w:rsidRPr="00FC4F09">
        <w:rPr>
          <w:rFonts w:ascii="Times New Roman" w:hAnsi="Times New Roman"/>
          <w:b/>
          <w:bCs/>
        </w:rPr>
        <w:t>2.3.4. Výpočty vplyvov na verejné financie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  <w:sectPr w:rsidSect="0023301E">
          <w:pgSz w:w="11906" w:h="16838"/>
          <w:pgMar w:top="1079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tabs>
          <w:tab w:val="left" w:pos="4395"/>
        </w:tabs>
        <w:bidi w:val="0"/>
        <w:jc w:val="right"/>
        <w:rPr>
          <w:rFonts w:ascii="Times New Roman" w:eastAsia="Calibri" w:hAnsi="Times New Roman" w:hint="default"/>
          <w:bCs/>
        </w:rPr>
      </w:pPr>
      <w:r w:rsidRPr="00FC4F09">
        <w:rPr>
          <w:rFonts w:ascii="Times New Roman" w:eastAsia="Calibri" w:hAnsi="Times New Roman" w:hint="default"/>
          <w:bCs/>
        </w:rPr>
        <w:t>Tabuľ</w:t>
      </w:r>
      <w:r w:rsidRPr="00FC4F09">
        <w:rPr>
          <w:rFonts w:ascii="Times New Roman" w:eastAsia="Calibri" w:hAnsi="Times New Roman" w:hint="default"/>
          <w:bCs/>
        </w:rPr>
        <w:t>ka č</w:t>
      </w:r>
      <w:r w:rsidRPr="00FC4F09">
        <w:rPr>
          <w:rFonts w:ascii="Times New Roman" w:eastAsia="Calibri" w:hAnsi="Times New Roman" w:hint="default"/>
          <w:bCs/>
        </w:rPr>
        <w:t xml:space="preserve">. 4 </w:t>
      </w: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Cs w:val="20"/>
        </w:rPr>
      </w:pPr>
    </w:p>
    <w:tbl>
      <w:tblPr>
        <w:tblStyle w:val="TableNormal"/>
        <w:tblpPr w:leftFromText="141" w:rightFromText="141" w:horzAnchor="margin" w:tblpXSpec="center" w:tblpY="533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</w:tblGrid>
      <w:tr>
        <w:tblPrEx>
          <w:tblW w:w="109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00" w:type="dxa"/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Príjmy (v eurách)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poznámka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0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2018</w:t>
            </w:r>
          </w:p>
        </w:tc>
      </w:tr>
      <w:tr>
        <w:tblPrEx>
          <w:tblW w:w="10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vertAlign w:val="superscript"/>
              </w:rPr>
            </w:pPr>
            <w:r w:rsidRPr="00FC4F09">
              <w:rPr>
                <w:rFonts w:ascii="Times New Roman" w:hAnsi="Times New Roman"/>
                <w:b/>
                <w:bCs/>
              </w:rPr>
              <w:t>Daňové príjmy (100)</w:t>
            </w:r>
            <w:r w:rsidRPr="00FC4F09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0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Nedaňové príjmy (200)</w:t>
            </w:r>
            <w:r w:rsidRPr="00FC4F09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10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Granty a transfery (300)</w:t>
            </w:r>
            <w:r w:rsidRPr="00FC4F09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0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0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0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Dopad na príjmy verejnej správy celkom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</w:tr>
    </w:tbl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 w:hint="default"/>
          <w:bCs/>
          <w:sz w:val="20"/>
          <w:szCs w:val="20"/>
        </w:rPr>
      </w:pPr>
      <w:r w:rsidRPr="00FC4F09">
        <w:rPr>
          <w:rFonts w:ascii="Times New Roman" w:eastAsia="Calibri" w:hAnsi="Times New Roman"/>
          <w:bCs/>
          <w:sz w:val="20"/>
          <w:szCs w:val="20"/>
        </w:rPr>
        <w:tab/>
        <w:tab/>
      </w:r>
      <w:r w:rsidRPr="00FC4F09">
        <w:rPr>
          <w:rFonts w:ascii="Times New Roman" w:eastAsia="Calibri" w:hAnsi="Times New Roman"/>
          <w:bCs/>
          <w:sz w:val="20"/>
          <w:szCs w:val="20"/>
        </w:rPr>
        <w:t xml:space="preserve">1 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>–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 xml:space="preserve">  prí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>jmy rozpí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>sať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 xml:space="preserve"> až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 xml:space="preserve"> do polož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>iek platnej ekonomickej klasifiká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>cie</w:t>
      </w: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  <w:b/>
          <w:bCs/>
        </w:rPr>
        <w:t xml:space="preserve">Poznámka: 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  <w:r w:rsidRPr="00FC4F09">
        <w:rPr>
          <w:rFonts w:ascii="Times New Roman" w:eastAsia="Calibri" w:hAnsi="Times New Roman"/>
          <w:bCs/>
        </w:rPr>
        <w:t xml:space="preserve"> </w:t>
      </w: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/>
          <w:bCs/>
        </w:rPr>
      </w:pP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 w:hint="default"/>
          <w:bCs/>
        </w:rPr>
      </w:pPr>
      <w:r w:rsidRPr="00FC4F09">
        <w:rPr>
          <w:rFonts w:ascii="Times New Roman" w:eastAsia="Calibri" w:hAnsi="Times New Roman" w:hint="default"/>
          <w:bCs/>
        </w:rPr>
        <w:t>Tabuľ</w:t>
      </w:r>
      <w:r w:rsidRPr="00FC4F09">
        <w:rPr>
          <w:rFonts w:ascii="Times New Roman" w:eastAsia="Calibri" w:hAnsi="Times New Roman" w:hint="default"/>
          <w:bCs/>
        </w:rPr>
        <w:t>ka č</w:t>
      </w:r>
      <w:r w:rsidRPr="00FC4F09">
        <w:rPr>
          <w:rFonts w:ascii="Times New Roman" w:eastAsia="Calibri" w:hAnsi="Times New Roman" w:hint="default"/>
          <w:bCs/>
        </w:rPr>
        <w:t xml:space="preserve">. 5 </w:t>
      </w:r>
    </w:p>
    <w:p w:rsidR="00FC4F09" w:rsidRPr="00FC4F09" w:rsidP="00FC4F09">
      <w:pPr>
        <w:tabs>
          <w:tab w:val="left" w:pos="4395"/>
        </w:tabs>
        <w:bidi w:val="0"/>
        <w:ind w:right="-578"/>
        <w:jc w:val="right"/>
        <w:rPr>
          <w:rFonts w:ascii="Times New Roman" w:eastAsia="Calibri" w:hAnsi="Times New Roman" w:hint="default"/>
          <w:bCs/>
        </w:rPr>
      </w:pPr>
    </w:p>
    <w:tbl>
      <w:tblPr>
        <w:tblStyle w:val="TableNormal"/>
        <w:tblpPr w:leftFromText="141" w:rightFromText="141" w:vertAnchor="text" w:horzAnchor="page" w:tblpX="629" w:tblpY="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6210"/>
        <w:gridCol w:w="1540"/>
        <w:gridCol w:w="680"/>
        <w:gridCol w:w="745"/>
        <w:gridCol w:w="594"/>
        <w:gridCol w:w="740"/>
        <w:gridCol w:w="1413"/>
        <w:gridCol w:w="2220"/>
      </w:tblGrid>
      <w:tr>
        <w:tblPrEx>
          <w:tblW w:w="141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4373" w:type="dxa"/>
          <w:cantSplit/>
          <w:trHeight w:val="255"/>
        </w:trPr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5064" w:rsidRPr="00FC4F09" w:rsidP="00FC4F09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A8203C">
              <w:rPr>
                <w:rFonts w:ascii="Times New Roman" w:hAnsi="Times New Roman"/>
                <w:b/>
                <w:bCs/>
              </w:rPr>
              <w:t>248 022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484 044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484 044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5064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C4F09">
              <w:rPr>
                <w:rFonts w:ascii="Times New Roman" w:hAnsi="Times New Roman"/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="00A8203C">
              <w:rPr>
                <w:rFonts w:ascii="Times New Roman" w:hAnsi="Times New Roman"/>
              </w:rPr>
              <w:t>171 648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="00737088">
              <w:rPr>
                <w:rFonts w:ascii="Times New Roman" w:hAnsi="Times New Roman"/>
              </w:rPr>
              <w:t>343 296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="00737088">
              <w:rPr>
                <w:rFonts w:ascii="Times New Roman" w:hAnsi="Times New Roman"/>
              </w:rPr>
              <w:t>343 296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C4F09">
              <w:rPr>
                <w:rFonts w:ascii="Times New Roman" w:hAnsi="Times New Roman"/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="00A8203C">
              <w:rPr>
                <w:rFonts w:ascii="Times New Roman" w:hAnsi="Times New Roman"/>
              </w:rPr>
              <w:t>59 994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="00335064">
              <w:rPr>
                <w:rFonts w:ascii="Times New Roman" w:hAnsi="Times New Roman"/>
              </w:rPr>
              <w:t>119 988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="00335064">
              <w:rPr>
                <w:rFonts w:ascii="Times New Roman" w:hAnsi="Times New Roman"/>
              </w:rPr>
              <w:t>119 988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C4F09">
              <w:rPr>
                <w:rFonts w:ascii="Times New Roman" w:hAnsi="Times New Roman"/>
                <w:sz w:val="20"/>
                <w:szCs w:val="20"/>
              </w:rPr>
              <w:t xml:space="preserve">  Tovary a služby (630)</w:t>
            </w:r>
            <w:r w:rsidRPr="00FC4F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="00A8203C">
              <w:rPr>
                <w:rFonts w:ascii="Times New Roman" w:hAnsi="Times New Roman"/>
              </w:rPr>
              <w:t>6 000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6A3A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Služby (637)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6A3A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6A3A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="00A8203C">
              <w:rPr>
                <w:rFonts w:ascii="Times New Roman" w:hAnsi="Times New Roman"/>
              </w:rPr>
              <w:t>10 380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6A3A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20 760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56A3A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20 760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56A3A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C4F09">
              <w:rPr>
                <w:rFonts w:ascii="Times New Roman" w:hAnsi="Times New Roman"/>
                <w:sz w:val="20"/>
                <w:szCs w:val="20"/>
              </w:rPr>
              <w:t xml:space="preserve">  Bežné transfery (640)</w:t>
            </w:r>
            <w:r w:rsidRPr="00FC4F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C4F09">
              <w:rPr>
                <w:rFonts w:ascii="Times New Roman" w:hAnsi="Times New Roman"/>
                <w:sz w:val="20"/>
                <w:szCs w:val="20"/>
              </w:rPr>
              <w:t xml:space="preserve">  Splácanie úrokov a ostatné platby súvisiace s úvermi, pôžičkami a NFV (650)</w:t>
            </w:r>
            <w:r w:rsidRPr="00FC4F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C4F09">
              <w:rPr>
                <w:rFonts w:ascii="Times New Roman" w:hAnsi="Times New Roman"/>
                <w:sz w:val="20"/>
                <w:szCs w:val="20"/>
              </w:rPr>
              <w:t xml:space="preserve">  Obstarávanie kapitálových aktív (710)</w:t>
            </w:r>
            <w:r w:rsidRPr="00FC4F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FC4F09">
              <w:rPr>
                <w:rFonts w:ascii="Times New Roman" w:hAnsi="Times New Roman"/>
                <w:sz w:val="20"/>
                <w:szCs w:val="20"/>
              </w:rPr>
              <w:t xml:space="preserve">  Kapitálové transfery (720)</w:t>
            </w:r>
            <w:r w:rsidRPr="00FC4F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color w:val="FFFFFF"/>
              </w:rPr>
            </w:pPr>
            <w:r w:rsidRPr="00FC4F09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z toho výdavky na ŠR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5064" w:rsidRPr="00FC4F09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A8203C">
              <w:rPr>
                <w:rFonts w:ascii="Times New Roman" w:hAnsi="Times New Roman"/>
                <w:b/>
                <w:bCs/>
              </w:rPr>
              <w:t>248 022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484 044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484 044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Cs/>
                <w:sz w:val="20"/>
                <w:szCs w:val="20"/>
              </w:rPr>
              <w:t xml:space="preserve">        Bežné výdavky</w:t>
            </w:r>
            <w:r w:rsidRPr="00FC4F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C4F09">
              <w:rPr>
                <w:rFonts w:ascii="Times New Roman" w:hAnsi="Times New Roman"/>
                <w:bCs/>
                <w:sz w:val="20"/>
                <w:szCs w:val="20"/>
              </w:rPr>
              <w:t>(600)</w:t>
            </w:r>
            <w:r w:rsidRPr="00FC4F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5064" w:rsidRPr="00FC4F09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="00A8203C">
              <w:rPr>
                <w:rFonts w:ascii="Times New Roman" w:hAnsi="Times New Roman"/>
              </w:rPr>
              <w:t>171 648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343 296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343 296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7088" w:rsidRPr="00FC4F09" w:rsidP="00737088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</w:t>
            </w:r>
            <w:r w:rsidRPr="00FC4F09">
              <w:rPr>
                <w:rFonts w:ascii="Times New Roman" w:hAnsi="Times New Roman"/>
                <w:sz w:val="20"/>
                <w:szCs w:val="20"/>
              </w:rPr>
              <w:t xml:space="preserve">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7088" w:rsidRPr="00FC4F09" w:rsidP="00737088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7088" w:rsidRPr="00FC4F09" w:rsidP="00737088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 w:rsidR="00A8203C">
              <w:rPr>
                <w:rFonts w:ascii="Times New Roman" w:hAnsi="Times New Roman"/>
              </w:rPr>
              <w:t>171 648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7088" w:rsidRPr="00FC4F09" w:rsidP="00737088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343 296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7088" w:rsidRPr="00FC4F09" w:rsidP="00737088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343 296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37088" w:rsidRPr="00FC4F09" w:rsidP="00737088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Cs/>
                <w:sz w:val="20"/>
                <w:szCs w:val="20"/>
              </w:rPr>
              <w:t xml:space="preserve">        Kapitálové výdavky (700)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F09">
              <w:rPr>
                <w:rFonts w:ascii="Times New Roman" w:hAnsi="Times New Roman"/>
                <w:bCs/>
                <w:sz w:val="20"/>
                <w:szCs w:val="20"/>
              </w:rPr>
              <w:t xml:space="preserve">        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</w:tr>
    </w:tbl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 w:hint="default"/>
          <w:bCs/>
          <w:sz w:val="20"/>
          <w:szCs w:val="20"/>
        </w:rPr>
      </w:pPr>
      <w:r w:rsidRPr="00FC4F09">
        <w:rPr>
          <w:rFonts w:ascii="Times New Roman" w:eastAsia="Calibri" w:hAnsi="Times New Roman"/>
          <w:bCs/>
          <w:sz w:val="20"/>
          <w:szCs w:val="20"/>
        </w:rPr>
        <w:t xml:space="preserve">2 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>–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 xml:space="preserve">  vý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>davky rozpí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>sať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 xml:space="preserve"> až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 xml:space="preserve"> do polož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>iek platnej ekonomickej klasifiká</w:t>
      </w:r>
      <w:r w:rsidRPr="00FC4F09">
        <w:rPr>
          <w:rFonts w:ascii="Times New Roman" w:eastAsia="Calibri" w:hAnsi="Times New Roman" w:hint="default"/>
          <w:bCs/>
          <w:sz w:val="20"/>
          <w:szCs w:val="20"/>
        </w:rPr>
        <w:t>cie</w:t>
      </w: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 w:hint="default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 w:hint="default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 w:hint="default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 w:hint="default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 w:hint="default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 w:hint="default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 w:hint="default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 w:hint="default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 w:hint="default"/>
          <w:bCs/>
          <w:sz w:val="20"/>
          <w:szCs w:val="20"/>
        </w:rPr>
      </w:pPr>
    </w:p>
    <w:p w:rsidR="00FC4F09" w:rsidRPr="00FC4F09" w:rsidP="00FC4F09">
      <w:pPr>
        <w:tabs>
          <w:tab w:val="left" w:pos="4395"/>
        </w:tabs>
        <w:bidi w:val="0"/>
        <w:jc w:val="right"/>
        <w:rPr>
          <w:rFonts w:ascii="Times New Roman" w:eastAsia="Calibri" w:hAnsi="Times New Roman" w:hint="default"/>
          <w:bCs/>
        </w:rPr>
      </w:pPr>
      <w:r w:rsidRPr="00FC4F09">
        <w:rPr>
          <w:rFonts w:ascii="Times New Roman" w:eastAsia="Calibri" w:hAnsi="Times New Roman" w:hint="default"/>
          <w:bCs/>
        </w:rPr>
        <w:t xml:space="preserve">                 Tabuľ</w:t>
      </w:r>
      <w:r w:rsidRPr="00FC4F09">
        <w:rPr>
          <w:rFonts w:ascii="Times New Roman" w:eastAsia="Calibri" w:hAnsi="Times New Roman" w:hint="default"/>
          <w:bCs/>
        </w:rPr>
        <w:t>ka č</w:t>
      </w:r>
      <w:r w:rsidRPr="00FC4F09">
        <w:rPr>
          <w:rFonts w:ascii="Times New Roman" w:eastAsia="Calibri" w:hAnsi="Times New Roman" w:hint="default"/>
          <w:bCs/>
        </w:rPr>
        <w:t xml:space="preserve">. 6 </w:t>
      </w:r>
    </w:p>
    <w:p w:rsidR="00FC4F09" w:rsidRPr="00FC4F09" w:rsidP="00FC4F09">
      <w:pPr>
        <w:tabs>
          <w:tab w:val="left" w:pos="4395"/>
        </w:tabs>
        <w:bidi w:val="0"/>
        <w:jc w:val="both"/>
        <w:rPr>
          <w:rFonts w:ascii="Times New Roman" w:eastAsia="Calibri" w:hAnsi="Times New Roman"/>
          <w:bCs/>
          <w:szCs w:val="20"/>
        </w:rPr>
      </w:pPr>
    </w:p>
    <w:tbl>
      <w:tblPr>
        <w:tblStyle w:val="TableNormal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6188"/>
        <w:gridCol w:w="1620"/>
        <w:gridCol w:w="168"/>
        <w:gridCol w:w="1554"/>
        <w:gridCol w:w="1597"/>
        <w:gridCol w:w="1395"/>
        <w:gridCol w:w="1620"/>
      </w:tblGrid>
      <w:tr>
        <w:tblPrEx>
          <w:tblW w:w="141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4612" w:type="dxa"/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Zamestnanosť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poznámka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A8203C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A8203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747D4C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747D4C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color w:val="FF0000"/>
              </w:rPr>
            </w:pPr>
            <w:r w:rsidRPr="00FC4F09">
              <w:rPr>
                <w:rFonts w:ascii="Times New Roman" w:hAnsi="Times New Roman"/>
                <w:color w:val="FF0000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A8203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747D4C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747D4C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6EAB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Priemerný mzdový výdavok (v eurách)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6EAB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6EAB" w:rsidRPr="00FC4F09" w:rsidP="00FE6EAB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1 192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6EAB" w:rsidRPr="00FC4F09" w:rsidP="00FE6EAB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1 192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6EAB" w:rsidRPr="00FC4F09" w:rsidP="00FE6EAB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1 192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6EAB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color w:val="FF0000"/>
              </w:rPr>
            </w:pPr>
            <w:r w:rsidRPr="00FC4F09">
              <w:rPr>
                <w:rFonts w:ascii="Times New Roman" w:hAnsi="Times New Roman"/>
                <w:color w:val="FF0000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6EAB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6EAB" w:rsidRPr="00FC4F09" w:rsidP="00FC4F09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6EAB" w:rsidRPr="00FC4F09" w:rsidP="00FE6EAB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1 192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6EAB" w:rsidRPr="00FC4F09" w:rsidP="00FE6EAB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1 192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6EAB" w:rsidRPr="00FC4F09" w:rsidP="00FE6EAB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1 192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E6EAB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color w:val="FF0000"/>
              </w:rPr>
            </w:pPr>
            <w:r w:rsidRPr="00FC4F09">
              <w:rPr>
                <w:rFonts w:ascii="Times New Roman" w:hAnsi="Times New Roman"/>
                <w:color w:val="FF0000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Osobné výdavky celkom (v eurách)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color w:val="FF0000"/>
              </w:rPr>
            </w:pPr>
            <w:r w:rsidRPr="00FC4F09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="00A8203C">
              <w:rPr>
                <w:rFonts w:ascii="Times New Roman" w:hAnsi="Times New Roman"/>
                <w:b/>
              </w:rPr>
              <w:t>171 648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335064">
              <w:rPr>
                <w:rFonts w:ascii="Times New Roman" w:hAnsi="Times New Roman"/>
                <w:b/>
              </w:rPr>
              <w:t>343 296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335064">
              <w:rPr>
                <w:rFonts w:ascii="Times New Roman" w:hAnsi="Times New Roman"/>
                <w:b/>
              </w:rPr>
              <w:t>343 296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color w:val="FF0000"/>
              </w:rPr>
            </w:pPr>
            <w:r w:rsidRPr="00FC4F09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="00A8203C">
              <w:rPr>
                <w:rFonts w:ascii="Times New Roman" w:hAnsi="Times New Roman"/>
                <w:b/>
              </w:rPr>
              <w:t>171 648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335064">
              <w:rPr>
                <w:rFonts w:ascii="Times New Roman" w:hAnsi="Times New Roman"/>
                <w:b/>
              </w:rPr>
              <w:t>343 296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335064">
              <w:rPr>
                <w:rFonts w:ascii="Times New Roman" w:hAnsi="Times New Roman"/>
                <w:b/>
              </w:rPr>
              <w:t>343 296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  <w:color w:val="FF0000"/>
              </w:rPr>
            </w:pPr>
            <w:r w:rsidRPr="00FC4F09">
              <w:rPr>
                <w:rFonts w:ascii="Times New Roman" w:hAnsi="Times New Roman"/>
                <w:color w:val="FF0000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FC4F09"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="00A8203C">
              <w:rPr>
                <w:rFonts w:ascii="Times New Roman" w:hAnsi="Times New Roman"/>
                <w:b/>
              </w:rPr>
              <w:t>59 994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335064">
              <w:rPr>
                <w:rFonts w:ascii="Times New Roman" w:hAnsi="Times New Roman"/>
                <w:b/>
              </w:rPr>
              <w:t>119 988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335064">
              <w:rPr>
                <w:rFonts w:ascii="Times New Roman" w:hAnsi="Times New Roman"/>
                <w:b/>
              </w:rPr>
              <w:t>119 988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  <w:b/>
                <w:bCs/>
                <w:color w:val="FF0000"/>
              </w:rPr>
            </w:pPr>
            <w:r w:rsidRPr="00FC4F09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FC4F09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="00A8203C">
              <w:rPr>
                <w:rFonts w:ascii="Times New Roman" w:hAnsi="Times New Roman"/>
                <w:b/>
              </w:rPr>
              <w:t>59 994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335064">
              <w:rPr>
                <w:rFonts w:ascii="Times New Roman" w:hAnsi="Times New Roman"/>
                <w:b/>
              </w:rPr>
              <w:t>119 988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5064" w:rsidRPr="00335064" w:rsidP="00335064">
            <w:pPr>
              <w:tabs>
                <w:tab w:val="left" w:pos="4395"/>
              </w:tabs>
              <w:bidi w:val="0"/>
              <w:jc w:val="right"/>
              <w:rPr>
                <w:rFonts w:ascii="Times New Roman" w:hAnsi="Times New Roman"/>
                <w:b/>
              </w:rPr>
            </w:pPr>
            <w:r w:rsidRPr="00335064">
              <w:rPr>
                <w:rFonts w:ascii="Times New Roman" w:hAnsi="Times New Roman"/>
                <w:b/>
              </w:rPr>
              <w:t>119 988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5064" w:rsidRPr="00FC4F09" w:rsidP="00335064">
            <w:pPr>
              <w:tabs>
                <w:tab w:val="left" w:pos="4395"/>
              </w:tabs>
              <w:bidi w:val="0"/>
              <w:rPr>
                <w:rFonts w:ascii="Times New Roman" w:hAnsi="Times New Roman"/>
                <w:color w:val="FF0000"/>
              </w:rPr>
            </w:pPr>
            <w:r w:rsidRPr="00FC4F09">
              <w:rPr>
                <w:rFonts w:ascii="Times New Roman" w:hAnsi="Times New Roman"/>
                <w:color w:val="FF0000"/>
              </w:rPr>
              <w:t> </w:t>
            </w:r>
          </w:p>
        </w:tc>
      </w:tr>
      <w:tr>
        <w:tblPrEx>
          <w:tblW w:w="14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C4F09" w:rsidRPr="00FC4F09" w:rsidP="00FC4F09">
            <w:pPr>
              <w:tabs>
                <w:tab w:val="left" w:pos="4395"/>
              </w:tabs>
              <w:bidi w:val="0"/>
              <w:rPr>
                <w:rFonts w:ascii="Times New Roman" w:hAnsi="Times New Roman"/>
              </w:rPr>
            </w:pPr>
          </w:p>
        </w:tc>
      </w:tr>
    </w:tbl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  <w:r w:rsidRPr="00FC4F09">
        <w:rPr>
          <w:rFonts w:ascii="Times New Roman" w:hAnsi="Times New Roman"/>
          <w:b/>
          <w:bCs/>
        </w:rPr>
        <w:t>Poznámky:</w:t>
      </w: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tabs>
          <w:tab w:val="left" w:pos="4395"/>
        </w:tabs>
        <w:bidi w:val="0"/>
        <w:rPr>
          <w:rFonts w:ascii="Times New Roman" w:hAnsi="Times New Roman"/>
          <w:b/>
          <w:bCs/>
        </w:rPr>
      </w:pPr>
      <w:r w:rsidRPr="00FC4F09">
        <w:rPr>
          <w:rFonts w:ascii="Times New Roman" w:hAnsi="Times New Roman"/>
          <w:b/>
          <w:bCs/>
        </w:rPr>
        <w:t>* počet zamestnancov, mzdy a poistné rozpísať podľa spôsobu odmeňovania (napr. policajti, colníci ...)</w:t>
      </w: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  <w:sectPr w:rsidSect="0023301E">
          <w:headerReference w:type="default" r:id="rId8"/>
          <w:pgSz w:w="16838" w:h="11906" w:orient="landscape"/>
          <w:pgMar w:top="1417" w:right="1079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FC4F09" w:rsidRPr="00FC4F09" w:rsidP="00FC4F0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4F09" w:rsidRPr="00FC4F09" w:rsidP="00FC4F0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F09"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F09">
              <w:rPr>
                <w:rFonts w:ascii="Times New Roman" w:hAnsi="Times New Roman"/>
                <w:b/>
                <w:bCs/>
                <w:sz w:val="28"/>
                <w:szCs w:val="28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3.1</w:t>
            </w:r>
            <w:r w:rsidRPr="00FC4F09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C4F09" w:rsidRPr="00FC4F09" w:rsidP="008C7DF6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Predkladaný návrh zákona bude mať vplyv na </w:t>
            </w:r>
            <w:r w:rsidR="008C7DF6">
              <w:rPr>
                <w:rFonts w:ascii="Times New Roman" w:hAnsi="Times New Roman"/>
              </w:rPr>
              <w:t>približne 75 tisíc predávajúcich v SR (SK NACE 47 a 45.1)</w:t>
            </w:r>
            <w:r w:rsidRPr="00FC4F09">
              <w:rPr>
                <w:rFonts w:ascii="Times New Roman" w:hAnsi="Times New Roman"/>
              </w:rPr>
              <w:t xml:space="preserve">. 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3.2</w:t>
            </w:r>
            <w:r w:rsidRPr="00FC4F09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C4F09" w:rsidRPr="00EB1FAF" w:rsidP="008C7DF6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V dôsledku prijatia navrhovanej legislatívy možno očakávať zvýšenie niektorých nákladov dotknutých podnikateľských subjektov, nakoľko dochádza k rozšíreniu informačných povinností predávajúcich a k stanoveniu povinnej súčinnosti predávajúcich so subjektmi ARS. </w:t>
            </w:r>
            <w:r w:rsidR="008C7DF6">
              <w:rPr>
                <w:rFonts w:ascii="Times New Roman" w:hAnsi="Times New Roman"/>
              </w:rPr>
              <w:t xml:space="preserve">Pôjde o jednorazové náklady súvisiace s oboznámením sa s týmito povinnosťami, úpravou webového portálu, zmlúv a obchodných dokladov. Podľa posudzovania vplyvov Európskou komisiou budú náklady na jeden podnik predstavovať v priemere 254 EUR. </w:t>
            </w:r>
            <w:r w:rsidRPr="00FC4F09">
              <w:rPr>
                <w:rFonts w:ascii="Times New Roman" w:hAnsi="Times New Roman"/>
              </w:rPr>
              <w:t xml:space="preserve">Na druhej strane sa však </w:t>
            </w:r>
            <w:r w:rsidR="00BD5B3E">
              <w:rPr>
                <w:rFonts w:ascii="Times New Roman" w:hAnsi="Times New Roman"/>
              </w:rPr>
              <w:t>očakávajú</w:t>
            </w:r>
            <w:r w:rsidRPr="00FC4F09">
              <w:rPr>
                <w:rFonts w:ascii="Times New Roman" w:hAnsi="Times New Roman"/>
              </w:rPr>
              <w:t xml:space="preserve"> aj významné prínosy pre podnikateľské subjekty, nakoľko </w:t>
            </w:r>
            <w:r w:rsidR="00BD5B3E">
              <w:rPr>
                <w:rFonts w:ascii="Times New Roman" w:hAnsi="Times New Roman"/>
              </w:rPr>
              <w:t>sa predpokladá úspora</w:t>
            </w:r>
            <w:r w:rsidRPr="00FC4F09">
              <w:rPr>
                <w:rFonts w:ascii="Times New Roman" w:hAnsi="Times New Roman"/>
              </w:rPr>
              <w:t xml:space="preserve"> náklad</w:t>
            </w:r>
            <w:r w:rsidR="00BD5B3E">
              <w:rPr>
                <w:rFonts w:ascii="Times New Roman" w:hAnsi="Times New Roman"/>
              </w:rPr>
              <w:t>ov</w:t>
            </w:r>
            <w:r w:rsidRPr="00FC4F09">
              <w:rPr>
                <w:rFonts w:ascii="Times New Roman" w:hAnsi="Times New Roman"/>
              </w:rPr>
              <w:t xml:space="preserve">, ktoré by bez existencie systému alternatívneho riešenia sporov museli </w:t>
            </w:r>
            <w:r w:rsidR="00BD5B3E">
              <w:rPr>
                <w:rFonts w:ascii="Times New Roman" w:hAnsi="Times New Roman"/>
              </w:rPr>
              <w:t xml:space="preserve">tieto subjekty </w:t>
            </w:r>
            <w:r w:rsidRPr="00FC4F09">
              <w:rPr>
                <w:rFonts w:ascii="Times New Roman" w:hAnsi="Times New Roman"/>
              </w:rPr>
              <w:t>vynaložiť na súdne spory</w:t>
            </w:r>
            <w:r w:rsidR="00BD5B3E">
              <w:rPr>
                <w:rFonts w:ascii="Times New Roman" w:hAnsi="Times New Roman"/>
              </w:rPr>
              <w:t>.</w:t>
            </w:r>
            <w:r w:rsidRPr="00FC4F09">
              <w:rPr>
                <w:rFonts w:ascii="Times New Roman" w:hAnsi="Times New Roman"/>
              </w:rPr>
              <w:t xml:space="preserve"> </w:t>
            </w:r>
            <w:r w:rsidR="00BD5B3E">
              <w:rPr>
                <w:rFonts w:ascii="Times New Roman" w:hAnsi="Times New Roman"/>
              </w:rPr>
              <w:t>S</w:t>
            </w:r>
            <w:r w:rsidRPr="00FC4F09">
              <w:rPr>
                <w:rFonts w:ascii="Times New Roman" w:hAnsi="Times New Roman"/>
              </w:rPr>
              <w:t xml:space="preserve">ystém alternatívneho riešenia sporov </w:t>
            </w:r>
            <w:r w:rsidR="00BD5B3E">
              <w:rPr>
                <w:rFonts w:ascii="Times New Roman" w:hAnsi="Times New Roman"/>
              </w:rPr>
              <w:t>by mal zároveň prispieť</w:t>
            </w:r>
            <w:r w:rsidRPr="00FC4F09">
              <w:rPr>
                <w:rFonts w:ascii="Times New Roman" w:hAnsi="Times New Roman"/>
              </w:rPr>
              <w:t xml:space="preserve"> k zachovaniu dobrého mena podnikateľských subjektov a udržaniu dôvery spotrebiteľov.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3.3</w:t>
            </w:r>
            <w:r w:rsidRPr="00FC4F09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Nepredpokladá sa výrazné zvýšenie nákladov dotknutých subjektov.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3.4</w:t>
            </w:r>
            <w:r w:rsidRPr="00FC4F09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Nepredpokladajú sa výraznejšie dôsledky pre fungovanie podnikateľských subjektov na slovenskom trhu.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3.5</w:t>
            </w:r>
            <w:r w:rsidRPr="00FC4F09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Nepredpokladajú sa výraznejšie spoločensko – ekonomické dôsledky. </w:t>
            </w:r>
          </w:p>
        </w:tc>
      </w:tr>
    </w:tbl>
    <w:p w:rsidR="00FC4F09" w:rsidRPr="00FC4F09" w:rsidP="00FC4F0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F09">
        <w:rPr>
          <w:rFonts w:ascii="Times New Roman" w:hAnsi="Times New Roman"/>
          <w:b/>
          <w:bCs/>
          <w:sz w:val="28"/>
          <w:szCs w:val="28"/>
        </w:rPr>
        <w:t>Sociálne vplyvy – vplyvy na hospodárenie obyvateľstva, sociálnu exklúziu, rovnosť príležitostí a rodovú rovnosť a na zamestnanosť</w:t>
      </w: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C4F09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4.1.</w:t>
            </w:r>
            <w:r w:rsidRPr="00FC4F09"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 Nepredpokladá sa vplyv na hospodárenie domácností.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4.2.</w:t>
            </w:r>
            <w:r w:rsidRPr="00FC4F09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Zavedením systému alternatívneho riešenia spotrebiteľských sporov v návrhu zákona dochádza predovšetkým k prehĺbeniu a rozšíreniu ochrany spotrebiteľa. V zmysle uvedeného sa predpokladá zlepšenie prístupu k právam spotrebiteľa a k zlepšeniu vymožiteľnosti práv spotrebiteľa.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4.3.</w:t>
            </w:r>
            <w:r w:rsidRPr="00FC4F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FC4F09">
              <w:rPr>
                <w:rFonts w:ascii="Times New Roman" w:hAnsi="Times New Roman"/>
              </w:rPr>
              <w:t>Zhodnoťte vplyv na rovnosť príležitostí: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Zhodnoťte vplyv na rodovú rovnosť.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 Nepredpokladá sa vplyv na rodovú rovnosť.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 xml:space="preserve">4.4. </w:t>
            </w:r>
            <w:r w:rsidRPr="00FC4F09">
              <w:rPr>
                <w:rFonts w:ascii="Times New Roman" w:hAnsi="Times New Roman"/>
              </w:rPr>
              <w:t>Zhodnoťte vplyvy na zamestnanosť.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FC4F09">
              <w:rPr>
                <w:rFonts w:ascii="Times New Roman" w:hAnsi="Times New Roman"/>
                <w:bCs/>
              </w:rPr>
              <w:t>Aké sú  vplyvy na zamestnanosť 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FC4F09"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 xml:space="preserve"> Nepredpokladá sa vplyv na zamestnanosť. 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P="00FC4F09">
      <w:pPr>
        <w:bidi w:val="0"/>
        <w:rPr>
          <w:rFonts w:ascii="Times New Roman" w:hAnsi="Times New Roman"/>
          <w:b/>
          <w:bCs/>
        </w:rPr>
      </w:pPr>
    </w:p>
    <w:p w:rsidR="00FB01AD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F09">
        <w:rPr>
          <w:rFonts w:ascii="Times New Roman" w:hAnsi="Times New Roman"/>
          <w:b/>
          <w:bCs/>
          <w:sz w:val="28"/>
          <w:szCs w:val="28"/>
        </w:rPr>
        <w:t>Vplyvy na informatizáciu spoločnosti</w:t>
      </w: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p w:rsidR="00FC4F09" w:rsidRPr="00FC4F09" w:rsidP="00FC4F09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C4F09">
              <w:rPr>
                <w:rFonts w:ascii="Times New Roman" w:hAnsi="Times New Roman"/>
                <w:b/>
                <w:sz w:val="22"/>
                <w:szCs w:val="22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6.1.</w:t>
            </w:r>
            <w:r w:rsidRPr="00FC4F09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747D4C">
            <w:pPr>
              <w:bidi w:val="0"/>
              <w:rPr>
                <w:rFonts w:ascii="Times New Roman" w:hAnsi="Times New Roman"/>
                <w:iCs/>
              </w:rPr>
            </w:pPr>
            <w:r w:rsidRPr="00747D4C" w:rsidR="00747D4C">
              <w:rPr>
                <w:rFonts w:ascii="Times New Roman" w:hAnsi="Times New Roman"/>
                <w:iCs/>
              </w:rPr>
              <w:t>Áno, zverejňovaním informácií, výročných správ, formulárov, odkazov, stanovísk atď. na webovom sídle subjektov alternatívneho riešenia sporov sa zavádzajú nové elektronické služby do úrovne III (obojsmerná interakcia). Zverejňovaním subjektov alternatívneho riešenia sporov a formulárov na webovom sídle ministerstva sa zavádzajú nové elektronické služby do úro</w:t>
            </w:r>
            <w:r w:rsidR="00747D4C">
              <w:rPr>
                <w:rFonts w:ascii="Times New Roman" w:hAnsi="Times New Roman"/>
                <w:iCs/>
              </w:rPr>
              <w:t>vne III (obojsmerná interakcia)</w:t>
            </w:r>
            <w:r w:rsidRPr="00FC4F09">
              <w:rPr>
                <w:rFonts w:ascii="Times New Roman" w:hAnsi="Times New Roman"/>
                <w:iCs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6.2.</w:t>
            </w:r>
            <w:r w:rsidRPr="00FC4F09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="00347C36">
              <w:rPr>
                <w:rFonts w:ascii="Times New Roman" w:hAnsi="Times New Roman"/>
                <w:iCs/>
              </w:rPr>
              <w:t>Nie</w:t>
            </w:r>
            <w:r w:rsidRPr="00FC4F09">
              <w:rPr>
                <w:rFonts w:ascii="Times New Roman" w:hAnsi="Times New Roman"/>
                <w:iCs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FC4F09">
              <w:rPr>
                <w:rFonts w:ascii="Times New Roman" w:hAnsi="Times New Roman"/>
                <w:b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6.3.</w:t>
            </w:r>
            <w:r w:rsidRPr="00FC4F09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C4F09" w:rsidRPr="00FC4F09" w:rsidP="00FC4F09">
            <w:pPr>
              <w:bidi w:val="0"/>
              <w:rPr>
                <w:rFonts w:ascii="Times New Roman" w:hAnsi="Times New Roman"/>
                <w:i/>
                <w:iCs/>
              </w:rPr>
            </w:pPr>
            <w:r w:rsidR="00347C36">
              <w:rPr>
                <w:rFonts w:ascii="Times New Roman" w:hAnsi="Times New Roman"/>
                <w:iCs/>
              </w:rPr>
              <w:t>Nie</w:t>
            </w:r>
            <w:r w:rsidRPr="00FC4F09">
              <w:rPr>
                <w:rFonts w:ascii="Times New Roman" w:hAnsi="Times New Roman"/>
                <w:iCs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6.4.</w:t>
            </w:r>
            <w:r w:rsidRPr="00FC4F09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color w:val="FFFFFF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i/>
                <w:iCs/>
              </w:rPr>
            </w:pPr>
            <w:r w:rsidR="00347C36">
              <w:rPr>
                <w:rFonts w:ascii="Times New Roman" w:hAnsi="Times New Roman"/>
                <w:iCs/>
              </w:rPr>
              <w:t>Nie</w:t>
            </w:r>
            <w:r w:rsidRPr="00FC4F09">
              <w:rPr>
                <w:rFonts w:ascii="Times New Roman" w:hAnsi="Times New Roman"/>
                <w:iCs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6.5.</w:t>
            </w:r>
            <w:r w:rsidRPr="00FC4F09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color w:val="FFFFFF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="00347C36">
              <w:rPr>
                <w:rFonts w:ascii="Times New Roman" w:hAnsi="Times New Roman"/>
                <w:iCs/>
              </w:rPr>
              <w:t>Nie</w:t>
            </w:r>
            <w:r w:rsidRPr="00FC4F09">
              <w:rPr>
                <w:rFonts w:ascii="Times New Roman" w:hAnsi="Times New Roman"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6.6.</w:t>
            </w:r>
            <w:r w:rsidRPr="00FC4F09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="00347C36">
              <w:rPr>
                <w:rFonts w:ascii="Times New Roman" w:hAnsi="Times New Roman"/>
                <w:iCs/>
              </w:rPr>
              <w:t>Nie</w:t>
            </w:r>
            <w:r w:rsidRPr="00FC4F09">
              <w:rPr>
                <w:rFonts w:ascii="Times New Roman" w:hAnsi="Times New Roman"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6.7.</w:t>
            </w:r>
            <w:r w:rsidRPr="00FC4F09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747D4C">
            <w:pPr>
              <w:bidi w:val="0"/>
              <w:jc w:val="both"/>
              <w:rPr>
                <w:rFonts w:ascii="Times New Roman" w:hAnsi="Times New Roman"/>
                <w:i/>
                <w:iCs/>
              </w:rPr>
            </w:pPr>
            <w:r w:rsidRPr="00747D4C" w:rsidR="00747D4C">
              <w:rPr>
                <w:rFonts w:ascii="Times New Roman" w:hAnsi="Times New Roman"/>
                <w:iCs/>
              </w:rPr>
              <w:t xml:space="preserve">Áno, zavádzajú sa nové informačné systémy, ktoré budú slúžiť na evidenciu riešených sporov a odmietnutých návrhov a evidenciu subjektov alternatívneho riešenia </w:t>
            </w:r>
            <w:r w:rsidR="00747D4C">
              <w:rPr>
                <w:rFonts w:ascii="Times New Roman" w:hAnsi="Times New Roman"/>
                <w:iCs/>
              </w:rPr>
              <w:t>sporov</w:t>
            </w:r>
            <w:r w:rsidRPr="00FC4F09">
              <w:rPr>
                <w:rFonts w:ascii="Times New Roman" w:hAnsi="Times New Roman"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6.8.</w:t>
            </w:r>
            <w:r w:rsidRPr="00FC4F09">
              <w:rPr>
                <w:rFonts w:ascii="Times New Roman" w:hAnsi="Times New Roman"/>
              </w:rPr>
              <w:t xml:space="preserve"> Rozširuje sa prístupnosť k internetu?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i/>
                <w:iCs/>
              </w:rPr>
            </w:pPr>
            <w:r w:rsidR="00347C36">
              <w:rPr>
                <w:rFonts w:ascii="Times New Roman" w:hAnsi="Times New Roman"/>
                <w:iCs/>
              </w:rPr>
              <w:t>Nie</w:t>
            </w:r>
            <w:r w:rsidRPr="00FC4F09">
              <w:rPr>
                <w:rFonts w:ascii="Times New Roman" w:hAnsi="Times New Roman"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6.9.</w:t>
            </w:r>
            <w:r w:rsidRPr="00FC4F09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i/>
                <w:iCs/>
              </w:rPr>
            </w:pPr>
            <w:r w:rsidRPr="00FC4F09">
              <w:rPr>
                <w:rFonts w:ascii="Times New Roman" w:hAnsi="Times New Roman"/>
                <w:iCs/>
              </w:rPr>
              <w:t xml:space="preserve">Predkladaným návrhom zákona sa </w:t>
            </w:r>
            <w:r w:rsidRPr="00FC4F09">
              <w:rPr>
                <w:rFonts w:ascii="Times New Roman" w:hAnsi="Times New Roman"/>
              </w:rPr>
              <w:t>rozširuje prístupnosť k elektronickým službám, nakoľko návrh na začatie alternatívneho riešenia sporu môže spotrebiteľ podať elektronickými prostriedkami bez potreby jeho dodatočného doloženia v listinnej podobe.  Taktiež subjekty alternatívneho riešenia sporov budú využívať pri komunikácii s predávajúcimi a spotrebiteľmi najmä elektronické prostriedky.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6.10.</w:t>
            </w:r>
            <w:r w:rsidRPr="00FC4F09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i/>
                <w:iCs/>
              </w:rPr>
            </w:pPr>
            <w:r w:rsidR="00347C36">
              <w:rPr>
                <w:rFonts w:ascii="Times New Roman" w:hAnsi="Times New Roman"/>
                <w:iCs/>
              </w:rPr>
              <w:t>Nie</w:t>
            </w:r>
            <w:r w:rsidRPr="00FC4F09">
              <w:rPr>
                <w:rFonts w:ascii="Times New Roman" w:hAnsi="Times New Roman"/>
                <w:iCs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6.11.</w:t>
            </w:r>
            <w:r w:rsidRPr="00FC4F09">
              <w:rPr>
                <w:rFonts w:ascii="Times New Roman" w:hAnsi="Times New Roman"/>
              </w:rPr>
              <w:t xml:space="preserve"> Zvyšuje sa bezpečnosť IT?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(</w:t>
            </w:r>
            <w:r w:rsidRPr="00FC4F09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i/>
                <w:iCs/>
              </w:rPr>
            </w:pPr>
            <w:r w:rsidR="00347C36">
              <w:rPr>
                <w:rFonts w:ascii="Times New Roman" w:hAnsi="Times New Roman"/>
                <w:iCs/>
              </w:rPr>
              <w:t>Nie</w:t>
            </w:r>
            <w:r w:rsidRPr="00FC4F09">
              <w:rPr>
                <w:rFonts w:ascii="Times New Roman" w:hAnsi="Times New Roman"/>
                <w:iCs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6.12.</w:t>
            </w:r>
            <w:r w:rsidRPr="00FC4F09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</w:rPr>
              <w:t>(</w:t>
            </w:r>
            <w:r w:rsidRPr="00FC4F09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i/>
                <w:iCs/>
              </w:rPr>
            </w:pPr>
            <w:r w:rsidR="00347C36">
              <w:rPr>
                <w:rFonts w:ascii="Times New Roman" w:hAnsi="Times New Roman"/>
                <w:iCs/>
              </w:rPr>
              <w:t>Nie</w:t>
            </w:r>
            <w:r w:rsidRPr="00FC4F09">
              <w:rPr>
                <w:rFonts w:ascii="Times New Roman" w:hAnsi="Times New Roman"/>
                <w:iCs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6.13.</w:t>
            </w:r>
            <w:r w:rsidRPr="00FC4F09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i/>
                <w:iCs/>
              </w:rPr>
            </w:pPr>
            <w:r w:rsidR="00347C36">
              <w:rPr>
                <w:rFonts w:ascii="Times New Roman" w:hAnsi="Times New Roman"/>
                <w:iCs/>
              </w:rPr>
              <w:t>Nie</w:t>
            </w:r>
            <w:r w:rsidRPr="00FC4F09">
              <w:rPr>
                <w:rFonts w:ascii="Times New Roman" w:hAnsi="Times New Roman"/>
                <w:iCs/>
              </w:rPr>
              <w:t xml:space="preserve">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6.14.</w:t>
            </w:r>
            <w:r w:rsidRPr="00FC4F09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i/>
                <w:iCs/>
              </w:rPr>
            </w:pPr>
            <w:r w:rsidRPr="00FC4F09">
              <w:rPr>
                <w:rFonts w:ascii="Times New Roman" w:hAnsi="Times New Roman"/>
                <w:iCs/>
              </w:rPr>
              <w:t>Proces informatizácie si nebude vyžadovať žiadne finančné investície zo strany štátu</w:t>
            </w:r>
            <w:r w:rsidR="00347C36">
              <w:rPr>
                <w:rFonts w:ascii="Times New Roman" w:hAnsi="Times New Roman"/>
                <w:iCs/>
              </w:rPr>
              <w:t>, nakoľko by financovanie malo byť zabezpečené z rozpočtov príslušných subjektov</w:t>
            </w:r>
            <w:r w:rsidRPr="00FC4F09">
              <w:rPr>
                <w:rFonts w:ascii="Times New Roman" w:hAnsi="Times New Roman"/>
                <w:iCs/>
              </w:rPr>
              <w:t xml:space="preserve">. 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FC4F09">
              <w:rPr>
                <w:rFonts w:ascii="Times New Roman" w:hAnsi="Times New Roman"/>
                <w:b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b/>
              </w:rPr>
              <w:t>6.15.</w:t>
            </w:r>
            <w:r w:rsidRPr="00FC4F09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FC4F09" w:rsidRPr="00FC4F09" w:rsidP="00FC4F09">
            <w:pPr>
              <w:bidi w:val="0"/>
              <w:rPr>
                <w:rFonts w:ascii="Times New Roman" w:hAnsi="Times New Roman"/>
              </w:rPr>
            </w:pPr>
            <w:r w:rsidRPr="00FC4F09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4F09" w:rsidRPr="00FC4F09" w:rsidP="00FC4F09">
            <w:pPr>
              <w:bidi w:val="0"/>
              <w:rPr>
                <w:rFonts w:ascii="Times New Roman" w:hAnsi="Times New Roman"/>
                <w:iCs/>
              </w:rPr>
            </w:pPr>
            <w:r w:rsidR="00347C36">
              <w:rPr>
                <w:rFonts w:ascii="Times New Roman" w:hAnsi="Times New Roman"/>
                <w:iCs/>
              </w:rPr>
              <w:t>Nie</w:t>
            </w:r>
            <w:r w:rsidRPr="00FC4F09">
              <w:rPr>
                <w:rFonts w:ascii="Times New Roman" w:hAnsi="Times New Roman"/>
                <w:iCs/>
              </w:rPr>
              <w:t xml:space="preserve">. </w:t>
            </w:r>
          </w:p>
        </w:tc>
      </w:tr>
    </w:tbl>
    <w:p w:rsidR="00461A9D" w:rsidRPr="00FC4F09" w:rsidP="00FC4F09">
      <w:pPr>
        <w:bidi w:val="0"/>
        <w:rPr>
          <w:rFonts w:ascii="Times New Roman" w:hAnsi="Times New Roman"/>
        </w:rPr>
      </w:pPr>
    </w:p>
    <w:sectPr>
      <w:headerReference w:type="defaul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C4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C4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6E8D"/>
    <w:multiLevelType w:val="hybridMultilevel"/>
    <w:tmpl w:val="DBE80D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156A"/>
    <w:multiLevelType w:val="hybridMultilevel"/>
    <w:tmpl w:val="8CCCDC2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9CC61A3"/>
    <w:multiLevelType w:val="hybridMultilevel"/>
    <w:tmpl w:val="C778E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56961"/>
    <w:multiLevelType w:val="hybridMultilevel"/>
    <w:tmpl w:val="33F6AA9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B77D4"/>
    <w:multiLevelType w:val="multilevel"/>
    <w:tmpl w:val="3046757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461A9D"/>
    <w:rsid w:val="0000073D"/>
    <w:rsid w:val="00007D08"/>
    <w:rsid w:val="000110A6"/>
    <w:rsid w:val="00052198"/>
    <w:rsid w:val="000571D9"/>
    <w:rsid w:val="00072702"/>
    <w:rsid w:val="00083011"/>
    <w:rsid w:val="000B38A7"/>
    <w:rsid w:val="001006A4"/>
    <w:rsid w:val="00101475"/>
    <w:rsid w:val="00172FB3"/>
    <w:rsid w:val="00175B4F"/>
    <w:rsid w:val="00185280"/>
    <w:rsid w:val="001D62FE"/>
    <w:rsid w:val="001E5259"/>
    <w:rsid w:val="001F31AE"/>
    <w:rsid w:val="001F58AC"/>
    <w:rsid w:val="002033EC"/>
    <w:rsid w:val="0023301E"/>
    <w:rsid w:val="00236F63"/>
    <w:rsid w:val="00270917"/>
    <w:rsid w:val="002A2AFA"/>
    <w:rsid w:val="002A2FDA"/>
    <w:rsid w:val="002B73C4"/>
    <w:rsid w:val="002C3208"/>
    <w:rsid w:val="002D0A67"/>
    <w:rsid w:val="003117F8"/>
    <w:rsid w:val="00334727"/>
    <w:rsid w:val="00335064"/>
    <w:rsid w:val="00347C36"/>
    <w:rsid w:val="003815AE"/>
    <w:rsid w:val="003C36E2"/>
    <w:rsid w:val="003E15B5"/>
    <w:rsid w:val="003E3E70"/>
    <w:rsid w:val="0045550C"/>
    <w:rsid w:val="00461A9D"/>
    <w:rsid w:val="00476090"/>
    <w:rsid w:val="004B2BF3"/>
    <w:rsid w:val="004C4D65"/>
    <w:rsid w:val="004F0E34"/>
    <w:rsid w:val="0056378D"/>
    <w:rsid w:val="005742B7"/>
    <w:rsid w:val="005A1029"/>
    <w:rsid w:val="005A6D71"/>
    <w:rsid w:val="005B3582"/>
    <w:rsid w:val="005E7B75"/>
    <w:rsid w:val="00631D63"/>
    <w:rsid w:val="00643AB9"/>
    <w:rsid w:val="0064589D"/>
    <w:rsid w:val="0068224B"/>
    <w:rsid w:val="00690107"/>
    <w:rsid w:val="00691D5E"/>
    <w:rsid w:val="006A2D82"/>
    <w:rsid w:val="006B2E44"/>
    <w:rsid w:val="006C3F17"/>
    <w:rsid w:val="0071666A"/>
    <w:rsid w:val="00736B61"/>
    <w:rsid w:val="00737088"/>
    <w:rsid w:val="00747D4C"/>
    <w:rsid w:val="00753F23"/>
    <w:rsid w:val="0077638F"/>
    <w:rsid w:val="007774B8"/>
    <w:rsid w:val="007B2AC1"/>
    <w:rsid w:val="007B513B"/>
    <w:rsid w:val="0080540C"/>
    <w:rsid w:val="00890616"/>
    <w:rsid w:val="008C7DF6"/>
    <w:rsid w:val="008E728A"/>
    <w:rsid w:val="00907B74"/>
    <w:rsid w:val="00910738"/>
    <w:rsid w:val="0091298B"/>
    <w:rsid w:val="009871A1"/>
    <w:rsid w:val="009C25C9"/>
    <w:rsid w:val="009C35C4"/>
    <w:rsid w:val="009C364D"/>
    <w:rsid w:val="009E3382"/>
    <w:rsid w:val="00A152E6"/>
    <w:rsid w:val="00A26D35"/>
    <w:rsid w:val="00A27F84"/>
    <w:rsid w:val="00A33891"/>
    <w:rsid w:val="00A8203C"/>
    <w:rsid w:val="00A944BB"/>
    <w:rsid w:val="00AD10EE"/>
    <w:rsid w:val="00AE607B"/>
    <w:rsid w:val="00B16975"/>
    <w:rsid w:val="00B17318"/>
    <w:rsid w:val="00B2631E"/>
    <w:rsid w:val="00B72583"/>
    <w:rsid w:val="00B96DDF"/>
    <w:rsid w:val="00BA74FC"/>
    <w:rsid w:val="00BD3470"/>
    <w:rsid w:val="00BD57C6"/>
    <w:rsid w:val="00BD5B3E"/>
    <w:rsid w:val="00C42EE1"/>
    <w:rsid w:val="00C61ED7"/>
    <w:rsid w:val="00C706AF"/>
    <w:rsid w:val="00C825C8"/>
    <w:rsid w:val="00C95FE5"/>
    <w:rsid w:val="00CF709F"/>
    <w:rsid w:val="00D04C61"/>
    <w:rsid w:val="00D12A50"/>
    <w:rsid w:val="00D347D5"/>
    <w:rsid w:val="00D53F89"/>
    <w:rsid w:val="00D852BA"/>
    <w:rsid w:val="00D97626"/>
    <w:rsid w:val="00DD7E5E"/>
    <w:rsid w:val="00DE558B"/>
    <w:rsid w:val="00DE7B25"/>
    <w:rsid w:val="00E03DF6"/>
    <w:rsid w:val="00E231CA"/>
    <w:rsid w:val="00E903B9"/>
    <w:rsid w:val="00EB1FAF"/>
    <w:rsid w:val="00EB261A"/>
    <w:rsid w:val="00ED1E12"/>
    <w:rsid w:val="00EE1E2C"/>
    <w:rsid w:val="00F56A3A"/>
    <w:rsid w:val="00F868D1"/>
    <w:rsid w:val="00FB01AD"/>
    <w:rsid w:val="00FC4F09"/>
    <w:rsid w:val="00FE6E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6A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semiHidden/>
    <w:rsid w:val="00461A9D"/>
    <w:rPr>
      <w:rFonts w:ascii="Times New Roman" w:hAnsi="Times New Roman" w:cs="Times New Roman"/>
      <w:color w:val="808080"/>
    </w:rPr>
  </w:style>
  <w:style w:type="character" w:styleId="PlaceholderText">
    <w:name w:val="Placeholder Text"/>
    <w:semiHidden/>
    <w:rsid w:val="00461A9D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rsid w:val="00461A9D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link w:val="BodyTextChar"/>
    <w:rsid w:val="003117F8"/>
    <w:pPr>
      <w:jc w:val="left"/>
    </w:pPr>
    <w:rPr>
      <w:rFonts w:ascii="Times New Roman" w:eastAsia="Calibri" w:hAnsi="Times New Roman"/>
      <w:b/>
      <w:szCs w:val="20"/>
    </w:rPr>
  </w:style>
  <w:style w:type="character" w:customStyle="1" w:styleId="BodyTextChar">
    <w:name w:val="Body Text Char"/>
    <w:link w:val="BodyText"/>
    <w:locked/>
    <w:rsid w:val="003117F8"/>
    <w:rPr>
      <w:rFonts w:eastAsia="Calibri"/>
      <w:b/>
      <w:sz w:val="24"/>
    </w:rPr>
  </w:style>
  <w:style w:type="paragraph" w:styleId="Header">
    <w:name w:val="header"/>
    <w:basedOn w:val="Normal"/>
    <w:link w:val="HeaderChar"/>
    <w:rsid w:val="003117F8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3117F8"/>
    <w:rPr>
      <w:sz w:val="24"/>
    </w:rPr>
  </w:style>
  <w:style w:type="paragraph" w:styleId="Footer">
    <w:name w:val="footer"/>
    <w:basedOn w:val="Normal"/>
    <w:link w:val="FooterChar"/>
    <w:rsid w:val="003117F8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locked/>
    <w:rsid w:val="003117F8"/>
    <w:rPr>
      <w:sz w:val="24"/>
    </w:rPr>
  </w:style>
  <w:style w:type="character" w:styleId="FootnoteReference">
    <w:name w:val="footnote reference"/>
    <w:aliases w:val="EN Footnote Reference,Exposant 3 Point,Exposant 3 Point_0,Footnote,Footnote Reference1,Footnote reference number,Footnote symbol,Ref,SUPERS,Times 10 Point,de nota al pie,no...,note TESI,number,stylish"/>
    <w:uiPriority w:val="99"/>
    <w:rsid w:val="002A2F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A2FDA"/>
    <w:pPr>
      <w:ind w:left="720" w:hanging="720"/>
      <w:jc w:val="both"/>
    </w:pPr>
    <w:rPr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uiPriority w:val="99"/>
    <w:locked/>
    <w:rsid w:val="002A2FDA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2A2FD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A6D7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5A6D71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BA272-421B-41E2-A7A1-8F6F703E4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58B31-DFC9-4C28-82E8-42AB189713F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D6C241-2EE4-43E5-AD32-399C9EB0E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855E295-D936-4D46-9707-25D2BD081F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3013</Words>
  <Characters>17175</Characters>
  <Application>Microsoft Office Word</Application>
  <DocSecurity>0</DocSecurity>
  <Lines>0</Lines>
  <Paragraphs>0</Paragraphs>
  <ScaleCrop>false</ScaleCrop>
  <Company>MHSR</Company>
  <LinksUpToDate>false</LinksUpToDate>
  <CharactersWithSpaces>20148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zimova</dc:creator>
  <cp:lastModifiedBy>Gašparíková, Jarmila</cp:lastModifiedBy>
  <cp:revision>2</cp:revision>
  <cp:lastPrinted>2015-04-07T09:53:00Z</cp:lastPrinted>
  <dcterms:created xsi:type="dcterms:W3CDTF">2015-08-27T12:16:00Z</dcterms:created>
  <dcterms:modified xsi:type="dcterms:W3CDTF">2015-08-27T12:16:00Z</dcterms:modified>
</cp:coreProperties>
</file>