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Sociálne vplyvy -  vplyvy na hospodárenie obyvateľstva, sociálnu exklúziu, rovnosť príležitostí a rodovú rovnosť  a na zamestnanosť</w:t>
      </w: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D90808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F4C43" w:rsidRPr="00CE30AB" w:rsidP="006E4CFC">
            <w:pPr>
              <w:bidi w:val="0"/>
              <w:jc w:val="both"/>
              <w:rPr>
                <w:rFonts w:ascii="Times New Roman" w:hAnsi="Times New Roman"/>
                <w:color w:val="000000"/>
              </w:rPr>
            </w:pPr>
            <w:r w:rsidR="00873B9C">
              <w:rPr>
                <w:rFonts w:ascii="Times New Roman" w:hAnsi="Times New Roman"/>
                <w:lang w:val="sk-SK"/>
              </w:rPr>
              <w:t>Vládny n</w:t>
            </w:r>
            <w:r w:rsidR="003F42EA">
              <w:rPr>
                <w:rFonts w:ascii="Times New Roman" w:hAnsi="Times New Roman"/>
                <w:lang w:val="sk-SK"/>
              </w:rPr>
              <w:t>ávrh má pozitívny vplyv na d</w:t>
            </w:r>
            <w:r w:rsidR="00717FAA">
              <w:rPr>
                <w:rFonts w:ascii="Times New Roman" w:hAnsi="Times New Roman"/>
                <w:lang w:val="sk-SK"/>
              </w:rPr>
              <w:t>omácnosti s</w:t>
            </w:r>
            <w:r w:rsidR="004F50BD">
              <w:rPr>
                <w:rFonts w:ascii="Times New Roman" w:hAnsi="Times New Roman"/>
                <w:lang w:val="sk-SK"/>
              </w:rPr>
              <w:t> deťmi vo veku do 3 rokov</w:t>
            </w:r>
            <w:r w:rsidR="003F42EA">
              <w:rPr>
                <w:rFonts w:ascii="Times New Roman" w:hAnsi="Times New Roman"/>
                <w:lang w:val="sk-SK"/>
              </w:rPr>
              <w:t xml:space="preserve"> veku</w:t>
            </w:r>
            <w:r w:rsidR="004F50BD">
              <w:rPr>
                <w:rFonts w:ascii="Times New Roman" w:hAnsi="Times New Roman"/>
                <w:lang w:val="sk-SK"/>
              </w:rPr>
              <w:t xml:space="preserve">  (</w:t>
            </w:r>
            <w:r w:rsidR="003F42EA">
              <w:rPr>
                <w:rFonts w:ascii="Times New Roman" w:hAnsi="Times New Roman"/>
                <w:lang w:val="sk-SK"/>
              </w:rPr>
              <w:t xml:space="preserve">resp. </w:t>
            </w:r>
            <w:r w:rsidR="004F50BD">
              <w:rPr>
                <w:rFonts w:ascii="Times New Roman" w:hAnsi="Times New Roman"/>
                <w:lang w:val="sk-SK"/>
              </w:rPr>
              <w:t>6 rokov</w:t>
            </w:r>
            <w:r w:rsidR="003F42EA">
              <w:rPr>
                <w:rFonts w:ascii="Times New Roman" w:hAnsi="Times New Roman"/>
                <w:lang w:val="sk-SK"/>
              </w:rPr>
              <w:t xml:space="preserve"> veku</w:t>
            </w:r>
            <w:r w:rsidR="004F50BD">
              <w:rPr>
                <w:rFonts w:ascii="Times New Roman" w:hAnsi="Times New Roman"/>
                <w:lang w:val="sk-SK"/>
              </w:rPr>
              <w:t xml:space="preserve"> ak ide o dieťa s dlhodobo nepriaznivým zdravotným stavom), </w:t>
            </w:r>
            <w:r w:rsidR="005A3C40">
              <w:rPr>
                <w:rFonts w:ascii="Times New Roman" w:hAnsi="Times New Roman"/>
                <w:lang w:val="sk-SK"/>
              </w:rPr>
              <w:t xml:space="preserve">a to v prípade, že sa </w:t>
            </w:r>
            <w:r w:rsidR="004F50BD">
              <w:rPr>
                <w:rFonts w:ascii="Times New Roman" w:hAnsi="Times New Roman"/>
                <w:lang w:val="sk-SK"/>
              </w:rPr>
              <w:t xml:space="preserve">rodič dieťaťa </w:t>
            </w:r>
            <w:r w:rsidR="00372299">
              <w:rPr>
                <w:rFonts w:ascii="Times New Roman" w:hAnsi="Times New Roman"/>
                <w:lang w:val="sk-SK"/>
              </w:rPr>
              <w:t xml:space="preserve">pred ukončením rodičovskej dovolenky </w:t>
            </w:r>
            <w:r w:rsidR="005A3C40">
              <w:rPr>
                <w:rFonts w:ascii="Times New Roman" w:hAnsi="Times New Roman"/>
                <w:lang w:val="sk-SK"/>
              </w:rPr>
              <w:t>r</w:t>
            </w:r>
            <w:r w:rsidR="00372299">
              <w:rPr>
                <w:rFonts w:ascii="Times New Roman" w:hAnsi="Times New Roman"/>
                <w:lang w:val="sk-SK"/>
              </w:rPr>
              <w:t>ozhodne pre výkon zárobkovej činno</w:t>
            </w:r>
            <w:r w:rsidR="005A3C40">
              <w:rPr>
                <w:rFonts w:ascii="Times New Roman" w:hAnsi="Times New Roman"/>
                <w:lang w:val="sk-SK"/>
              </w:rPr>
              <w:t>sti a prostredníctvom fyzickej alebo právnickej osoby zabezpečí dieťaťu starostlivosť</w:t>
            </w:r>
            <w:r>
              <w:rPr>
                <w:rFonts w:ascii="Times New Roman" w:hAnsi="Times New Roman"/>
                <w:lang w:val="sk-SK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v čase vykonávania</w:t>
            </w:r>
            <w:r w:rsidRPr="00CE30AB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zárobkovej činnosti.</w:t>
            </w:r>
            <w:r w:rsidRPr="00CE30AB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AA692C" w:rsidRPr="005D60DD" w:rsidP="00B02415">
            <w:pPr>
              <w:bidi w:val="0"/>
              <w:jc w:val="both"/>
              <w:rPr>
                <w:rFonts w:ascii="Times New Roman" w:hAnsi="Times New Roman"/>
              </w:rPr>
            </w:pPr>
            <w:r w:rsidR="005A3C40">
              <w:rPr>
                <w:rFonts w:ascii="Times New Roman" w:hAnsi="Times New Roman"/>
                <w:lang w:val="sk-SK"/>
              </w:rPr>
              <w:t xml:space="preserve">Príspevok na starostlivosť o dieťa sa bude vzťahovať aj na rodiča, </w:t>
            </w:r>
            <w:r w:rsidR="00B02415">
              <w:rPr>
                <w:rFonts w:ascii="Times New Roman" w:hAnsi="Times New Roman"/>
                <w:lang w:val="sk-SK"/>
              </w:rPr>
              <w:t xml:space="preserve">ktorý je študentom </w:t>
            </w:r>
            <w:r w:rsidR="008F4C43">
              <w:rPr>
                <w:rFonts w:ascii="Times New Roman" w:hAnsi="Times New Roman"/>
                <w:lang w:val="sk-SK"/>
              </w:rPr>
              <w:t xml:space="preserve">dennej formy štúdia na </w:t>
            </w:r>
            <w:r w:rsidR="008F4C43">
              <w:rPr>
                <w:rFonts w:ascii="Times New Roman" w:hAnsi="Times New Roman"/>
              </w:rPr>
              <w:t>strednej, vysokej škole</w:t>
            </w:r>
            <w:r w:rsidRPr="00C27694" w:rsidR="00B02415">
              <w:rPr>
                <w:rFonts w:ascii="Times New Roman" w:hAnsi="Times New Roman"/>
              </w:rPr>
              <w:t xml:space="preserve"> alebo doktorandského  štúdia. </w:t>
            </w:r>
            <w:r w:rsidR="005A3C40">
              <w:rPr>
                <w:rFonts w:ascii="Times New Roman" w:hAnsi="Times New Roman"/>
                <w:lang w:val="sk-SK"/>
              </w:rPr>
              <w:t xml:space="preserve">  </w:t>
            </w:r>
            <w:r w:rsidR="005A3C40">
              <w:rPr>
                <w:rFonts w:ascii="Times New Roman" w:hAnsi="Times New Roman"/>
              </w:rPr>
              <w:t xml:space="preserve">Poskytovanie príspevku na starostlivosť o dieťa podporí </w:t>
            </w:r>
            <w:r w:rsidRPr="00C27694" w:rsidR="005A3C40">
              <w:rPr>
                <w:rFonts w:ascii="Times New Roman" w:hAnsi="Times New Roman"/>
              </w:rPr>
              <w:t xml:space="preserve">snahu rodičov zabezpečiť potreby rodiny príjmom z vlastnej práce, pričom výška príspevku umožňuje rodičom využívať aj finančne náročnejšie služby starostlivosti o dieťa a to aj vtedy, ak rodič bude vykonávať prácu odmeňovanú nižšou mzdou.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480" w:firstLineChars="2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750A3" w:rsidP="004F3D0B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8837FF">
              <w:rPr>
                <w:rFonts w:ascii="Times New Roman" w:hAnsi="Times New Roman"/>
                <w:lang w:val="sk-SK"/>
              </w:rPr>
              <w:t>V roku 201</w:t>
            </w:r>
            <w:r w:rsidR="007860AC">
              <w:rPr>
                <w:rFonts w:ascii="Times New Roman" w:hAnsi="Times New Roman"/>
                <w:lang w:val="sk-SK"/>
              </w:rPr>
              <w:t>6</w:t>
            </w:r>
            <w:r w:rsidR="008837FF">
              <w:rPr>
                <w:rFonts w:ascii="Times New Roman" w:hAnsi="Times New Roman"/>
                <w:lang w:val="sk-SK"/>
              </w:rPr>
              <w:t xml:space="preserve"> ide priemerne mesačne o cca </w:t>
            </w:r>
            <w:r w:rsidR="00735919">
              <w:rPr>
                <w:rFonts w:ascii="Times New Roman" w:hAnsi="Times New Roman"/>
                <w:lang w:val="sk-SK"/>
              </w:rPr>
              <w:t>3 000</w:t>
            </w:r>
            <w:r w:rsidR="008837FF">
              <w:rPr>
                <w:rFonts w:ascii="Times New Roman" w:hAnsi="Times New Roman"/>
                <w:lang w:val="sk-SK"/>
              </w:rPr>
              <w:t xml:space="preserve"> detí, na ktoré sa vyplatí príspevok </w:t>
            </w:r>
            <w:r w:rsidR="00735919">
              <w:rPr>
                <w:rFonts w:ascii="Times New Roman" w:hAnsi="Times New Roman"/>
                <w:lang w:val="sk-SK"/>
              </w:rPr>
              <w:t>na starostlivosť o dieťa vo výške max. 280 euro</w:t>
            </w:r>
            <w:r w:rsidR="005B2805">
              <w:rPr>
                <w:rFonts w:ascii="Times New Roman" w:hAnsi="Times New Roman"/>
                <w:lang w:val="sk-SK"/>
              </w:rPr>
              <w:t xml:space="preserve"> </w:t>
            </w:r>
            <w:r w:rsidR="00575FB0">
              <w:rPr>
                <w:rFonts w:ascii="Times New Roman" w:hAnsi="Times New Roman"/>
                <w:lang w:val="sk-SK"/>
              </w:rPr>
              <w:t>(v prípade zabezpečenia</w:t>
            </w:r>
            <w:r w:rsidR="005B2805">
              <w:rPr>
                <w:rFonts w:ascii="Times New Roman" w:hAnsi="Times New Roman"/>
                <w:lang w:val="sk-SK"/>
              </w:rPr>
              <w:t xml:space="preserve"> </w:t>
            </w:r>
            <w:r w:rsidR="00575FB0">
              <w:rPr>
                <w:rFonts w:ascii="Times New Roman" w:hAnsi="Times New Roman"/>
                <w:lang w:val="sk-SK"/>
              </w:rPr>
              <w:t>starostlivosti</w:t>
            </w:r>
            <w:r w:rsidR="004F3D0B">
              <w:rPr>
                <w:rFonts w:ascii="Times New Roman" w:hAnsi="Times New Roman"/>
                <w:lang w:val="sk-SK"/>
              </w:rPr>
              <w:t xml:space="preserve"> o dieťa </w:t>
            </w:r>
            <w:r w:rsidR="00575FB0">
              <w:rPr>
                <w:rFonts w:ascii="Times New Roman" w:hAnsi="Times New Roman"/>
                <w:lang w:val="sk-SK"/>
              </w:rPr>
              <w:t xml:space="preserve"> prostredníctvom zariadenia, fyzickej osoby na základe živnostenského oprávnenia) a vo výške </w:t>
            </w:r>
            <w:r w:rsidR="00735919">
              <w:rPr>
                <w:rFonts w:ascii="Times New Roman" w:hAnsi="Times New Roman"/>
                <w:lang w:val="sk-SK"/>
              </w:rPr>
              <w:t>max.</w:t>
            </w:r>
            <w:r w:rsidR="004F3D0B">
              <w:rPr>
                <w:rFonts w:ascii="Times New Roman" w:hAnsi="Times New Roman"/>
                <w:lang w:val="sk-SK"/>
              </w:rPr>
              <w:t xml:space="preserve"> </w:t>
            </w:r>
            <w:r w:rsidR="00566F97">
              <w:rPr>
                <w:rFonts w:ascii="Times New Roman" w:hAnsi="Times New Roman"/>
                <w:lang w:val="sk-SK"/>
              </w:rPr>
              <w:t>8</w:t>
            </w:r>
            <w:r w:rsidR="00735919">
              <w:rPr>
                <w:rFonts w:ascii="Times New Roman" w:hAnsi="Times New Roman"/>
                <w:lang w:val="sk-SK"/>
              </w:rPr>
              <w:t>0 euro</w:t>
            </w:r>
            <w:r w:rsidR="004F3D0B">
              <w:rPr>
                <w:rFonts w:ascii="Times New Roman" w:hAnsi="Times New Roman"/>
                <w:lang w:val="sk-SK"/>
              </w:rPr>
              <w:t xml:space="preserve"> (</w:t>
            </w:r>
            <w:r w:rsidR="005B2805">
              <w:rPr>
                <w:rFonts w:ascii="Times New Roman" w:hAnsi="Times New Roman"/>
                <w:lang w:val="sk-SK"/>
              </w:rPr>
              <w:t xml:space="preserve">v prípade zabezpečenia starostlivosti prostredníctvom materskej školy </w:t>
            </w:r>
            <w:r w:rsidR="004F3D0B">
              <w:rPr>
                <w:rFonts w:ascii="Times New Roman" w:hAnsi="Times New Roman"/>
                <w:lang w:val="sk-SK"/>
              </w:rPr>
              <w:t xml:space="preserve">zaradenej do siete škôl a školských zariadení </w:t>
            </w:r>
            <w:bookmarkStart w:id="0" w:name="_GoBack"/>
            <w:bookmarkEnd w:id="0"/>
            <w:r w:rsidR="005B2805">
              <w:rPr>
                <w:rFonts w:ascii="Times New Roman" w:hAnsi="Times New Roman"/>
                <w:lang w:val="sk-SK"/>
              </w:rPr>
              <w:t>zriadenej obcou alebo orgánom miestnej štátnej správy v školstve).</w:t>
            </w:r>
            <w:r w:rsidR="00735919">
              <w:rPr>
                <w:rFonts w:ascii="Times New Roman" w:hAnsi="Times New Roman"/>
                <w:lang w:val="sk-SK"/>
              </w:rPr>
              <w:t xml:space="preserve"> </w:t>
            </w:r>
            <w:r w:rsidR="008837FF">
              <w:rPr>
                <w:rFonts w:ascii="Times New Roman" w:hAnsi="Times New Roman"/>
                <w:lang w:val="sk-SK"/>
              </w:rPr>
              <w:t xml:space="preserve"> </w:t>
            </w:r>
            <w:r w:rsidR="00735919">
              <w:rPr>
                <w:rFonts w:ascii="Times New Roman" w:hAnsi="Times New Roman"/>
                <w:lang w:val="sk-SK"/>
              </w:rPr>
              <w:t xml:space="preserve">Priemerný mesačný počet detí, na ktoré  sa aj naďalej bude vyplácať príspevok vo výške 41,10 eura </w:t>
            </w:r>
            <w:r w:rsidR="00566F97">
              <w:rPr>
                <w:rFonts w:ascii="Times New Roman" w:hAnsi="Times New Roman"/>
                <w:lang w:val="sk-SK"/>
              </w:rPr>
              <w:t>sa odhaduje na</w:t>
            </w:r>
            <w:r w:rsidR="00735919">
              <w:rPr>
                <w:rFonts w:ascii="Times New Roman" w:hAnsi="Times New Roman"/>
                <w:lang w:val="sk-SK"/>
              </w:rPr>
              <w:t xml:space="preserve"> cca 300. V</w:t>
            </w:r>
            <w:r w:rsidR="00FF0752">
              <w:rPr>
                <w:rFonts w:ascii="Times New Roman" w:hAnsi="Times New Roman"/>
                <w:lang w:val="sk-SK"/>
              </w:rPr>
              <w:t>o</w:t>
            </w:r>
            <w:r w:rsidR="00735919">
              <w:rPr>
                <w:rFonts w:ascii="Times New Roman" w:hAnsi="Times New Roman"/>
                <w:lang w:val="sk-SK"/>
              </w:rPr>
              <w:t> zvýšenom  počt</w:t>
            </w:r>
            <w:r w:rsidR="005D60DD">
              <w:rPr>
                <w:rFonts w:ascii="Times New Roman" w:hAnsi="Times New Roman"/>
                <w:lang w:val="sk-SK"/>
              </w:rPr>
              <w:t>e</w:t>
            </w:r>
            <w:r w:rsidR="00735919">
              <w:rPr>
                <w:rFonts w:ascii="Times New Roman" w:hAnsi="Times New Roman"/>
                <w:lang w:val="sk-SK"/>
              </w:rPr>
              <w:t xml:space="preserve"> detí, na ktoré sa odhaduje vyplácanie príspevku</w:t>
            </w:r>
            <w:r w:rsidR="005D60DD">
              <w:rPr>
                <w:rFonts w:ascii="Times New Roman" w:hAnsi="Times New Roman"/>
                <w:lang w:val="sk-SK"/>
              </w:rPr>
              <w:t>,</w:t>
            </w:r>
            <w:r w:rsidR="00735919">
              <w:rPr>
                <w:rFonts w:ascii="Times New Roman" w:hAnsi="Times New Roman"/>
                <w:lang w:val="sk-SK"/>
              </w:rPr>
              <w:t xml:space="preserve"> je zohľadnené zatraktívnenie príspevku, vzhľadom na jeho výšku.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      za jednotlivé ovplyvnené  skupiny domácností</w:t>
            </w:r>
          </w:p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4.2.</w:t>
            </w:r>
            <w:r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 w:rsidP="008B375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  <w:r w:rsidR="00B02415">
              <w:rPr>
                <w:rFonts w:ascii="Times New Roman" w:hAnsi="Times New Roman"/>
                <w:lang w:val="sk-SK"/>
              </w:rPr>
              <w:t xml:space="preserve">Bez vplyvu 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 w:rsidP="0061283A">
            <w:pPr>
              <w:bidi w:val="0"/>
              <w:jc w:val="both"/>
              <w:rPr>
                <w:rFonts w:ascii="Times New Roman" w:hAnsi="Times New Roman"/>
              </w:rPr>
            </w:pPr>
            <w:r w:rsidR="00873B9C">
              <w:rPr>
                <w:rFonts w:ascii="Times New Roman" w:hAnsi="Times New Roman"/>
                <w:lang w:val="sk-SK"/>
              </w:rPr>
              <w:t>Vládny n</w:t>
            </w:r>
            <w:r w:rsidR="00455B91">
              <w:rPr>
                <w:rFonts w:ascii="Times New Roman" w:hAnsi="Times New Roman"/>
                <w:lang w:val="sk-SK"/>
              </w:rPr>
              <w:t>ávrh naďalej podporuje vytváranie optimálnych podmienok na z</w:t>
            </w:r>
            <w:r w:rsidR="00455B91">
              <w:rPr>
                <w:rFonts w:ascii="Times New Roman" w:hAnsi="Times New Roman"/>
              </w:rPr>
              <w:t>osúlaďovanie rodinného a pracovného života</w:t>
            </w:r>
            <w:r w:rsidR="006E4CFC">
              <w:rPr>
                <w:rFonts w:ascii="Times New Roman" w:hAnsi="Times New Roman"/>
              </w:rPr>
              <w:t xml:space="preserve"> a to </w:t>
            </w:r>
            <w:r w:rsidR="00F10212">
              <w:rPr>
                <w:rFonts w:ascii="Times New Roman" w:hAnsi="Times New Roman"/>
              </w:rPr>
              <w:t>hlavne v prípade matiek</w:t>
            </w:r>
            <w:r w:rsidR="009858B9">
              <w:rPr>
                <w:rFonts w:ascii="Times New Roman" w:hAnsi="Times New Roman"/>
              </w:rPr>
              <w:t xml:space="preserve">, ktoré </w:t>
            </w:r>
            <w:r w:rsidR="006E4CFC">
              <w:rPr>
                <w:rFonts w:ascii="Times New Roman" w:hAnsi="Times New Roman"/>
              </w:rPr>
              <w:t>sa rozhodli vstúpiť na</w:t>
            </w:r>
            <w:r w:rsidR="0061283A">
              <w:rPr>
                <w:rFonts w:ascii="Times New Roman" w:hAnsi="Times New Roman"/>
              </w:rPr>
              <w:t xml:space="preserve"> trh práce </w:t>
            </w:r>
            <w:r w:rsidR="009858B9">
              <w:rPr>
                <w:rFonts w:ascii="Times New Roman" w:hAnsi="Times New Roman"/>
              </w:rPr>
              <w:t xml:space="preserve">a </w:t>
            </w:r>
            <w:r w:rsidR="0061283A">
              <w:rPr>
                <w:rFonts w:ascii="Times New Roman" w:hAnsi="Times New Roman"/>
              </w:rPr>
              <w:t xml:space="preserve">súčasne </w:t>
            </w:r>
            <w:r w:rsidR="009858B9">
              <w:rPr>
                <w:rFonts w:ascii="Times New Roman" w:hAnsi="Times New Roman"/>
              </w:rPr>
              <w:t xml:space="preserve">zabezpečiť starostlivosť o dieťa, ktorá by vyhovovala potrebám dieťaťa a rodiny. </w:t>
            </w:r>
          </w:p>
          <w:p w:rsidR="0061283A" w:rsidP="006E4CFC">
            <w:pPr>
              <w:bidi w:val="0"/>
              <w:jc w:val="both"/>
              <w:rPr>
                <w:rFonts w:ascii="Times New Roman" w:hAnsi="Times New Roman"/>
              </w:rPr>
            </w:pPr>
            <w:r w:rsidR="00873B9C">
              <w:rPr>
                <w:rFonts w:ascii="Times New Roman" w:hAnsi="Times New Roman"/>
              </w:rPr>
              <w:t>Vládny n</w:t>
            </w:r>
            <w:r>
              <w:rPr>
                <w:rFonts w:ascii="Times New Roman" w:hAnsi="Times New Roman"/>
              </w:rPr>
              <w:t>ávrh zároveň vytvára podmienky na zvýšenie zamestnanosti, hlavne žien, udržanie si pracovného miesta a taktiež úspešný návrat a uplatnenie sa</w:t>
            </w:r>
            <w:r w:rsidR="006E4CF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na trhu práce. </w:t>
            </w:r>
          </w:p>
          <w:p w:rsidR="006E4CFC" w:rsidRPr="00D86BF5" w:rsidP="00FF0752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D86BF5">
              <w:rPr>
                <w:rFonts w:ascii="Times New Roman" w:hAnsi="Times New Roman"/>
              </w:rPr>
              <w:t>Predložený materiál bude mať pozit</w:t>
            </w:r>
            <w:r w:rsidR="00FF0752">
              <w:rPr>
                <w:rFonts w:ascii="Times New Roman" w:hAnsi="Times New Roman"/>
              </w:rPr>
              <w:t>í</w:t>
            </w:r>
            <w:r w:rsidRPr="00D86BF5">
              <w:rPr>
                <w:rFonts w:ascii="Times New Roman" w:hAnsi="Times New Roman"/>
              </w:rPr>
              <w:t>vny vplyv na rodovú rovnosť a rovnosť príležitostí</w:t>
            </w:r>
            <w:r w:rsidRPr="00D86BF5" w:rsidR="005D60DD">
              <w:rPr>
                <w:rFonts w:ascii="Times New Roman" w:hAnsi="Times New Roman"/>
              </w:rPr>
              <w:t>, nakoľko väčšina rodičov na rodičovskej dovolenke poberajúcich rodičovský príspevok sú matky.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 xml:space="preserve">4.4. </w:t>
            </w:r>
            <w:r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Aké sú  vplyvy na zamestnanosť ?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 ?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5EC7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873B9C">
              <w:rPr>
                <w:rFonts w:ascii="Times New Roman" w:hAnsi="Times New Roman"/>
                <w:lang w:val="sk-SK"/>
              </w:rPr>
              <w:t>Vládny n</w:t>
            </w:r>
            <w:r w:rsidR="006E4CFC">
              <w:rPr>
                <w:rFonts w:ascii="Times New Roman" w:hAnsi="Times New Roman"/>
                <w:lang w:val="sk-SK"/>
              </w:rPr>
              <w:t xml:space="preserve">ávrh nepriamo rozširuje možnosť vytvárania </w:t>
            </w:r>
            <w:r>
              <w:rPr>
                <w:rFonts w:ascii="Times New Roman" w:hAnsi="Times New Roman"/>
                <w:lang w:val="sk-SK"/>
              </w:rPr>
              <w:t>pracovných miest v oblasti poskytovaní služieb starostlivosti o dieťa do troch rokov veku. Predpokladáme</w:t>
            </w:r>
            <w:r w:rsidR="00BD7FA5">
              <w:rPr>
                <w:rFonts w:ascii="Times New Roman" w:hAnsi="Times New Roman"/>
                <w:lang w:val="sk-SK"/>
              </w:rPr>
              <w:t>,</w:t>
            </w:r>
            <w:r>
              <w:rPr>
                <w:rFonts w:ascii="Times New Roman" w:hAnsi="Times New Roman"/>
                <w:lang w:val="sk-SK"/>
              </w:rPr>
              <w:t xml:space="preserve"> že zvýšením príspevku na starostlivosť a zjednodušením administratívnej zaťaženosti sa príspevok na starostlivosť zatraktívni, čo bude mať vplyv na vytváranie nových kapacít služieb starostlivosti o deti do troch rokov veku.  </w:t>
            </w:r>
          </w:p>
          <w:p w:rsidR="00D90808" w:rsidP="00873B9C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873B9C">
              <w:rPr>
                <w:rFonts w:ascii="Times New Roman" w:hAnsi="Times New Roman"/>
                <w:lang w:val="sk-SK"/>
              </w:rPr>
              <w:t>Vládny n</w:t>
            </w:r>
            <w:r w:rsidR="00665EC7">
              <w:rPr>
                <w:rFonts w:ascii="Times New Roman" w:hAnsi="Times New Roman"/>
                <w:lang w:val="sk-SK"/>
              </w:rPr>
              <w:t xml:space="preserve">ávrh nepredstavuje žiadne ohrozenie pre zamestnanosť a nehrozí v jeho dôsledku hromadné prepúšťanie. </w:t>
            </w:r>
          </w:p>
        </w:tc>
      </w:tr>
    </w:tbl>
    <w:p w:rsidR="00D90808" w:rsidP="00C60C27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sectPr w:rsidSect="00F240F6"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02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9502A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02A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D7FA5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B9502A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02A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č.4</w:t>
    </w:r>
  </w:p>
  <w:p w:rsidR="00B9502A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02A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rtl w:val="0"/>
        <w:cs w:val="0"/>
      </w:rPr>
    </w:lvl>
  </w:abstractNum>
  <w:abstractNum w:abstractNumId="1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5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D90808"/>
    <w:rsid w:val="00012D55"/>
    <w:rsid w:val="00025C5F"/>
    <w:rsid w:val="00095574"/>
    <w:rsid w:val="000E7B64"/>
    <w:rsid w:val="001248D5"/>
    <w:rsid w:val="0014624A"/>
    <w:rsid w:val="00154266"/>
    <w:rsid w:val="00190294"/>
    <w:rsid w:val="00195F5D"/>
    <w:rsid w:val="00207D66"/>
    <w:rsid w:val="0027133F"/>
    <w:rsid w:val="002908AF"/>
    <w:rsid w:val="002A20E2"/>
    <w:rsid w:val="002D6AC5"/>
    <w:rsid w:val="0030358C"/>
    <w:rsid w:val="003461AC"/>
    <w:rsid w:val="003462FE"/>
    <w:rsid w:val="00357EC4"/>
    <w:rsid w:val="00372299"/>
    <w:rsid w:val="003A19D3"/>
    <w:rsid w:val="003F42EA"/>
    <w:rsid w:val="00455B91"/>
    <w:rsid w:val="004A132F"/>
    <w:rsid w:val="004C224C"/>
    <w:rsid w:val="004F3D0B"/>
    <w:rsid w:val="004F50BD"/>
    <w:rsid w:val="00530C25"/>
    <w:rsid w:val="00540041"/>
    <w:rsid w:val="00566F97"/>
    <w:rsid w:val="00575FB0"/>
    <w:rsid w:val="00577D59"/>
    <w:rsid w:val="005A3C40"/>
    <w:rsid w:val="005B2805"/>
    <w:rsid w:val="005B79BE"/>
    <w:rsid w:val="005D60DD"/>
    <w:rsid w:val="005E74A8"/>
    <w:rsid w:val="0061283A"/>
    <w:rsid w:val="006370D0"/>
    <w:rsid w:val="00661B50"/>
    <w:rsid w:val="00665EC7"/>
    <w:rsid w:val="0067495A"/>
    <w:rsid w:val="006A6750"/>
    <w:rsid w:val="006E4CFC"/>
    <w:rsid w:val="00700576"/>
    <w:rsid w:val="00717FAA"/>
    <w:rsid w:val="00735919"/>
    <w:rsid w:val="007860AC"/>
    <w:rsid w:val="00823A73"/>
    <w:rsid w:val="00835F3E"/>
    <w:rsid w:val="00843134"/>
    <w:rsid w:val="00861E4F"/>
    <w:rsid w:val="00873B9C"/>
    <w:rsid w:val="008752D1"/>
    <w:rsid w:val="00881FEE"/>
    <w:rsid w:val="008837FF"/>
    <w:rsid w:val="008B3757"/>
    <w:rsid w:val="008B4A25"/>
    <w:rsid w:val="008F4C43"/>
    <w:rsid w:val="00910C19"/>
    <w:rsid w:val="0092494B"/>
    <w:rsid w:val="00932D13"/>
    <w:rsid w:val="009858B9"/>
    <w:rsid w:val="009A48A6"/>
    <w:rsid w:val="009B3D1F"/>
    <w:rsid w:val="00A45A6E"/>
    <w:rsid w:val="00AA692C"/>
    <w:rsid w:val="00B02415"/>
    <w:rsid w:val="00B46F9C"/>
    <w:rsid w:val="00B836CE"/>
    <w:rsid w:val="00B9502A"/>
    <w:rsid w:val="00B9712C"/>
    <w:rsid w:val="00BD7FA5"/>
    <w:rsid w:val="00BF4591"/>
    <w:rsid w:val="00C27694"/>
    <w:rsid w:val="00C60C27"/>
    <w:rsid w:val="00C73E36"/>
    <w:rsid w:val="00CB591B"/>
    <w:rsid w:val="00CE30AB"/>
    <w:rsid w:val="00D6720D"/>
    <w:rsid w:val="00D86BF5"/>
    <w:rsid w:val="00D90808"/>
    <w:rsid w:val="00E60A4E"/>
    <w:rsid w:val="00E80573"/>
    <w:rsid w:val="00ED5746"/>
    <w:rsid w:val="00F10212"/>
    <w:rsid w:val="00F240F6"/>
    <w:rsid w:val="00F750A3"/>
    <w:rsid w:val="00FA79C5"/>
    <w:rsid w:val="00FB4716"/>
    <w:rsid w:val="00FD7A29"/>
    <w:rsid w:val="00FF075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6F9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B46F9C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46F9C"/>
    <w:rPr>
      <w:rFonts w:cs="Times New Roman"/>
      <w:sz w:val="24"/>
      <w:rtl w:val="0"/>
      <w:cs w:val="0"/>
      <w:lang w:val="en-US" w:eastAsia="x-none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sid w:val="00B46F9C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rsid w:val="00B46F9C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rsid w:val="00B46F9C"/>
    <w:pPr>
      <w:jc w:val="left"/>
    </w:pPr>
    <w:rPr>
      <w:sz w:val="20"/>
      <w:szCs w:val="20"/>
      <w:lang w:val="sk-SK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sid w:val="00B46F9C"/>
    <w:rPr>
      <w:rFonts w:cs="Times New Roman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rsid w:val="00B46F9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B46F9C"/>
    <w:rPr>
      <w:rFonts w:cs="Times New Roman"/>
      <w:sz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sid w:val="00B46F9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B46F9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B46F9C"/>
    <w:rPr>
      <w:rFonts w:cs="Times New Roman"/>
      <w:sz w:val="24"/>
      <w:rtl w:val="0"/>
      <w:cs w:val="0"/>
      <w:lang w:val="en-US" w:eastAsia="x-none"/>
    </w:rPr>
  </w:style>
  <w:style w:type="paragraph" w:styleId="NormalWeb">
    <w:name w:val="Normal (Web)"/>
    <w:basedOn w:val="Normal"/>
    <w:uiPriority w:val="99"/>
    <w:rsid w:val="00B46F9C"/>
    <w:pPr>
      <w:spacing w:before="100" w:beforeAutospacing="1" w:after="100" w:afterAutospacing="1"/>
      <w:jc w:val="left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520</Words>
  <Characters>3368</Characters>
  <Application>Microsoft Office Word</Application>
  <DocSecurity>0</DocSecurity>
  <Lines>0</Lines>
  <Paragraphs>0</Paragraphs>
  <ScaleCrop>false</ScaleCrop>
  <Company>mhsr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zabkova</dc:creator>
  <cp:lastModifiedBy>cebulakova</cp:lastModifiedBy>
  <cp:revision>4</cp:revision>
  <cp:lastPrinted>2013-06-19T08:53:00Z</cp:lastPrinted>
  <dcterms:created xsi:type="dcterms:W3CDTF">2015-06-26T07:24:00Z</dcterms:created>
  <dcterms:modified xsi:type="dcterms:W3CDTF">2015-08-26T12:48:00Z</dcterms:modified>
</cp:coreProperties>
</file>