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7D8D" w:rsidRPr="00A21347" w:rsidP="00787D8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Doložka zlučiteľnosti</w:t>
      </w:r>
    </w:p>
    <w:p w:rsidR="00787D8D" w:rsidRPr="00A21347" w:rsidP="00787D8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 </w:t>
      </w:r>
    </w:p>
    <w:p w:rsidR="00787D8D" w:rsidRPr="00A21347" w:rsidP="00787D8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 w:rsidRPr="00A21347">
        <w:rPr>
          <w:rFonts w:ascii="Times New Roman" w:hAnsi="Times New Roman" w:cs="Times New Roman"/>
          <w:sz w:val="24"/>
          <w:szCs w:val="24"/>
        </w:rPr>
        <w:t xml:space="preserve"> poslanci Národnej rady Slovenskej republiky</w:t>
      </w:r>
    </w:p>
    <w:p w:rsidR="00787D8D" w:rsidRPr="00A21347" w:rsidP="00787D8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D8D" w:rsidRPr="00A21347" w:rsidP="00787D8D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>2.</w:t>
        <w:tab/>
        <w:t>Názov návrhu právneho predpisu:</w:t>
      </w:r>
      <w:r w:rsidRPr="00A21347">
        <w:rPr>
          <w:rFonts w:ascii="Times New Roman" w:hAnsi="Times New Roman" w:cs="Times New Roman"/>
          <w:sz w:val="24"/>
          <w:szCs w:val="24"/>
        </w:rPr>
        <w:t xml:space="preserve"> Návrh zákona, ktorým sa mení a dopĺňa zákon               č. 124/2006 Z. z. o bezpečnosti a ochrane zdravia pri práci a o zmene a doplnení niektorých zákonov v znení neskorších predpisov a o zmene a doplnení zákona č. 355/2007 Z. z. o ochrane, podpore a rozvoji verejného zdravia a o zmene a doplnení niektorých zákonov v znení neskorších predpisov </w:t>
      </w:r>
    </w:p>
    <w:p w:rsidR="00787D8D" w:rsidRPr="00A21347" w:rsidP="00787D8D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>Problematika návrhu právneho predpisu:</w:t>
      </w:r>
    </w:p>
    <w:p w:rsidR="00787D8D" w:rsidRPr="00A21347" w:rsidP="00787D8D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a)</w:t>
        <w:tab/>
        <w:t>je upravená v práve Európskej únie</w:t>
      </w:r>
    </w:p>
    <w:p w:rsidR="00787D8D" w:rsidRPr="00A21347" w:rsidP="00787D8D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Times New Roman"/>
          <w:i/>
          <w:i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-</w:t>
        <w:tab/>
      </w:r>
      <w:r w:rsidRPr="00A21347">
        <w:rPr>
          <w:rFonts w:ascii="Times New Roman" w:hAnsi="Times New Roman" w:cs="Times New Roman"/>
          <w:i/>
          <w:iCs/>
          <w:sz w:val="24"/>
          <w:szCs w:val="24"/>
        </w:rPr>
        <w:t>primárnom</w:t>
      </w:r>
    </w:p>
    <w:p w:rsidR="00787D8D" w:rsidRPr="00A21347" w:rsidP="00787D8D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692624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čl. 151 Zmluvy o fungovaní Európskej únie v platnom znení, podľa ktorého Európska únia a členské štáty majú za cieľ zlepšovať životné a pracovné podmienky tak, aby sa dosiahlo ich zosúladenie pri zachovaní dosiahnutej úrovne.</w:t>
        <w:br/>
        <w:t>čl. 153 ods. 1 písm. a) a b) Zmluvy o fungovaní Európskej únie v platnom znení, ktoré ustanovujú, že na dosiahnutie cieľov uvedených v článku 151 Európska únia podporuje a dopĺňa činnosti členských štátov v oblasti zlepšovania pracovného prostredia najmä s ohľadom na ochranu zdravia a bezpečnosti pracovníkov</w:t>
      </w:r>
    </w:p>
    <w:p w:rsidR="00787D8D" w:rsidRPr="00A21347" w:rsidP="00787D8D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tabs>
          <w:tab w:val="left" w:pos="1068"/>
        </w:tabs>
        <w:bidi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-</w:t>
        <w:tab/>
      </w:r>
      <w:r w:rsidRPr="00A21347">
        <w:rPr>
          <w:rFonts w:ascii="Times New Roman" w:hAnsi="Times New Roman" w:cs="Times New Roman"/>
          <w:i/>
          <w:iCs/>
          <w:sz w:val="24"/>
          <w:szCs w:val="24"/>
        </w:rPr>
        <w:t>sekundárnom (prijatom po nadobudnutím platnosti Lisabonskej zmluvy, ktorou sa mení a dopĺňa Zmluva o Európskom spoločenstve a Zmluva o Európskej únii – po 30. novembri 2009)</w:t>
      </w:r>
    </w:p>
    <w:p w:rsidR="00787D8D" w:rsidRPr="00A21347" w:rsidP="00787D8D">
      <w:pPr>
        <w:tabs>
          <w:tab w:val="left" w:pos="1068"/>
        </w:tabs>
        <w:bidi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1.</w:t>
        <w:tab/>
        <w:t xml:space="preserve">legislatívne akty </w:t>
      </w:r>
    </w:p>
    <w:p w:rsidR="00787D8D" w:rsidRPr="00A21347" w:rsidP="00787D8D">
      <w:pPr>
        <w:bidi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1239" w:hanging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2.</w:t>
        <w:tab/>
        <w:t>nelegislatívne akty</w:t>
      </w:r>
    </w:p>
    <w:p w:rsidR="00787D8D" w:rsidRPr="00A21347" w:rsidP="00787D8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D8D" w:rsidRPr="00A21347" w:rsidP="00787D8D">
      <w:pPr>
        <w:bidi w:val="0"/>
        <w:spacing w:after="0" w:line="240" w:lineRule="auto"/>
        <w:ind w:left="879" w:hanging="17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-</w:t>
        <w:tab/>
      </w:r>
      <w:r w:rsidRPr="00A21347">
        <w:rPr>
          <w:rFonts w:ascii="Times New Roman" w:hAnsi="Times New Roman" w:cs="Times New Roman"/>
          <w:i/>
          <w:iCs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787D8D" w:rsidRPr="00A21347" w:rsidP="00787D8D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7D8D" w:rsidRPr="00A21347" w:rsidP="00787D8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347">
              <w:rPr>
                <w:rFonts w:ascii="Times New Roman" w:hAnsi="Times New Roman" w:cs="Times New Roman"/>
                <w:sz w:val="24"/>
                <w:szCs w:val="24"/>
              </w:rPr>
              <w:t xml:space="preserve">smernica Rady 89/391/EHS z 12. júna 1989 o zavádzaní opatrení na podporu zlepšenia bezpečnosti a zdravia pracovníkov pri práci (Mimoriadne vydanie Ú. v. EÚ, kap. 05/zv. 1) v platnom znení </w:t>
              <w:br/>
            </w:r>
          </w:p>
        </w:tc>
      </w:tr>
    </w:tbl>
    <w:p w:rsidR="00787D8D" w:rsidRPr="00A21347" w:rsidP="00787D8D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b)</w:t>
        <w:tab/>
        <w:t>nie je obsiahnutá v judikatúre Súdneho dvora Európskej únie.</w:t>
      </w:r>
    </w:p>
    <w:p w:rsidR="00787D8D" w:rsidRPr="00A21347" w:rsidP="00787D8D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787D8D" w:rsidRPr="00A21347" w:rsidP="00787D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787D8D" w:rsidRPr="00A21347" w:rsidP="00787D8D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 xml:space="preserve">Lehota na prebratie smernice Rady 89/391/EHS z 12. júna 1989 o zavádzaní opatrení na podporu zlepšenia bezpečnosti a zdravia pracovníkov pri práci (Mimoriadne vydanie Ú. v. EÚ, kap. 05/zv. 1) bola 1. mája 2004. </w:t>
        <w:br/>
      </w:r>
    </w:p>
    <w:p w:rsidR="00787D8D" w:rsidRPr="00A21347" w:rsidP="00787D8D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b)</w:t>
        <w:tab/>
        <w:t>informácia o konaní začatom proti Slovenskej republike o porušení podľa čl. 258 až 260 Zmluvy o fungovaní Európskej únie</w:t>
      </w:r>
    </w:p>
    <w:p w:rsidR="00787D8D" w:rsidRPr="00A21347" w:rsidP="00787D8D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ab/>
        <w:t>- neprebieha</w:t>
      </w:r>
    </w:p>
    <w:p w:rsidR="00787D8D" w:rsidRPr="00A21347" w:rsidP="00787D8D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c)</w:t>
        <w:tab/>
        <w:t xml:space="preserve">informácia o právnych predpisoch, v ktorých </w:t>
      </w:r>
      <w:r w:rsidRPr="00A21347" w:rsidR="00345111">
        <w:rPr>
          <w:rFonts w:ascii="Times New Roman" w:hAnsi="Times New Roman" w:cs="Times New Roman"/>
          <w:sz w:val="24"/>
          <w:szCs w:val="24"/>
        </w:rPr>
        <w:t>je</w:t>
      </w:r>
      <w:r w:rsidRPr="00A21347">
        <w:rPr>
          <w:rFonts w:ascii="Times New Roman" w:hAnsi="Times New Roman" w:cs="Times New Roman"/>
          <w:sz w:val="24"/>
          <w:szCs w:val="24"/>
        </w:rPr>
        <w:t xml:space="preserve"> preberan</w:t>
      </w:r>
      <w:r w:rsidRPr="00A21347" w:rsidR="00345111">
        <w:rPr>
          <w:rFonts w:ascii="Times New Roman" w:hAnsi="Times New Roman" w:cs="Times New Roman"/>
          <w:sz w:val="24"/>
          <w:szCs w:val="24"/>
        </w:rPr>
        <w:t>á</w:t>
      </w:r>
      <w:r w:rsidRPr="00A21347">
        <w:rPr>
          <w:rFonts w:ascii="Times New Roman" w:hAnsi="Times New Roman" w:cs="Times New Roman"/>
          <w:sz w:val="24"/>
          <w:szCs w:val="24"/>
        </w:rPr>
        <w:t xml:space="preserve"> smernic</w:t>
      </w:r>
      <w:r w:rsidRPr="00A21347" w:rsidR="00345111">
        <w:rPr>
          <w:rFonts w:ascii="Times New Roman" w:hAnsi="Times New Roman" w:cs="Times New Roman"/>
          <w:sz w:val="24"/>
          <w:szCs w:val="24"/>
        </w:rPr>
        <w:t>a</w:t>
      </w:r>
      <w:r w:rsidRPr="00A21347">
        <w:rPr>
          <w:rFonts w:ascii="Times New Roman" w:hAnsi="Times New Roman" w:cs="Times New Roman"/>
          <w:sz w:val="24"/>
          <w:szCs w:val="24"/>
        </w:rPr>
        <w:t xml:space="preserve"> už prebrat</w:t>
      </w:r>
      <w:r w:rsidRPr="00A21347" w:rsidR="00345111">
        <w:rPr>
          <w:rFonts w:ascii="Times New Roman" w:hAnsi="Times New Roman" w:cs="Times New Roman"/>
          <w:sz w:val="24"/>
          <w:szCs w:val="24"/>
        </w:rPr>
        <w:t>á</w:t>
      </w:r>
      <w:r w:rsidRPr="00A21347">
        <w:rPr>
          <w:rFonts w:ascii="Times New Roman" w:hAnsi="Times New Roman" w:cs="Times New Roman"/>
          <w:sz w:val="24"/>
          <w:szCs w:val="24"/>
        </w:rPr>
        <w:t xml:space="preserve"> spolu s uvedením rozsahu tohto prebratia</w:t>
      </w:r>
    </w:p>
    <w:p w:rsidR="00787D8D" w:rsidRPr="00A21347" w:rsidP="00787D8D">
      <w:pPr>
        <w:bidi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 xml:space="preserve">– v zákone č. 124/2006 Z. z. o bezpečnosti a ochrane zdravia pri práci a o zmene a doplnení niektorých zákonov v znení neskorších predpisov, </w:t>
        <w:br/>
        <w:t xml:space="preserve">– v zákone č. 355/2007 Z. z. o ochrane, podpore a rozvoji verejného zdravia a o zmene a doplnení niektorých zákonov v znení neskorších predpisov. </w:t>
        <w:br/>
        <w:br/>
      </w:r>
      <w:r w:rsidRPr="00A21347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787D8D" w:rsidRPr="00A21347" w:rsidP="00787D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:rsidR="00787D8D" w:rsidRPr="00A21347" w:rsidP="00787D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347">
        <w:rPr>
          <w:rFonts w:ascii="Times New Roman" w:hAnsi="Times New Roman" w:cs="Times New Roman"/>
          <w:b/>
          <w:bCs/>
          <w:sz w:val="24"/>
          <w:szCs w:val="24"/>
        </w:rPr>
        <w:t xml:space="preserve">6.  Gestor a spolupracujúce rezorty: </w:t>
      </w:r>
    </w:p>
    <w:p w:rsidR="00787D8D" w:rsidRPr="00A21347" w:rsidP="00787D8D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7D8D" w:rsidRPr="00A21347" w:rsidP="00787D8D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1347">
        <w:rPr>
          <w:rFonts w:ascii="Times New Roman" w:hAnsi="Times New Roman" w:cs="Times New Roman"/>
          <w:sz w:val="24"/>
          <w:szCs w:val="24"/>
        </w:rPr>
        <w:t>- bezpredmetné</w:t>
      </w: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345111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692624" w:rsidRPr="00A21347" w:rsidP="000A2569">
      <w:pPr>
        <w:bidi w:val="0"/>
        <w:ind w:right="-108"/>
        <w:jc w:val="center"/>
        <w:outlineLvl w:val="0"/>
        <w:rPr>
          <w:rFonts w:cs="Times New Roman"/>
          <w:b/>
          <w:bCs/>
          <w:sz w:val="28"/>
          <w:szCs w:val="28"/>
        </w:rPr>
      </w:pPr>
    </w:p>
    <w:p w:rsidR="000A2569" w:rsidRPr="00A21347" w:rsidP="000A2569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1347">
        <w:rPr>
          <w:rFonts w:ascii="Times New Roman" w:hAnsi="Times New Roman" w:cs="Times New Roman"/>
          <w:b/>
          <w:bCs/>
          <w:sz w:val="28"/>
          <w:szCs w:val="28"/>
        </w:rPr>
        <w:t>Doložka vybraných vplyvov</w:t>
      </w:r>
    </w:p>
    <w:p w:rsidR="000A2569" w:rsidRPr="00A21347" w:rsidP="000A2569">
      <w:pPr>
        <w:bidi w:val="0"/>
        <w:spacing w:line="240" w:lineRule="auto"/>
        <w:rPr>
          <w:rFonts w:ascii="Times New Roman" w:hAnsi="Times New Roman" w:cs="Times New Roman"/>
          <w:b/>
          <w:bCs/>
        </w:rPr>
      </w:pPr>
    </w:p>
    <w:p w:rsidR="00345111" w:rsidRPr="00A21347" w:rsidP="00345111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1347" w:rsidR="000A2569">
        <w:rPr>
          <w:rFonts w:ascii="Times New Roman" w:hAnsi="Times New Roman" w:cs="Times New Roman"/>
          <w:b/>
          <w:bCs/>
        </w:rPr>
        <w:t>A.</w:t>
      </w:r>
      <w:r w:rsidRPr="00A21347" w:rsidR="000A2569">
        <w:rPr>
          <w:rFonts w:ascii="Times New Roman" w:hAnsi="Times New Roman" w:cs="Times New Roman"/>
          <w:b/>
          <w:bCs/>
          <w:sz w:val="24"/>
          <w:szCs w:val="24"/>
        </w:rPr>
        <w:t xml:space="preserve">1. Názov materiálu: </w:t>
      </w:r>
      <w:r w:rsidRPr="00A21347">
        <w:rPr>
          <w:rFonts w:ascii="Times New Roman" w:hAnsi="Times New Roman" w:cs="Times New Roman"/>
          <w:sz w:val="24"/>
          <w:szCs w:val="24"/>
        </w:rPr>
        <w:t xml:space="preserve">Návrh zákona, ktorým sa mení a dopĺňa zákon č. 124/2006 Z. z. o bezpečnosti a ochrane zdravia pri práci a o zmene a doplnení niektorých zákonov v znení neskorších predpisov a o zmene a doplnení zákona č. 355/2007 Z. z. o ochrane, podpore a rozvoji verejného zdravia a o zmene a doplnení niektorých zákonov v znení neskorších predpisov </w:t>
      </w:r>
    </w:p>
    <w:p w:rsidR="000A2569" w:rsidRPr="00A21347" w:rsidP="000A2569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569" w:rsidRPr="00A21347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A2569" w:rsidRPr="00A21347" w:rsidP="000A2569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A21347">
        <w:rPr>
          <w:rFonts w:ascii="Times New Roman" w:hAnsi="Times New Roman" w:cs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1347">
              <w:rPr>
                <w:rFonts w:ascii="Times New Roman" w:hAnsi="Times New Roman" w:cs="Times New Roman"/>
              </w:rPr>
              <w:t>Pozitívne</w:t>
            </w:r>
            <w:r w:rsidRPr="00A21347">
              <w:rPr>
                <w:rFonts w:ascii="Times New Roman" w:hAnsi="Times New Roman" w:cs="Times New Roman"/>
                <w:vertAlign w:val="superscript"/>
              </w:rPr>
              <w:t>*</w:t>
            </w:r>
            <w:r w:rsidRPr="00A21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1347">
              <w:rPr>
                <w:rFonts w:ascii="Times New Roman" w:hAnsi="Times New Roman" w:cs="Times New Roman"/>
              </w:rPr>
              <w:t>Žiadne</w:t>
            </w:r>
            <w:r w:rsidRPr="00A21347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1347">
              <w:rPr>
                <w:rFonts w:ascii="Times New Roman" w:hAnsi="Times New Roman" w:cs="Times New Roman"/>
              </w:rPr>
              <w:t>Negatívne</w:t>
            </w:r>
            <w:r w:rsidRPr="00A21347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 w:rsidR="0034511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 w:rsidR="00A742F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4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569" w:rsidRPr="00A21347" w:rsidP="000A2569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569" w:rsidRPr="00A21347" w:rsidP="000A2569">
      <w:pPr>
        <w:pStyle w:val="BodyText"/>
        <w:bidi w:val="0"/>
        <w:jc w:val="both"/>
        <w:rPr>
          <w:b/>
          <w:bCs/>
          <w:u w:val="single"/>
        </w:rPr>
      </w:pPr>
      <w:r w:rsidRPr="00A21347">
        <w:rPr>
          <w:rFonts w:hint="default"/>
          <w:sz w:val="16"/>
          <w:szCs w:val="16"/>
        </w:rPr>
        <w:t>* Predkladateľ</w:t>
      </w:r>
      <w:r w:rsidRPr="00A21347">
        <w:rPr>
          <w:rFonts w:hint="default"/>
          <w:sz w:val="16"/>
          <w:szCs w:val="16"/>
        </w:rPr>
        <w:t xml:space="preserve"> označí</w:t>
      </w:r>
      <w:r w:rsidRPr="00A21347">
        <w:rPr>
          <w:rFonts w:hint="default"/>
          <w:sz w:val="16"/>
          <w:szCs w:val="16"/>
        </w:rPr>
        <w:t xml:space="preserve"> znakom x zodpovedajú</w:t>
      </w:r>
      <w:r w:rsidRPr="00A21347">
        <w:rPr>
          <w:rFonts w:hint="default"/>
          <w:sz w:val="16"/>
          <w:szCs w:val="16"/>
        </w:rPr>
        <w:t>ci vpl</w:t>
      </w:r>
      <w:r w:rsidRPr="00A21347">
        <w:rPr>
          <w:rFonts w:hint="default"/>
          <w:sz w:val="16"/>
          <w:szCs w:val="16"/>
        </w:rPr>
        <w:t>yv (pozití</w:t>
      </w:r>
      <w:r w:rsidRPr="00A21347">
        <w:rPr>
          <w:rFonts w:hint="default"/>
          <w:sz w:val="16"/>
          <w:szCs w:val="16"/>
        </w:rPr>
        <w:t>vny, negatí</w:t>
      </w:r>
      <w:r w:rsidRPr="00A21347">
        <w:rPr>
          <w:rFonts w:hint="default"/>
          <w:sz w:val="16"/>
          <w:szCs w:val="16"/>
        </w:rPr>
        <w:t>vny, ž</w:t>
      </w:r>
      <w:r w:rsidRPr="00A21347">
        <w:rPr>
          <w:rFonts w:hint="default"/>
          <w:sz w:val="16"/>
          <w:szCs w:val="16"/>
        </w:rPr>
        <w:t>iadny), ktorý</w:t>
      </w:r>
      <w:r w:rsidRPr="00A21347">
        <w:rPr>
          <w:rFonts w:hint="default"/>
          <w:sz w:val="16"/>
          <w:szCs w:val="16"/>
        </w:rPr>
        <w:t xml:space="preserve"> ná</w:t>
      </w:r>
      <w:r w:rsidRPr="00A21347">
        <w:rPr>
          <w:rFonts w:hint="default"/>
          <w:sz w:val="16"/>
          <w:szCs w:val="16"/>
        </w:rPr>
        <w:t>vrh prináš</w:t>
      </w:r>
      <w:r w:rsidRPr="00A21347">
        <w:rPr>
          <w:rFonts w:hint="default"/>
          <w:sz w:val="16"/>
          <w:szCs w:val="16"/>
        </w:rPr>
        <w:t>a v </w:t>
      </w:r>
      <w:r w:rsidRPr="00A21347">
        <w:rPr>
          <w:rFonts w:hint="default"/>
          <w:sz w:val="16"/>
          <w:szCs w:val="16"/>
        </w:rPr>
        <w:t>kaž</w:t>
      </w:r>
      <w:r w:rsidRPr="00A21347">
        <w:rPr>
          <w:rFonts w:hint="default"/>
          <w:sz w:val="16"/>
          <w:szCs w:val="16"/>
        </w:rPr>
        <w:t>dej oblasti posudzovania vplyvov. Ná</w:t>
      </w:r>
      <w:r w:rsidRPr="00A21347">
        <w:rPr>
          <w:rFonts w:hint="default"/>
          <w:sz w:val="16"/>
          <w:szCs w:val="16"/>
        </w:rPr>
        <w:t>vrh môž</w:t>
      </w:r>
      <w:r w:rsidRPr="00A21347">
        <w:rPr>
          <w:rFonts w:hint="default"/>
          <w:sz w:val="16"/>
          <w:szCs w:val="16"/>
        </w:rPr>
        <w:t>e mať</w:t>
      </w:r>
      <w:r w:rsidRPr="00A21347">
        <w:rPr>
          <w:rFonts w:hint="default"/>
          <w:sz w:val="16"/>
          <w:szCs w:val="16"/>
        </w:rPr>
        <w:t xml:space="preserve"> v </w:t>
      </w:r>
      <w:r w:rsidRPr="00A21347">
        <w:rPr>
          <w:rFonts w:hint="default"/>
          <w:sz w:val="16"/>
          <w:szCs w:val="16"/>
        </w:rPr>
        <w:t>jednej oblasti zá</w:t>
      </w:r>
      <w:r w:rsidRPr="00A21347">
        <w:rPr>
          <w:rFonts w:hint="default"/>
          <w:sz w:val="16"/>
          <w:szCs w:val="16"/>
        </w:rPr>
        <w:t>roveň</w:t>
      </w:r>
      <w:r w:rsidRPr="00A21347">
        <w:rPr>
          <w:rFonts w:hint="default"/>
          <w:sz w:val="16"/>
          <w:szCs w:val="16"/>
        </w:rPr>
        <w:t xml:space="preserve"> pozití</w:t>
      </w:r>
      <w:r w:rsidRPr="00A21347">
        <w:rPr>
          <w:rFonts w:hint="default"/>
          <w:sz w:val="16"/>
          <w:szCs w:val="16"/>
        </w:rPr>
        <w:t>vny aj negatí</w:t>
      </w:r>
      <w:r w:rsidRPr="00A21347">
        <w:rPr>
          <w:rFonts w:hint="default"/>
          <w:sz w:val="16"/>
          <w:szCs w:val="16"/>
        </w:rPr>
        <w:t>vny vplyv, v </w:t>
      </w:r>
      <w:r w:rsidRPr="00A21347">
        <w:rPr>
          <w:rFonts w:hint="default"/>
          <w:sz w:val="16"/>
          <w:szCs w:val="16"/>
        </w:rPr>
        <w:t>tom prí</w:t>
      </w:r>
      <w:r w:rsidRPr="00A21347">
        <w:rPr>
          <w:rFonts w:hint="default"/>
          <w:sz w:val="16"/>
          <w:szCs w:val="16"/>
        </w:rPr>
        <w:t>pade predkladateľ</w:t>
      </w:r>
      <w:r w:rsidRPr="00A21347">
        <w:rPr>
          <w:rFonts w:hint="default"/>
          <w:sz w:val="16"/>
          <w:szCs w:val="16"/>
        </w:rPr>
        <w:t xml:space="preserve"> označí</w:t>
      </w:r>
      <w:r w:rsidRPr="00A21347">
        <w:rPr>
          <w:rFonts w:hint="default"/>
          <w:sz w:val="16"/>
          <w:szCs w:val="16"/>
        </w:rPr>
        <w:t xml:space="preserve"> obe mož</w:t>
      </w:r>
      <w:r w:rsidRPr="00A21347">
        <w:rPr>
          <w:rFonts w:hint="default"/>
          <w:sz w:val="16"/>
          <w:szCs w:val="16"/>
        </w:rPr>
        <w:t>nosti. Bližš</w:t>
      </w:r>
      <w:r w:rsidRPr="00A21347">
        <w:rPr>
          <w:rFonts w:hint="default"/>
          <w:sz w:val="16"/>
          <w:szCs w:val="16"/>
        </w:rPr>
        <w:t>ie vysvetlenie označ</w:t>
      </w:r>
      <w:r w:rsidRPr="00A21347">
        <w:rPr>
          <w:rFonts w:hint="default"/>
          <w:sz w:val="16"/>
          <w:szCs w:val="16"/>
        </w:rPr>
        <w:t>ený</w:t>
      </w:r>
      <w:r w:rsidRPr="00A21347">
        <w:rPr>
          <w:rFonts w:hint="default"/>
          <w:sz w:val="16"/>
          <w:szCs w:val="16"/>
        </w:rPr>
        <w:t>ch vplyvov bude</w:t>
      </w:r>
      <w:r w:rsidRPr="00A21347">
        <w:rPr>
          <w:rFonts w:hint="default"/>
          <w:sz w:val="16"/>
          <w:szCs w:val="16"/>
        </w:rPr>
        <w:t xml:space="preserve"> </w:t>
      </w:r>
      <w:r w:rsidRPr="00A21347">
        <w:rPr>
          <w:rFonts w:hint="default"/>
          <w:sz w:val="16"/>
          <w:szCs w:val="16"/>
        </w:rPr>
        <w:t>obsahovať</w:t>
      </w:r>
      <w:r w:rsidRPr="00A21347">
        <w:rPr>
          <w:rFonts w:hint="default"/>
          <w:sz w:val="16"/>
          <w:szCs w:val="16"/>
        </w:rPr>
        <w:t xml:space="preserve"> analý</w:t>
      </w:r>
      <w:r w:rsidRPr="00A21347">
        <w:rPr>
          <w:rFonts w:hint="default"/>
          <w:sz w:val="16"/>
          <w:szCs w:val="16"/>
        </w:rPr>
        <w:t>za vplyvov. Isté</w:t>
      </w:r>
      <w:r w:rsidRPr="00A21347">
        <w:rPr>
          <w:rFonts w:hint="default"/>
          <w:sz w:val="16"/>
          <w:szCs w:val="16"/>
        </w:rPr>
        <w:t xml:space="preserve"> vysvetlenie, č</w:t>
      </w:r>
      <w:r w:rsidRPr="00A21347">
        <w:rPr>
          <w:rFonts w:hint="default"/>
          <w:sz w:val="16"/>
          <w:szCs w:val="16"/>
        </w:rPr>
        <w:t>i bilanciu vplyvov (sumá</w:t>
      </w:r>
      <w:r w:rsidRPr="00A21347">
        <w:rPr>
          <w:rFonts w:hint="default"/>
          <w:sz w:val="16"/>
          <w:szCs w:val="16"/>
        </w:rPr>
        <w:t>rne zhodnotenie, ktorý</w:t>
      </w:r>
      <w:r w:rsidRPr="00A21347">
        <w:rPr>
          <w:rFonts w:hint="default"/>
          <w:sz w:val="16"/>
          <w:szCs w:val="16"/>
        </w:rPr>
        <w:t xml:space="preserve"> vplyv v </w:t>
      </w:r>
      <w:r w:rsidRPr="00A21347">
        <w:rPr>
          <w:rFonts w:hint="default"/>
          <w:sz w:val="16"/>
          <w:szCs w:val="16"/>
        </w:rPr>
        <w:t>danej oblasti prevaž</w:t>
      </w:r>
      <w:r w:rsidRPr="00A21347">
        <w:rPr>
          <w:rFonts w:hint="default"/>
          <w:sz w:val="16"/>
          <w:szCs w:val="16"/>
        </w:rPr>
        <w:t>uje) môž</w:t>
      </w:r>
      <w:r w:rsidRPr="00A21347">
        <w:rPr>
          <w:rFonts w:hint="default"/>
          <w:sz w:val="16"/>
          <w:szCs w:val="16"/>
        </w:rPr>
        <w:t>e predkladateľ</w:t>
      </w:r>
      <w:r w:rsidRPr="00A21347">
        <w:rPr>
          <w:rFonts w:hint="default"/>
          <w:sz w:val="16"/>
          <w:szCs w:val="16"/>
        </w:rPr>
        <w:t xml:space="preserve"> uviesť</w:t>
      </w:r>
      <w:r w:rsidRPr="00A21347">
        <w:rPr>
          <w:rFonts w:hint="default"/>
          <w:sz w:val="16"/>
          <w:szCs w:val="16"/>
        </w:rPr>
        <w:t xml:space="preserve"> v </w:t>
      </w:r>
      <w:r w:rsidRPr="00A21347">
        <w:rPr>
          <w:rFonts w:hint="default"/>
          <w:sz w:val="16"/>
          <w:szCs w:val="16"/>
        </w:rPr>
        <w:t>pozná</w:t>
      </w:r>
      <w:r w:rsidRPr="00A21347">
        <w:rPr>
          <w:rFonts w:hint="default"/>
          <w:sz w:val="16"/>
          <w:szCs w:val="16"/>
        </w:rPr>
        <w:t>mke.</w:t>
      </w:r>
    </w:p>
    <w:p w:rsidR="000A2569" w:rsidRPr="00A21347" w:rsidP="000A2569">
      <w:pPr>
        <w:pStyle w:val="BodyText"/>
        <w:bidi w:val="0"/>
        <w:jc w:val="both"/>
        <w:outlineLvl w:val="0"/>
        <w:rPr>
          <w:rFonts w:hint="default"/>
          <w:b/>
          <w:bCs/>
        </w:rPr>
      </w:pPr>
      <w:r w:rsidRPr="00A21347">
        <w:rPr>
          <w:rFonts w:hint="default"/>
          <w:b/>
          <w:bCs/>
        </w:rPr>
        <w:t>A.3. Pozná</w:t>
      </w:r>
      <w:r w:rsidRPr="00A21347">
        <w:rPr>
          <w:rFonts w:hint="default"/>
          <w:b/>
          <w:bCs/>
        </w:rPr>
        <w:t>mky</w:t>
      </w:r>
    </w:p>
    <w:p w:rsidR="00A742FF" w:rsidRPr="00A21347" w:rsidP="000A2569">
      <w:pPr>
        <w:pStyle w:val="BodyText"/>
        <w:bidi w:val="0"/>
        <w:jc w:val="both"/>
        <w:outlineLvl w:val="0"/>
        <w:rPr>
          <w:rFonts w:hint="default"/>
          <w:sz w:val="22"/>
          <w:szCs w:val="22"/>
        </w:rPr>
      </w:pPr>
      <w:r w:rsidRPr="00A21347">
        <w:rPr>
          <w:rFonts w:hint="default"/>
          <w:sz w:val="22"/>
          <w:szCs w:val="22"/>
        </w:rPr>
        <w:t>Vplyvy na rozpoč</w:t>
      </w:r>
      <w:r w:rsidRPr="00A21347">
        <w:rPr>
          <w:rFonts w:hint="default"/>
          <w:sz w:val="22"/>
          <w:szCs w:val="22"/>
        </w:rPr>
        <w:t>et verejnej sprá</w:t>
      </w:r>
      <w:r w:rsidRPr="00A21347">
        <w:rPr>
          <w:rFonts w:hint="default"/>
          <w:sz w:val="22"/>
          <w:szCs w:val="22"/>
        </w:rPr>
        <w:t>vy nie je mož</w:t>
      </w:r>
      <w:r w:rsidRPr="00A21347">
        <w:rPr>
          <w:rFonts w:hint="default"/>
          <w:sz w:val="22"/>
          <w:szCs w:val="22"/>
        </w:rPr>
        <w:t>né</w:t>
      </w:r>
      <w:r w:rsidRPr="00A21347">
        <w:rPr>
          <w:rFonts w:hint="default"/>
          <w:sz w:val="22"/>
          <w:szCs w:val="22"/>
        </w:rPr>
        <w:t xml:space="preserve"> kvantifikovať</w:t>
      </w:r>
      <w:r w:rsidRPr="00A21347">
        <w:rPr>
          <w:rFonts w:hint="default"/>
          <w:sz w:val="22"/>
          <w:szCs w:val="22"/>
        </w:rPr>
        <w:t>, keďž</w:t>
      </w:r>
      <w:r w:rsidRPr="00A21347">
        <w:rPr>
          <w:rFonts w:hint="default"/>
          <w:sz w:val="22"/>
          <w:szCs w:val="22"/>
        </w:rPr>
        <w:t>e nie sú</w:t>
      </w:r>
      <w:r w:rsidRPr="00A21347">
        <w:rPr>
          <w:rFonts w:hint="default"/>
          <w:sz w:val="22"/>
          <w:szCs w:val="22"/>
        </w:rPr>
        <w:t xml:space="preserve"> dos</w:t>
      </w:r>
      <w:r w:rsidRPr="00A21347">
        <w:rPr>
          <w:rFonts w:hint="default"/>
          <w:sz w:val="22"/>
          <w:szCs w:val="22"/>
        </w:rPr>
        <w:t>tupné</w:t>
      </w:r>
      <w:r w:rsidRPr="00A21347">
        <w:rPr>
          <w:rFonts w:hint="default"/>
          <w:sz w:val="22"/>
          <w:szCs w:val="22"/>
        </w:rPr>
        <w:t xml:space="preserve"> vstupné</w:t>
      </w:r>
      <w:r w:rsidRPr="00A21347">
        <w:rPr>
          <w:rFonts w:hint="default"/>
          <w:sz w:val="22"/>
          <w:szCs w:val="22"/>
        </w:rPr>
        <w:t xml:space="preserve"> ú</w:t>
      </w:r>
      <w:r w:rsidRPr="00A21347">
        <w:rPr>
          <w:rFonts w:hint="default"/>
          <w:sz w:val="22"/>
          <w:szCs w:val="22"/>
        </w:rPr>
        <w:t>daje, ktoré</w:t>
      </w:r>
      <w:r w:rsidRPr="00A21347">
        <w:rPr>
          <w:rFonts w:hint="default"/>
          <w:sz w:val="22"/>
          <w:szCs w:val="22"/>
        </w:rPr>
        <w:t xml:space="preserve"> by mali tvoriť</w:t>
      </w:r>
      <w:r w:rsidRPr="00A21347">
        <w:rPr>
          <w:rFonts w:hint="default"/>
          <w:sz w:val="22"/>
          <w:szCs w:val="22"/>
        </w:rPr>
        <w:t xml:space="preserve"> podklad pre vý</w:t>
      </w:r>
      <w:r w:rsidRPr="00A21347">
        <w:rPr>
          <w:rFonts w:hint="default"/>
          <w:sz w:val="22"/>
          <w:szCs w:val="22"/>
        </w:rPr>
        <w:t>poč</w:t>
      </w:r>
      <w:r w:rsidRPr="00A21347">
        <w:rPr>
          <w:rFonts w:hint="default"/>
          <w:sz w:val="22"/>
          <w:szCs w:val="22"/>
        </w:rPr>
        <w:t>et.</w:t>
      </w:r>
    </w:p>
    <w:p w:rsidR="000A2569" w:rsidRPr="00A21347" w:rsidP="000A2569">
      <w:pPr>
        <w:pStyle w:val="BodyText"/>
        <w:bidi w:val="0"/>
        <w:jc w:val="both"/>
        <w:outlineLvl w:val="0"/>
        <w:rPr>
          <w:rFonts w:hint="default"/>
          <w:b/>
          <w:bCs/>
        </w:rPr>
      </w:pPr>
      <w:r w:rsidRPr="00A21347">
        <w:rPr>
          <w:rFonts w:hint="default"/>
          <w:b/>
          <w:bCs/>
        </w:rPr>
        <w:t>A.4. Alternatí</w:t>
      </w:r>
      <w:r w:rsidRPr="00A21347">
        <w:rPr>
          <w:rFonts w:hint="default"/>
          <w:b/>
          <w:bCs/>
        </w:rPr>
        <w:t>vne rieš</w:t>
      </w:r>
      <w:r w:rsidRPr="00A21347">
        <w:rPr>
          <w:rFonts w:hint="default"/>
          <w:b/>
          <w:bCs/>
        </w:rPr>
        <w:t>enia</w:t>
      </w:r>
    </w:p>
    <w:p w:rsidR="000A2569" w:rsidRPr="00A21347" w:rsidP="000A2569">
      <w:pPr>
        <w:pStyle w:val="BodyText"/>
        <w:bidi w:val="0"/>
        <w:jc w:val="both"/>
        <w:rPr>
          <w:b/>
          <w:bCs/>
        </w:rPr>
      </w:pPr>
      <w:r w:rsidRPr="00A21347">
        <w:rPr>
          <w:rFonts w:hint="default"/>
        </w:rPr>
        <w:t>Nepredkladajú</w:t>
      </w:r>
      <w:r w:rsidRPr="00A21347">
        <w:rPr>
          <w:rFonts w:hint="default"/>
        </w:rPr>
        <w:t xml:space="preserve"> sa. </w:t>
      </w:r>
    </w:p>
    <w:p w:rsidR="000A2569" w:rsidRPr="00A21347" w:rsidP="000A2569">
      <w:pPr>
        <w:pStyle w:val="BodyText2"/>
        <w:bidi w:val="0"/>
        <w:spacing w:line="240" w:lineRule="auto"/>
        <w:outlineLvl w:val="0"/>
        <w:rPr>
          <w:b/>
          <w:bCs/>
        </w:rPr>
      </w:pPr>
      <w:r w:rsidRPr="00A21347">
        <w:rPr>
          <w:b/>
          <w:bCs/>
        </w:rPr>
        <w:t xml:space="preserve">A.5. Stanovisko gestorov </w:t>
      </w:r>
    </w:p>
    <w:p w:rsidR="00207304" w:rsidRPr="00A21347">
      <w:pPr>
        <w:bidi w:val="0"/>
        <w:rPr>
          <w:rFonts w:cs="Times New Roman"/>
        </w:rPr>
      </w:pPr>
      <w:r w:rsidRPr="00A21347" w:rsidR="000A2569">
        <w:rPr>
          <w:rFonts w:ascii="Times New Roman" w:hAnsi="Times New Roman" w:cs="Times New Roman"/>
        </w:rPr>
        <w:t xml:space="preserve">Bezpredmetné </w:t>
      </w:r>
    </w:p>
    <w:sectPr>
      <w:pgSz w:w="12240" w:h="15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7965C1"/>
    <w:rsid w:val="000122DD"/>
    <w:rsid w:val="000A2569"/>
    <w:rsid w:val="00207304"/>
    <w:rsid w:val="00345111"/>
    <w:rsid w:val="00397A8D"/>
    <w:rsid w:val="004E18D7"/>
    <w:rsid w:val="00510D8A"/>
    <w:rsid w:val="005527B4"/>
    <w:rsid w:val="005E2159"/>
    <w:rsid w:val="00692624"/>
    <w:rsid w:val="00787D8D"/>
    <w:rsid w:val="007965C1"/>
    <w:rsid w:val="009213A3"/>
    <w:rsid w:val="009A051A"/>
    <w:rsid w:val="00A21347"/>
    <w:rsid w:val="00A43788"/>
    <w:rsid w:val="00A742FF"/>
    <w:rsid w:val="00B073E7"/>
    <w:rsid w:val="00B373C8"/>
    <w:rsid w:val="00BB5226"/>
    <w:rsid w:val="00C6620D"/>
    <w:rsid w:val="00DD48E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0A2569"/>
    <w:pPr>
      <w:spacing w:after="120" w:line="240" w:lineRule="auto"/>
      <w:jc w:val="left"/>
    </w:pPr>
    <w:rPr>
      <w:rFonts w:eastAsia="Calibri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rsid w:val="000A2569"/>
    <w:pPr>
      <w:spacing w:after="120" w:line="480" w:lineRule="auto"/>
      <w:jc w:val="left"/>
    </w:pPr>
    <w:rPr>
      <w:rFonts w:eastAsia="Calibri" w:cs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2569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660</Words>
  <Characters>3767</Characters>
  <Application>Microsoft Office Word</Application>
  <DocSecurity>0</DocSecurity>
  <Lines>0</Lines>
  <Paragraphs>0</Paragraphs>
  <ScaleCrop>false</ScaleCrop>
  <Company>Kancelaria NR SR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Gašparíková, Jarmila</cp:lastModifiedBy>
  <cp:revision>2</cp:revision>
  <cp:lastPrinted>2015-08-26T12:50:00Z</cp:lastPrinted>
  <dcterms:created xsi:type="dcterms:W3CDTF">2015-08-27T11:27:00Z</dcterms:created>
  <dcterms:modified xsi:type="dcterms:W3CDTF">2015-08-27T11:27:00Z</dcterms:modified>
</cp:coreProperties>
</file>