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B01E1" w:rsidP="00BB01E1">
      <w:pPr>
        <w:widowControl/>
        <w:bidi w:val="0"/>
        <w:jc w:val="both"/>
        <w:rPr>
          <w:rFonts w:ascii="Times New Roman" w:hAnsi="Times New Roman"/>
          <w:sz w:val="16"/>
        </w:rPr>
      </w:pPr>
    </w:p>
    <w:p w:rsidR="004228FD">
      <w:pPr>
        <w:bidi w:val="0"/>
        <w:rPr>
          <w:rFonts w:ascii="Times New Roman" w:hAnsi="Times New Roman"/>
        </w:rPr>
      </w:pPr>
    </w:p>
    <w:p w:rsidR="00DF3829" w:rsidRPr="00DA6E01" w:rsidP="00DF3829">
      <w:pPr>
        <w:bidi w:val="0"/>
        <w:jc w:val="center"/>
        <w:rPr>
          <w:rFonts w:ascii="Times New Roman" w:hAnsi="Times New Roman"/>
          <w:b/>
        </w:rPr>
      </w:pPr>
      <w:r w:rsidRPr="00DA6E01">
        <w:rPr>
          <w:rFonts w:ascii="Times New Roman" w:hAnsi="Times New Roman"/>
          <w:b/>
        </w:rPr>
        <w:t>DOLOŽKA ZLUČITEĽNOSTI</w:t>
      </w:r>
    </w:p>
    <w:p w:rsidR="00DF3829" w:rsidRPr="00DA6E01" w:rsidP="00DF3829">
      <w:pPr>
        <w:bidi w:val="0"/>
        <w:jc w:val="center"/>
        <w:rPr>
          <w:rFonts w:ascii="Times New Roman" w:hAnsi="Times New Roman"/>
          <w:b/>
        </w:rPr>
      </w:pPr>
      <w:r w:rsidRPr="00DA6E01">
        <w:rPr>
          <w:rFonts w:ascii="Times New Roman" w:hAnsi="Times New Roman"/>
          <w:b/>
        </w:rPr>
        <w:t>návrhu zákona s právom Európskej únie</w:t>
      </w:r>
    </w:p>
    <w:p w:rsidR="00DF3829" w:rsidRPr="00DA6E01" w:rsidP="00DF3829">
      <w:pPr>
        <w:bidi w:val="0"/>
        <w:rPr>
          <w:rFonts w:ascii="Times New Roman" w:hAnsi="Times New Roman"/>
        </w:rPr>
      </w:pPr>
    </w:p>
    <w:p w:rsidR="00DF3829" w:rsidP="00DF3829">
      <w:pPr>
        <w:pStyle w:val="ListParagraph"/>
        <w:numPr>
          <w:numId w:val="5"/>
        </w:numPr>
        <w:bidi w:val="0"/>
        <w:jc w:val="both"/>
        <w:rPr>
          <w:rFonts w:ascii="Times New Roman" w:hAnsi="Times New Roman" w:cs="Times New Roman"/>
        </w:rPr>
      </w:pPr>
      <w:r w:rsidRPr="00DA6E01">
        <w:rPr>
          <w:rFonts w:ascii="Times New Roman" w:hAnsi="Times New Roman" w:cs="Times New Roman"/>
          <w:b/>
        </w:rPr>
        <w:t>Navrhovateľ zákona</w:t>
      </w:r>
      <w:r>
        <w:rPr>
          <w:rFonts w:ascii="Times New Roman" w:hAnsi="Times New Roman" w:cs="Times New Roman"/>
        </w:rPr>
        <w:t>: poslan</w:t>
      </w:r>
      <w:r w:rsidRPr="00DA6E01">
        <w:rPr>
          <w:rFonts w:ascii="Times New Roman" w:hAnsi="Times New Roman" w:cs="Times New Roman"/>
        </w:rPr>
        <w:t>c</w:t>
      </w:r>
      <w:r>
        <w:rPr>
          <w:rFonts w:ascii="Times New Roman" w:hAnsi="Times New Roman" w:cs="Times New Roman"/>
        </w:rPr>
        <w:t>i</w:t>
      </w:r>
      <w:r w:rsidRPr="00DA6E01">
        <w:rPr>
          <w:rFonts w:ascii="Times New Roman" w:hAnsi="Times New Roman" w:cs="Times New Roman"/>
        </w:rPr>
        <w:t xml:space="preserve"> Národnej rady Slovenskej republiky </w:t>
      </w:r>
    </w:p>
    <w:p w:rsidR="00DF3829" w:rsidP="00DF3829">
      <w:pPr>
        <w:pStyle w:val="ListParagraph"/>
        <w:bidi w:val="0"/>
        <w:jc w:val="both"/>
        <w:rPr>
          <w:rFonts w:ascii="Times New Roman" w:hAnsi="Times New Roman" w:cs="Times New Roman"/>
        </w:rPr>
      </w:pPr>
    </w:p>
    <w:p w:rsidR="00DF3829" w:rsidRPr="003A6E41" w:rsidP="003A6E41">
      <w:pPr>
        <w:pStyle w:val="ListParagraph"/>
        <w:numPr>
          <w:numId w:val="5"/>
        </w:numPr>
        <w:bidi w:val="0"/>
        <w:jc w:val="both"/>
        <w:rPr>
          <w:rFonts w:ascii="Times New Roman" w:hAnsi="Times New Roman" w:cs="Times New Roman"/>
          <w:color w:val="000000"/>
        </w:rPr>
      </w:pPr>
      <w:r w:rsidRPr="00C33356">
        <w:rPr>
          <w:rFonts w:ascii="Times New Roman" w:hAnsi="Times New Roman" w:cs="Times New Roman"/>
          <w:b/>
        </w:rPr>
        <w:t>Názov návrhu zákona</w:t>
      </w:r>
      <w:r w:rsidRPr="00C33356">
        <w:rPr>
          <w:rFonts w:ascii="Times New Roman" w:hAnsi="Times New Roman" w:cs="Times New Roman"/>
        </w:rPr>
        <w:t xml:space="preserve">: Zákon, </w:t>
      </w:r>
      <w:r w:rsidRPr="00C33356">
        <w:rPr>
          <w:rFonts w:ascii="Times New Roman" w:hAnsi="Times New Roman"/>
        </w:rPr>
        <w:t>o trestnej zodpovednosti právnických osôb a o zmene a doplnení niektorých zákonov</w:t>
      </w:r>
    </w:p>
    <w:p w:rsidR="00DF3829" w:rsidRPr="00C33356" w:rsidP="00DF3829">
      <w:pPr>
        <w:pStyle w:val="ListParagraph"/>
        <w:bidi w:val="0"/>
        <w:jc w:val="both"/>
        <w:rPr>
          <w:rFonts w:ascii="Times New Roman" w:hAnsi="Times New Roman" w:cs="Times New Roman"/>
          <w:color w:val="000000"/>
        </w:rPr>
      </w:pPr>
    </w:p>
    <w:p w:rsidR="00DF3829" w:rsidRPr="00DD30DA" w:rsidP="00DF3829">
      <w:pPr>
        <w:pStyle w:val="ListParagraph"/>
        <w:numPr>
          <w:numId w:val="5"/>
        </w:numPr>
        <w:bidi w:val="0"/>
        <w:jc w:val="both"/>
        <w:rPr>
          <w:rFonts w:ascii="Times New Roman" w:hAnsi="Times New Roman" w:cs="Times New Roman"/>
        </w:rPr>
      </w:pPr>
      <w:r w:rsidRPr="00DA6E01">
        <w:rPr>
          <w:rFonts w:ascii="Times New Roman" w:hAnsi="Times New Roman" w:cs="Times New Roman"/>
          <w:color w:val="000000"/>
        </w:rPr>
        <w:t> </w:t>
      </w:r>
      <w:r w:rsidRPr="00DA6E01">
        <w:rPr>
          <w:rFonts w:ascii="Times New Roman" w:hAnsi="Times New Roman" w:cs="Times New Roman"/>
          <w:b/>
          <w:bCs/>
          <w:color w:val="000000"/>
        </w:rPr>
        <w:t>Problematika návrhu zákona:</w:t>
      </w:r>
    </w:p>
    <w:p w:rsidR="00DF3829" w:rsidP="00DF3829">
      <w:pPr>
        <w:pStyle w:val="List"/>
        <w:widowControl/>
        <w:bidi w:val="0"/>
        <w:ind w:left="0" w:firstLine="0"/>
        <w:jc w:val="both"/>
        <w:rPr>
          <w:rFonts w:ascii="Times New Roman" w:hAnsi="Times New Roman"/>
          <w:szCs w:val="24"/>
        </w:rPr>
      </w:pPr>
    </w:p>
    <w:p w:rsidR="00DF3829" w:rsidP="00DF3829">
      <w:pPr>
        <w:pStyle w:val="List"/>
        <w:widowControl/>
        <w:bidi w:val="0"/>
        <w:ind w:left="708" w:firstLine="0"/>
        <w:jc w:val="both"/>
        <w:rPr>
          <w:rFonts w:ascii="Times New Roman" w:hAnsi="Times New Roman"/>
        </w:rPr>
      </w:pPr>
      <w:r>
        <w:rPr>
          <w:rFonts w:ascii="Times New Roman" w:hAnsi="Times New Roman"/>
          <w:b/>
        </w:rPr>
        <w:t xml:space="preserve">Záväzky Slovenskej republiky vo vzťahu k Európskym spoločenstvám a Európskej únii: </w:t>
      </w:r>
      <w:r>
        <w:rPr>
          <w:rFonts w:ascii="Times New Roman" w:hAnsi="Times New Roman"/>
        </w:rPr>
        <w:t>zo Zmluvy o pristúpení Slovenskej republiky k Európskej únii, z Aktu o podmienkach pristúpenia SR k EÚ Slovenskej republike ako členskému štátu Európskej únie vyplývajú z členstva v EÚ záväzky, ktoré si plní aj transponovaním dotknutých rámcových rozhodnutí do slovenského právneho poriadku. Z materiálov o určení gestorstva ministerstiev a ostatných ústredných orgánov štátnej správy Slovenskej republiky zodpovedných za transpozíciu smerníc a rámcových rozhodnutí do slovenského práva vyplýva povinnosť Ministerstva spravodlivosti Slovenskej republiky predložiť právnu úpravu o trestnej zodpovednosti právnických osôb. Návrh zákona nie je súčasťou Plánu legislatívnych úloh vlády SR na rok 2006, keďže trestná zodpovednosť právnických osôb bola súčasťou nových trestných kódexov, ktoré boli predkladané do legislatívneho procesu na základe Plánu legislatívnych úloh vlády SR na rok 2004.</w:t>
      </w:r>
    </w:p>
    <w:p w:rsidR="00DF3829" w:rsidP="00DF3829">
      <w:pPr>
        <w:pStyle w:val="List"/>
        <w:widowControl/>
        <w:bidi w:val="0"/>
        <w:ind w:firstLine="0"/>
        <w:jc w:val="both"/>
        <w:rPr>
          <w:rFonts w:ascii="Times New Roman" w:hAnsi="Times New Roman"/>
        </w:rPr>
      </w:pPr>
    </w:p>
    <w:p w:rsidR="00DF3829" w:rsidP="00DF3829">
      <w:pPr>
        <w:pStyle w:val="List"/>
        <w:widowControl/>
        <w:bidi w:val="0"/>
        <w:ind w:firstLine="0"/>
        <w:jc w:val="both"/>
        <w:rPr>
          <w:rFonts w:ascii="Times New Roman" w:hAnsi="Times New Roman"/>
        </w:rPr>
      </w:pPr>
    </w:p>
    <w:p w:rsidR="00DF3829" w:rsidP="003A6E41">
      <w:pPr>
        <w:pStyle w:val="List"/>
        <w:widowControl/>
        <w:numPr>
          <w:numId w:val="5"/>
        </w:numPr>
        <w:bidi w:val="0"/>
        <w:jc w:val="both"/>
        <w:rPr>
          <w:rFonts w:ascii="Times New Roman" w:hAnsi="Times New Roman"/>
          <w:b/>
        </w:rPr>
      </w:pPr>
      <w:r>
        <w:rPr>
          <w:rFonts w:ascii="Times New Roman" w:hAnsi="Times New Roman"/>
          <w:b/>
        </w:rPr>
        <w:t>Problematika návrhu právneho predpisu:</w:t>
      </w:r>
    </w:p>
    <w:p w:rsidR="003A6E41" w:rsidRPr="003A6E41" w:rsidP="003A6E41">
      <w:pPr>
        <w:pStyle w:val="ListParagraph"/>
        <w:bidi w:val="0"/>
        <w:rPr>
          <w:rFonts w:ascii="Times New Roman" w:hAnsi="Times New Roman"/>
          <w:color w:val="000000"/>
        </w:rPr>
      </w:pPr>
      <w:r w:rsidRPr="003A6E41">
        <w:rPr>
          <w:rFonts w:ascii="Times New Roman" w:hAnsi="Times New Roman"/>
          <w:color w:val="000000"/>
        </w:rPr>
        <w:t>a) nie je upravená v práve Európskych spoločenstiev,</w:t>
      </w:r>
    </w:p>
    <w:p w:rsidR="003A6E41" w:rsidP="003A6E41">
      <w:pPr>
        <w:pStyle w:val="List"/>
        <w:widowControl/>
        <w:bidi w:val="0"/>
        <w:jc w:val="both"/>
        <w:rPr>
          <w:rFonts w:ascii="Times New Roman" w:hAnsi="Times New Roman"/>
          <w:b/>
        </w:rPr>
      </w:pPr>
    </w:p>
    <w:p w:rsidR="00DF3829" w:rsidP="00DF3829">
      <w:pPr>
        <w:pStyle w:val="List"/>
        <w:widowControl/>
        <w:tabs>
          <w:tab w:val="left" w:pos="360"/>
        </w:tabs>
        <w:bidi w:val="0"/>
        <w:ind w:left="0" w:firstLine="0"/>
        <w:jc w:val="both"/>
        <w:rPr>
          <w:rFonts w:ascii="Times New Roman" w:hAnsi="Times New Roman"/>
        </w:rPr>
      </w:pPr>
      <w:r>
        <w:rPr>
          <w:rFonts w:ascii="Times New Roman" w:hAnsi="Times New Roman"/>
        </w:rPr>
        <w:tab/>
        <w:tab/>
        <w:t xml:space="preserve">a)je upravená v práve Európskej únie, a to v dokumentoch: </w:t>
      </w:r>
    </w:p>
    <w:p w:rsidR="00DF3829" w:rsidP="00DF3829">
      <w:pPr>
        <w:pStyle w:val="List"/>
        <w:widowControl/>
        <w:tabs>
          <w:tab w:val="left" w:pos="360"/>
        </w:tabs>
        <w:bidi w:val="0"/>
        <w:ind w:left="0" w:firstLine="0"/>
        <w:jc w:val="both"/>
        <w:rPr>
          <w:rFonts w:ascii="Times New Roman" w:hAnsi="Times New Roman"/>
        </w:rPr>
      </w:pPr>
    </w:p>
    <w:p w:rsidR="00DF3829" w:rsidP="00DF3829">
      <w:pPr>
        <w:pStyle w:val="ListBullet2"/>
        <w:widowControl/>
        <w:numPr>
          <w:ilvl w:val="1"/>
          <w:numId w:val="1"/>
        </w:numPr>
        <w:tabs>
          <w:tab w:val="left" w:pos="612"/>
        </w:tabs>
        <w:bidi w:val="0"/>
        <w:rPr>
          <w:rFonts w:ascii="Times New Roman" w:hAnsi="Times New Roman"/>
        </w:rPr>
      </w:pPr>
      <w:r>
        <w:rPr>
          <w:rFonts w:ascii="Times New Roman" w:hAnsi="Times New Roman"/>
        </w:rPr>
        <w:t>hlava VI Zmluvy o Európskej únii – „Ustanovenia o policajnej a justičnej spolupráci“,</w:t>
      </w:r>
    </w:p>
    <w:p w:rsidR="00DF3829" w:rsidP="00DF3829">
      <w:pPr>
        <w:pStyle w:val="ListBullet2"/>
        <w:widowControl/>
        <w:numPr>
          <w:ilvl w:val="1"/>
          <w:numId w:val="1"/>
        </w:numPr>
        <w:tabs>
          <w:tab w:val="left" w:pos="612"/>
        </w:tabs>
        <w:bidi w:val="0"/>
        <w:rPr>
          <w:rFonts w:ascii="Times New Roman" w:hAnsi="Times New Roman"/>
        </w:rPr>
      </w:pPr>
      <w:r>
        <w:rPr>
          <w:rFonts w:ascii="Times New Roman" w:hAnsi="Times New Roman"/>
        </w:rPr>
        <w:t>Zmluva o pristúpení k Európskej únii,</w:t>
      </w:r>
    </w:p>
    <w:p w:rsidR="00DF3829" w:rsidP="00DF3829">
      <w:pPr>
        <w:pStyle w:val="ListBullet2"/>
        <w:widowControl/>
        <w:numPr>
          <w:ilvl w:val="1"/>
          <w:numId w:val="1"/>
        </w:numPr>
        <w:tabs>
          <w:tab w:val="left" w:pos="612"/>
        </w:tabs>
        <w:bidi w:val="0"/>
        <w:rPr>
          <w:rFonts w:ascii="Times New Roman" w:hAnsi="Times New Roman"/>
        </w:rPr>
      </w:pPr>
      <w:r>
        <w:rPr>
          <w:rFonts w:ascii="Times New Roman" w:hAnsi="Times New Roman"/>
        </w:rPr>
        <w:t xml:space="preserve">Spoločné stanovisko zo 6.10.1997 ako ho definovala Rada na základe článku K3 Zmluvy o EÚ k rokovaniam v Rade Európy a OECD týkajúcim sa korupcie, Druhé spoločné stanovisko z 13.11.1997, </w:t>
      </w:r>
    </w:p>
    <w:p w:rsidR="00DF3829" w:rsidP="00DF3829">
      <w:pPr>
        <w:pStyle w:val="ListBullet2"/>
        <w:widowControl/>
        <w:numPr>
          <w:ilvl w:val="1"/>
          <w:numId w:val="1"/>
        </w:numPr>
        <w:tabs>
          <w:tab w:val="left" w:pos="612"/>
        </w:tabs>
        <w:bidi w:val="0"/>
        <w:rPr>
          <w:rFonts w:ascii="Times New Roman" w:hAnsi="Times New Roman"/>
        </w:rPr>
      </w:pPr>
      <w:r>
        <w:rPr>
          <w:rFonts w:ascii="Times New Roman" w:hAnsi="Times New Roman"/>
        </w:rPr>
        <w:t>Rezolúcia Rady z 20.9.1996 o ukladaní trestov za závažný nezákonný obchod s drogami,</w:t>
      </w:r>
    </w:p>
    <w:p w:rsidR="00DF3829" w:rsidP="00DF3829">
      <w:pPr>
        <w:pStyle w:val="ListBullet2"/>
        <w:widowControl/>
        <w:numPr>
          <w:ilvl w:val="1"/>
          <w:numId w:val="1"/>
        </w:numPr>
        <w:tabs>
          <w:tab w:val="left" w:pos="612"/>
        </w:tabs>
        <w:bidi w:val="0"/>
        <w:rPr>
          <w:rFonts w:ascii="Times New Roman" w:hAnsi="Times New Roman"/>
        </w:rPr>
      </w:pPr>
      <w:r>
        <w:rPr>
          <w:rFonts w:ascii="Times New Roman" w:hAnsi="Times New Roman"/>
        </w:rPr>
        <w:t xml:space="preserve">Spoločný postup zo 17.12.1996 schválený Radou EÚ na základe článku K3 Zmluvy o EÚ týkajúci sa aproximácie zákonov a praxe v členských štátoch EÚ na boj proti drogovej závislosti a na prevenciu a boj proti nezákonnému obchodu s drogami, </w:t>
      </w:r>
    </w:p>
    <w:p w:rsidR="00DF3829" w:rsidP="00DF3829">
      <w:pPr>
        <w:pStyle w:val="ListBullet2"/>
        <w:widowControl/>
        <w:numPr>
          <w:ilvl w:val="1"/>
          <w:numId w:val="1"/>
        </w:numPr>
        <w:tabs>
          <w:tab w:val="left" w:pos="612"/>
        </w:tabs>
        <w:bidi w:val="0"/>
        <w:rPr>
          <w:rFonts w:ascii="Times New Roman" w:hAnsi="Times New Roman"/>
        </w:rPr>
      </w:pPr>
      <w:r>
        <w:rPr>
          <w:rFonts w:ascii="Times New Roman" w:hAnsi="Times New Roman"/>
        </w:rPr>
        <w:t>Dohovor z 25.6.1997 na základe čl. K3 Zmluvy o EÚ o boji proti úplatkárstvu, na ktorom sa podieľajú úradníci ES alebo členských štátov EÚ,</w:t>
      </w:r>
    </w:p>
    <w:p w:rsidR="00DF3829" w:rsidP="00DF3829">
      <w:pPr>
        <w:pStyle w:val="ListBullet2"/>
        <w:widowControl/>
        <w:numPr>
          <w:ilvl w:val="1"/>
          <w:numId w:val="1"/>
        </w:numPr>
        <w:tabs>
          <w:tab w:val="left" w:pos="612"/>
        </w:tabs>
        <w:bidi w:val="0"/>
        <w:rPr>
          <w:rFonts w:ascii="Times New Roman" w:hAnsi="Times New Roman"/>
        </w:rPr>
      </w:pPr>
      <w:r>
        <w:rPr>
          <w:rFonts w:ascii="Times New Roman" w:hAnsi="Times New Roman"/>
        </w:rPr>
        <w:t xml:space="preserve">Dohovor vypracovaný na základe článku K.3 Zmluvy o Európskej únii o ochrane finančných záujmov Európskych spoločenstiev z 27.11.1995, </w:t>
      </w:r>
    </w:p>
    <w:p w:rsidR="00DF3829" w:rsidP="00DF3829">
      <w:pPr>
        <w:pStyle w:val="ListBullet2"/>
        <w:widowControl/>
        <w:numPr>
          <w:ilvl w:val="1"/>
          <w:numId w:val="1"/>
        </w:numPr>
        <w:tabs>
          <w:tab w:val="left" w:pos="612"/>
        </w:tabs>
        <w:bidi w:val="0"/>
        <w:rPr>
          <w:rFonts w:ascii="Times New Roman" w:hAnsi="Times New Roman"/>
        </w:rPr>
      </w:pPr>
      <w:r>
        <w:rPr>
          <w:rFonts w:ascii="Times New Roman" w:hAnsi="Times New Roman"/>
        </w:rPr>
        <w:t xml:space="preserve">Jednotná akcia 98/733/SVV z 21.decembra 1998 prijatá Radou na základe článku K.3 Zmluvy o Európskej únii, ktorou sa stanovuje, že účasť v zločineckej organizácii je v členských štátoch Európskej únie trestným činom, </w:t>
      </w:r>
    </w:p>
    <w:p w:rsidR="00DF3829" w:rsidP="00DF3829">
      <w:pPr>
        <w:pStyle w:val="ListBullet2"/>
        <w:widowControl/>
        <w:numPr>
          <w:ilvl w:val="1"/>
          <w:numId w:val="1"/>
        </w:numPr>
        <w:tabs>
          <w:tab w:val="left" w:pos="612"/>
        </w:tabs>
        <w:bidi w:val="0"/>
        <w:rPr>
          <w:rFonts w:ascii="Times New Roman" w:hAnsi="Times New Roman"/>
        </w:rPr>
      </w:pPr>
      <w:r>
        <w:rPr>
          <w:rFonts w:ascii="Times New Roman" w:hAnsi="Times New Roman"/>
        </w:rPr>
        <w:t xml:space="preserve">Rámcové rozhodnutie Rady z 29.5.2000 o zvýšení ochrany trestnými postihmi a inými sankciami proti falšovaniu v súvislosti so zavedením eura, </w:t>
      </w:r>
    </w:p>
    <w:p w:rsidR="00DF3829" w:rsidP="00DF3829">
      <w:pPr>
        <w:pStyle w:val="ListBullet2"/>
        <w:widowControl/>
        <w:numPr>
          <w:ilvl w:val="1"/>
          <w:numId w:val="1"/>
        </w:numPr>
        <w:tabs>
          <w:tab w:val="left" w:pos="612"/>
        </w:tabs>
        <w:bidi w:val="0"/>
        <w:rPr>
          <w:rFonts w:ascii="Times New Roman" w:hAnsi="Times New Roman"/>
        </w:rPr>
      </w:pPr>
      <w:r>
        <w:rPr>
          <w:rFonts w:ascii="Times New Roman" w:hAnsi="Times New Roman"/>
        </w:rPr>
        <w:t>Rezolúcia Rady z 20.12.1996 o jednotlivcoch, ktorí spolupracujú so súdnym konaním v boji proti medzinárodnému organizovanému zločinu,</w:t>
      </w:r>
    </w:p>
    <w:p w:rsidR="00DF3829" w:rsidP="00DF3829">
      <w:pPr>
        <w:pStyle w:val="ListBullet2"/>
        <w:widowControl/>
        <w:numPr>
          <w:ilvl w:val="1"/>
          <w:numId w:val="1"/>
        </w:numPr>
        <w:tabs>
          <w:tab w:val="left" w:pos="612"/>
        </w:tabs>
        <w:bidi w:val="0"/>
        <w:rPr>
          <w:rFonts w:ascii="Times New Roman" w:hAnsi="Times New Roman"/>
        </w:rPr>
      </w:pPr>
      <w:r>
        <w:rPr>
          <w:rFonts w:ascii="Times New Roman" w:hAnsi="Times New Roman"/>
        </w:rPr>
        <w:t>Rámcové rozhodnutie Rady z 13.6.2002 o boji proti terorizmu,</w:t>
      </w:r>
    </w:p>
    <w:p w:rsidR="00DF3829" w:rsidP="00DF3829">
      <w:pPr>
        <w:pStyle w:val="ListBullet2"/>
        <w:widowControl/>
        <w:numPr>
          <w:ilvl w:val="1"/>
          <w:numId w:val="1"/>
        </w:numPr>
        <w:tabs>
          <w:tab w:val="left" w:pos="612"/>
        </w:tabs>
        <w:bidi w:val="0"/>
        <w:rPr>
          <w:rFonts w:ascii="Times New Roman" w:hAnsi="Times New Roman"/>
          <w:b/>
        </w:rPr>
      </w:pPr>
      <w:r>
        <w:rPr>
          <w:rFonts w:ascii="Times New Roman" w:hAnsi="Times New Roman"/>
        </w:rPr>
        <w:t>Rámcové rozhodnutie Rady z 19.7.2002 o boji proti obchodovaniu s ľuďmi,</w:t>
      </w:r>
    </w:p>
    <w:p w:rsidR="00DF3829" w:rsidP="00DF3829">
      <w:pPr>
        <w:pStyle w:val="ListBullet2"/>
        <w:widowControl/>
        <w:numPr>
          <w:ilvl w:val="1"/>
          <w:numId w:val="1"/>
        </w:numPr>
        <w:tabs>
          <w:tab w:val="left" w:pos="612"/>
        </w:tabs>
        <w:bidi w:val="0"/>
        <w:rPr>
          <w:rFonts w:ascii="Times New Roman" w:hAnsi="Times New Roman"/>
        </w:rPr>
      </w:pPr>
      <w:r>
        <w:rPr>
          <w:rFonts w:ascii="Times New Roman" w:hAnsi="Times New Roman"/>
        </w:rPr>
        <w:t>Rámcové rozhodnutie Rady z 28.5.2001 o boji proti podvodom a falšovaniu bezhotovostných platobných prostriedkov,</w:t>
      </w:r>
    </w:p>
    <w:p w:rsidR="00DF3829" w:rsidP="00DF3829">
      <w:pPr>
        <w:pStyle w:val="ListBullet2"/>
        <w:widowControl/>
        <w:numPr>
          <w:ilvl w:val="1"/>
          <w:numId w:val="1"/>
        </w:numPr>
        <w:tabs>
          <w:tab w:val="left" w:pos="612"/>
        </w:tabs>
        <w:bidi w:val="0"/>
        <w:rPr>
          <w:rFonts w:ascii="Times New Roman" w:hAnsi="Times New Roman"/>
        </w:rPr>
      </w:pPr>
      <w:r>
        <w:rPr>
          <w:rFonts w:ascii="Times New Roman" w:hAnsi="Times New Roman"/>
        </w:rPr>
        <w:t>Spoločné opatrenie z 15.7.1996 schválené Radou na základe článku K.3 Zmluvy o Európskej únii týkajúce sa postupu na boj proti rasizmu a xenofóbii,</w:t>
      </w:r>
    </w:p>
    <w:p w:rsidR="00DF3829" w:rsidP="00DF3829">
      <w:pPr>
        <w:pStyle w:val="ListBullet2"/>
        <w:widowControl/>
        <w:numPr>
          <w:ilvl w:val="1"/>
          <w:numId w:val="1"/>
        </w:numPr>
        <w:tabs>
          <w:tab w:val="left" w:pos="612"/>
        </w:tabs>
        <w:bidi w:val="0"/>
        <w:rPr>
          <w:rFonts w:ascii="Times New Roman" w:hAnsi="Times New Roman"/>
        </w:rPr>
      </w:pPr>
      <w:r>
        <w:rPr>
          <w:rFonts w:ascii="Times New Roman" w:hAnsi="Times New Roman"/>
        </w:rPr>
        <w:t>Rámcové rozhodnutie Rady z 28.11.2002 o posilnení trestného systému na zabránenie napomáhaniu neoprávneného vstupu, tranzitu a bydliska,</w:t>
      </w:r>
    </w:p>
    <w:p w:rsidR="00DF3829" w:rsidP="00DF3829">
      <w:pPr>
        <w:pStyle w:val="ListBullet2"/>
        <w:widowControl/>
        <w:numPr>
          <w:ilvl w:val="1"/>
          <w:numId w:val="1"/>
        </w:numPr>
        <w:tabs>
          <w:tab w:val="left" w:pos="612"/>
        </w:tabs>
        <w:bidi w:val="0"/>
        <w:rPr>
          <w:rFonts w:ascii="Times New Roman" w:hAnsi="Times New Roman"/>
        </w:rPr>
      </w:pPr>
      <w:r>
        <w:rPr>
          <w:rFonts w:ascii="Times New Roman" w:hAnsi="Times New Roman"/>
        </w:rPr>
        <w:t>Rámcové rozhodnutie Rady z 22.7.2003 o boji proti korupcii v súkromnom sektore,</w:t>
      </w:r>
    </w:p>
    <w:p w:rsidR="00DF3829" w:rsidP="00DF3829">
      <w:pPr>
        <w:pStyle w:val="ListBullet2"/>
        <w:widowControl/>
        <w:numPr>
          <w:ilvl w:val="1"/>
          <w:numId w:val="1"/>
        </w:numPr>
        <w:tabs>
          <w:tab w:val="left" w:pos="612"/>
        </w:tabs>
        <w:bidi w:val="0"/>
        <w:rPr>
          <w:rFonts w:ascii="Times New Roman" w:hAnsi="Times New Roman"/>
        </w:rPr>
      </w:pPr>
      <w:r>
        <w:rPr>
          <w:rFonts w:ascii="Times New Roman" w:hAnsi="Times New Roman"/>
        </w:rPr>
        <w:t>Rámcové rozhodnutie Rady z 22.12.2003 o boji proti sexuálnemu zneužívaniu detí a detskej pornografii,</w:t>
      </w:r>
    </w:p>
    <w:p w:rsidR="00DF3829" w:rsidP="00DF3829">
      <w:pPr>
        <w:pStyle w:val="ListBullet2"/>
        <w:widowControl/>
        <w:numPr>
          <w:ilvl w:val="1"/>
          <w:numId w:val="1"/>
        </w:numPr>
        <w:tabs>
          <w:tab w:val="left" w:pos="612"/>
        </w:tabs>
        <w:bidi w:val="0"/>
        <w:rPr>
          <w:rFonts w:ascii="Times New Roman" w:hAnsi="Times New Roman"/>
        </w:rPr>
      </w:pPr>
      <w:r>
        <w:rPr>
          <w:rFonts w:ascii="Times New Roman" w:hAnsi="Times New Roman"/>
        </w:rPr>
        <w:t>Rámcové rozhodnutie Rady z 25.10.2004 o stanovení minimálnych ustanovení znakov skutkových podstát trestných činov a trestov v oblasti nezákonného obchodu s drogami.</w:t>
      </w:r>
    </w:p>
    <w:p w:rsidR="00DF3829" w:rsidP="00DF3829">
      <w:pPr>
        <w:pStyle w:val="List"/>
        <w:widowControl/>
        <w:bidi w:val="0"/>
        <w:jc w:val="both"/>
        <w:rPr>
          <w:rFonts w:ascii="Times New Roman" w:hAnsi="Times New Roman"/>
        </w:rPr>
      </w:pPr>
      <w:r>
        <w:rPr>
          <w:rFonts w:ascii="Times New Roman" w:hAnsi="Times New Roman"/>
          <w:b/>
        </w:rPr>
        <w:t xml:space="preserve">    -     </w:t>
      </w:r>
      <w:r>
        <w:rPr>
          <w:rFonts w:ascii="Times New Roman" w:hAnsi="Times New Roman"/>
        </w:rPr>
        <w:t>Rámcové rozhodnutie Rady z 24.februára 2005 o útokoch na informačné systémy.</w:t>
      </w:r>
    </w:p>
    <w:p w:rsidR="00DF3829" w:rsidP="00DF3829">
      <w:pPr>
        <w:pStyle w:val="List"/>
        <w:widowControl/>
        <w:bidi w:val="0"/>
        <w:jc w:val="both"/>
        <w:rPr>
          <w:rFonts w:ascii="Times New Roman" w:hAnsi="Times New Roman"/>
          <w:b/>
        </w:rPr>
      </w:pPr>
    </w:p>
    <w:p w:rsidR="00DF3829" w:rsidRPr="00DA6E01" w:rsidP="00DF3829">
      <w:pPr>
        <w:pStyle w:val="ListParagraph"/>
        <w:bidi w:val="0"/>
        <w:jc w:val="both"/>
        <w:rPr>
          <w:rFonts w:ascii="Times New Roman" w:hAnsi="Times New Roman" w:cs="Times New Roman"/>
          <w:color w:val="000000"/>
        </w:rPr>
      </w:pPr>
      <w:r>
        <w:rPr>
          <w:rFonts w:ascii="Times New Roman" w:hAnsi="Times New Roman" w:cs="Times New Roman"/>
          <w:color w:val="000000"/>
        </w:rPr>
        <w:t xml:space="preserve">c) </w:t>
      </w:r>
      <w:r w:rsidRPr="00DA6E01">
        <w:rPr>
          <w:rFonts w:ascii="Times New Roman" w:hAnsi="Times New Roman" w:cs="Times New Roman"/>
          <w:color w:val="000000"/>
        </w:rPr>
        <w:t xml:space="preserve">nie je obsiahnutá v judikatúre </w:t>
      </w:r>
      <w:r>
        <w:rPr>
          <w:rFonts w:ascii="Times New Roman" w:hAnsi="Times New Roman" w:cs="Times New Roman"/>
          <w:color w:val="000000"/>
        </w:rPr>
        <w:t>Súdneho dvora Európskej únie.</w:t>
      </w:r>
    </w:p>
    <w:p w:rsidR="00DF3829" w:rsidP="00DF3829">
      <w:pPr>
        <w:pStyle w:val="ListParagraph"/>
        <w:bidi w:val="0"/>
        <w:jc w:val="both"/>
        <w:rPr>
          <w:rFonts w:ascii="Times New Roman" w:hAnsi="Times New Roman" w:cs="Times New Roman"/>
          <w:b/>
          <w:bCs/>
          <w:color w:val="000000"/>
        </w:rPr>
      </w:pPr>
    </w:p>
    <w:p w:rsidR="00DF3829" w:rsidRPr="00DA6E01" w:rsidP="00DF3829">
      <w:pPr>
        <w:pStyle w:val="ListParagraph"/>
        <w:numPr>
          <w:numId w:val="5"/>
        </w:numPr>
        <w:bidi w:val="0"/>
        <w:jc w:val="both"/>
        <w:rPr>
          <w:rFonts w:ascii="Times New Roman" w:hAnsi="Times New Roman" w:cs="Times New Roman"/>
          <w:color w:val="000000"/>
        </w:rPr>
      </w:pPr>
      <w:r w:rsidRPr="00DA6E01">
        <w:rPr>
          <w:rFonts w:ascii="Times New Roman" w:hAnsi="Times New Roman" w:cs="Times New Roman"/>
          <w:b/>
          <w:bCs/>
          <w:color w:val="000000"/>
        </w:rPr>
        <w:t>Záväzky Slovenskej republiky vo vzťahu k Európskej únii:</w:t>
      </w:r>
    </w:p>
    <w:p w:rsidR="00DF3829" w:rsidRPr="004D6E9F" w:rsidP="00DF3829">
      <w:pPr>
        <w:bidi w:val="0"/>
        <w:ind w:left="425"/>
        <w:jc w:val="both"/>
        <w:rPr>
          <w:rFonts w:ascii="Times New Roman" w:hAnsi="Times New Roman"/>
          <w:color w:val="000000"/>
        </w:rPr>
      </w:pPr>
      <w:r w:rsidRPr="004D6E9F">
        <w:rPr>
          <w:rFonts w:ascii="Times New Roman" w:hAnsi="Times New Roman"/>
          <w:color w:val="000000"/>
        </w:rPr>
        <w:t>a) Lehota na prebratie smernice alebo lehota na implementáciu nariadenia alebo rozhodnutia: bezpredmetné.</w:t>
      </w:r>
    </w:p>
    <w:p w:rsidR="00DF3829" w:rsidRPr="004D6E9F" w:rsidP="00DF3829">
      <w:pPr>
        <w:bidi w:val="0"/>
        <w:ind w:left="425"/>
        <w:jc w:val="both"/>
        <w:rPr>
          <w:rFonts w:ascii="Times New Roman" w:hAnsi="Times New Roman"/>
          <w:color w:val="000000"/>
        </w:rPr>
      </w:pPr>
      <w:r w:rsidRPr="004D6E9F">
        <w:rPr>
          <w:rFonts w:ascii="Times New Roman" w:hAnsi="Times New Roman"/>
          <w:color w:val="000000"/>
        </w:rPr>
        <w:t>b) 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DF3829" w:rsidRPr="004D6E9F" w:rsidP="00DF3829">
      <w:pPr>
        <w:bidi w:val="0"/>
        <w:ind w:left="425"/>
        <w:jc w:val="both"/>
        <w:rPr>
          <w:rFonts w:ascii="Times New Roman" w:hAnsi="Times New Roman"/>
          <w:color w:val="000000"/>
        </w:rPr>
      </w:pPr>
      <w:r w:rsidRPr="004D6E9F">
        <w:rPr>
          <w:rFonts w:ascii="Times New Roman" w:hAnsi="Times New Roman"/>
          <w:color w:val="000000"/>
        </w:rPr>
        <w:t>c) Proti SR nebolo začaté konanie o porušení Zmluvy o fungovaní Európskej únie podľa čl. 258 až 260 Zmluvy o fungovaní Európskej únie.</w:t>
      </w:r>
    </w:p>
    <w:p w:rsidR="00DF3829" w:rsidP="00DF3829">
      <w:pPr>
        <w:bidi w:val="0"/>
        <w:ind w:left="425"/>
        <w:jc w:val="both"/>
        <w:rPr>
          <w:rFonts w:ascii="Times New Roman" w:hAnsi="Times New Roman"/>
          <w:color w:val="000000"/>
        </w:rPr>
      </w:pPr>
      <w:r w:rsidRPr="004D6E9F">
        <w:rPr>
          <w:rFonts w:ascii="Times New Roman" w:hAnsi="Times New Roman"/>
          <w:color w:val="000000"/>
        </w:rPr>
        <w:t>d) Bezpredmetné.</w:t>
      </w:r>
    </w:p>
    <w:p w:rsidR="00DF3829" w:rsidP="00DF3829">
      <w:pPr>
        <w:bidi w:val="0"/>
        <w:ind w:left="425"/>
        <w:jc w:val="both"/>
        <w:rPr>
          <w:rFonts w:ascii="Times New Roman" w:hAnsi="Times New Roman"/>
          <w:color w:val="000000"/>
        </w:rPr>
      </w:pPr>
    </w:p>
    <w:p w:rsidR="00DF3829" w:rsidRPr="00DA6E01" w:rsidP="00DF3829">
      <w:pPr>
        <w:pStyle w:val="ListParagraph"/>
        <w:numPr>
          <w:numId w:val="5"/>
        </w:numPr>
        <w:bidi w:val="0"/>
        <w:jc w:val="both"/>
        <w:rPr>
          <w:rFonts w:ascii="Times New Roman" w:hAnsi="Times New Roman" w:cs="Times New Roman"/>
          <w:color w:val="000000"/>
        </w:rPr>
      </w:pPr>
      <w:r w:rsidRPr="00DA6E01">
        <w:rPr>
          <w:rFonts w:ascii="Times New Roman" w:hAnsi="Times New Roman" w:cs="Times New Roman"/>
          <w:b/>
          <w:bCs/>
          <w:color w:val="000000"/>
        </w:rPr>
        <w:t>Stupeň zlučiteľnosti návrhu zákona s právom Európskej únie:</w:t>
      </w:r>
    </w:p>
    <w:p w:rsidR="00DF3829" w:rsidP="00DF3829">
      <w:pPr>
        <w:bidi w:val="0"/>
        <w:ind w:left="425" w:hanging="425"/>
        <w:jc w:val="both"/>
        <w:rPr>
          <w:rFonts w:ascii="Times New Roman" w:hAnsi="Times New Roman"/>
          <w:color w:val="000000"/>
        </w:rPr>
      </w:pPr>
      <w:r w:rsidRPr="004D6E9F">
        <w:rPr>
          <w:rFonts w:ascii="Times New Roman" w:hAnsi="Times New Roman"/>
          <w:color w:val="000000"/>
        </w:rPr>
        <w:t>      </w:t>
      </w:r>
      <w:r>
        <w:rPr>
          <w:rFonts w:ascii="Times New Roman" w:hAnsi="Times New Roman"/>
          <w:color w:val="000000"/>
        </w:rPr>
        <w:tab/>
        <w:tab/>
      </w:r>
      <w:r w:rsidRPr="004D6E9F">
        <w:rPr>
          <w:rFonts w:ascii="Times New Roman" w:hAnsi="Times New Roman"/>
          <w:color w:val="000000"/>
        </w:rPr>
        <w:t>Úplný.</w:t>
      </w:r>
    </w:p>
    <w:p w:rsidR="00DF3829" w:rsidP="00DF3829">
      <w:pPr>
        <w:bidi w:val="0"/>
        <w:ind w:left="425" w:hanging="425"/>
        <w:jc w:val="both"/>
        <w:rPr>
          <w:rFonts w:ascii="Times New Roman" w:hAnsi="Times New Roman"/>
          <w:color w:val="000000"/>
        </w:rPr>
      </w:pPr>
    </w:p>
    <w:p w:rsidR="00DF3829" w:rsidRPr="00DA6E01" w:rsidP="00DF3829">
      <w:pPr>
        <w:pStyle w:val="ListParagraph"/>
        <w:numPr>
          <w:numId w:val="5"/>
        </w:numPr>
        <w:bidi w:val="0"/>
        <w:jc w:val="both"/>
        <w:rPr>
          <w:rFonts w:ascii="Times New Roman" w:hAnsi="Times New Roman" w:cs="Times New Roman"/>
          <w:color w:val="000000"/>
        </w:rPr>
      </w:pPr>
      <w:r w:rsidRPr="00DA6E01">
        <w:rPr>
          <w:rFonts w:ascii="Times New Roman" w:hAnsi="Times New Roman" w:cs="Times New Roman"/>
          <w:b/>
          <w:bCs/>
          <w:color w:val="000000"/>
        </w:rPr>
        <w:t>Gestor a spolupracujúce rezorty:</w:t>
      </w:r>
    </w:p>
    <w:p w:rsidR="00DF3829" w:rsidP="00DF3829">
      <w:pPr>
        <w:bidi w:val="0"/>
        <w:ind w:left="720"/>
        <w:jc w:val="both"/>
        <w:rPr>
          <w:rFonts w:ascii="Times New Roman" w:hAnsi="Times New Roman"/>
        </w:rPr>
      </w:pPr>
      <w:r>
        <w:rPr>
          <w:rFonts w:ascii="Times New Roman" w:hAnsi="Times New Roman"/>
          <w:color w:val="000000"/>
        </w:rPr>
        <w:t>Bezpredmetné.</w:t>
      </w:r>
    </w:p>
    <w:p w:rsidR="00DF3829" w:rsidP="00DF3829">
      <w:pPr>
        <w:bidi w:val="0"/>
        <w:rPr>
          <w:rFonts w:ascii="Times New Roman" w:hAnsi="Times New Roman"/>
        </w:rPr>
      </w:pPr>
    </w:p>
    <w:p w:rsidR="0053157B" w:rsidP="0053157B">
      <w:pPr>
        <w:bidi w:val="0"/>
        <w:ind w:left="425"/>
        <w:jc w:val="both"/>
        <w:rPr>
          <w:rFonts w:ascii="Times New Roman" w:hAnsi="Times New Roman"/>
          <w:color w:val="000000"/>
        </w:rPr>
      </w:pPr>
    </w:p>
    <w:sectPr>
      <w:footerReference w:type="even" r:id="rId4"/>
      <w:footerReference w:type="default" r:id="rId5"/>
      <w:pgSz w:w="12240" w:h="15840" w:code="1"/>
      <w:pgMar w:top="1134" w:right="1608" w:bottom="1135" w:left="1418"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Segoe UI">
    <w:panose1 w:val="020B0502040204020203"/>
    <w:charset w:val="EE"/>
    <w:family w:val="swiss"/>
    <w:pitch w:val="variable"/>
    <w:sig w:usb0="00000000" w:usb1="00000000" w:usb2="00000000" w:usb3="00000000" w:csb0="000001DF" w:csb1="00000000"/>
  </w:font>
  <w:font w:name="Calibri Light">
    <w:panose1 w:val="00000000000000000000"/>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E72" w:rsidP="00126016">
    <w:pPr>
      <w:pStyle w:val="Footer"/>
      <w:framePr w:vAnchor="text" w:hAnchor="margin" w:xAlign="right" w:y="1"/>
      <w:widowControl/>
      <w:bidi w:val="0"/>
      <w:rPr>
        <w:rStyle w:val="PageNumber"/>
        <w:rFonts w:ascii="Times New Roman" w:hAnsi="Times New Roman"/>
      </w:rPr>
    </w:pPr>
    <w:r w:rsidR="00837F50">
      <w:rPr>
        <w:rStyle w:val="PageNumber"/>
        <w:rFonts w:ascii="Times New Roman" w:hAnsi="Times New Roman"/>
      </w:rPr>
      <w:fldChar w:fldCharType="begin"/>
    </w:r>
    <w:r w:rsidR="00837F50">
      <w:rPr>
        <w:rStyle w:val="PageNumber"/>
        <w:rFonts w:ascii="Times New Roman" w:hAnsi="Times New Roman"/>
      </w:rPr>
      <w:instrText xml:space="preserve">PAGE  </w:instrText>
    </w:r>
    <w:r w:rsidR="00837F50">
      <w:rPr>
        <w:rStyle w:val="PageNumber"/>
        <w:rFonts w:ascii="Times New Roman" w:hAnsi="Times New Roman"/>
      </w:rPr>
      <w:fldChar w:fldCharType="separate"/>
    </w:r>
    <w:r w:rsidR="00837F50">
      <w:rPr>
        <w:rStyle w:val="PageNumber"/>
        <w:rFonts w:ascii="Times New Roman" w:hAnsi="Times New Roman"/>
      </w:rPr>
      <w:fldChar w:fldCharType="end"/>
    </w:r>
  </w:p>
  <w:p w:rsidR="00251E72">
    <w:pPr>
      <w:pStyle w:val="Footer"/>
      <w:widowControl/>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E72" w:rsidP="00126016">
    <w:pPr>
      <w:pStyle w:val="Footer"/>
      <w:framePr w:vAnchor="text" w:hAnchor="margin" w:xAlign="right" w:y="1"/>
      <w:widowControl/>
      <w:bidi w:val="0"/>
      <w:rPr>
        <w:rStyle w:val="PageNumber"/>
        <w:rFonts w:ascii="Times New Roman" w:hAnsi="Times New Roman"/>
      </w:rPr>
    </w:pPr>
    <w:r w:rsidR="00837F50">
      <w:rPr>
        <w:rStyle w:val="PageNumber"/>
        <w:rFonts w:ascii="Times New Roman" w:hAnsi="Times New Roman"/>
      </w:rPr>
      <w:fldChar w:fldCharType="begin"/>
    </w:r>
    <w:r w:rsidR="00837F50">
      <w:rPr>
        <w:rStyle w:val="PageNumber"/>
        <w:rFonts w:ascii="Times New Roman" w:hAnsi="Times New Roman"/>
      </w:rPr>
      <w:instrText xml:space="preserve">PAGE  </w:instrText>
    </w:r>
    <w:r w:rsidR="00837F50">
      <w:rPr>
        <w:rStyle w:val="PageNumber"/>
        <w:rFonts w:ascii="Times New Roman" w:hAnsi="Times New Roman"/>
      </w:rPr>
      <w:fldChar w:fldCharType="separate"/>
    </w:r>
    <w:r w:rsidR="009032C9">
      <w:rPr>
        <w:rStyle w:val="PageNumber"/>
        <w:rFonts w:ascii="Times New Roman" w:hAnsi="Times New Roman"/>
        <w:noProof/>
      </w:rPr>
      <w:t>1</w:t>
    </w:r>
    <w:r w:rsidR="00837F50">
      <w:rPr>
        <w:rStyle w:val="PageNumber"/>
        <w:rFonts w:ascii="Times New Roman" w:hAnsi="Times New Roman"/>
      </w:rPr>
      <w:fldChar w:fldCharType="end"/>
    </w:r>
  </w:p>
  <w:p w:rsidR="00251E72">
    <w:pPr>
      <w:pStyle w:val="Footer"/>
      <w:widowControl/>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F0AD76A"/>
    <w:lvl w:ilvl="0">
      <w:start w:val="1"/>
      <w:numFmt w:val="bullet"/>
      <w:lvlText w:val=""/>
      <w:lvlJc w:val="left"/>
      <w:pPr>
        <w:tabs>
          <w:tab w:val="num" w:pos="643"/>
        </w:tabs>
        <w:ind w:left="643" w:hanging="360"/>
      </w:pPr>
      <w:rPr>
        <w:rFonts w:ascii="Symbol" w:hAnsi="Symbol" w:hint="default"/>
      </w:rPr>
    </w:lvl>
  </w:abstractNum>
  <w:abstractNum w:abstractNumId="1">
    <w:nsid w:val="44A07B53"/>
    <w:multiLevelType w:val="hybridMultilevel"/>
    <w:tmpl w:val="3C0AD688"/>
    <w:lvl w:ilvl="0">
      <w:start w:val="1"/>
      <w:numFmt w:val="lowerLetter"/>
      <w:lvlText w:val="%1)"/>
      <w:lvlJc w:val="left"/>
      <w:pPr>
        <w:tabs>
          <w:tab w:val="num" w:pos="360"/>
        </w:tabs>
        <w:ind w:left="360" w:hanging="360"/>
      </w:pPr>
      <w:rPr>
        <w:rFonts w:cs="Times New Roman"/>
        <w:rtl w:val="0"/>
        <w:cs w:val="0"/>
      </w:rPr>
    </w:lvl>
    <w:lvl w:ilvl="1">
      <w:start w:val="1"/>
      <w:numFmt w:val="bullet"/>
      <w:lvlText w:val="-"/>
      <w:lvlJc w:val="left"/>
      <w:pPr>
        <w:tabs>
          <w:tab w:val="num" w:pos="612"/>
        </w:tabs>
        <w:ind w:left="612" w:hanging="360"/>
      </w:pPr>
      <w:rPr>
        <w:rFonts w:ascii="Arial" w:hAnsi="Arial"/>
      </w:rPr>
    </w:lvl>
    <w:lvl w:ilvl="2">
      <w:start w:val="1"/>
      <w:numFmt w:val="lowerRoman"/>
      <w:lvlText w:val="%3."/>
      <w:lvlJc w:val="right"/>
      <w:pPr>
        <w:tabs>
          <w:tab w:val="num" w:pos="1332"/>
        </w:tabs>
        <w:ind w:left="1332" w:hanging="180"/>
      </w:pPr>
      <w:rPr>
        <w:rFonts w:cs="Times New Roman"/>
        <w:rtl w:val="0"/>
        <w:cs w:val="0"/>
      </w:rPr>
    </w:lvl>
    <w:lvl w:ilvl="3">
      <w:start w:val="1"/>
      <w:numFmt w:val="decimal"/>
      <w:lvlText w:val="%4."/>
      <w:lvlJc w:val="left"/>
      <w:pPr>
        <w:tabs>
          <w:tab w:val="num" w:pos="2052"/>
        </w:tabs>
        <w:ind w:left="2052" w:hanging="360"/>
      </w:pPr>
      <w:rPr>
        <w:rFonts w:cs="Times New Roman"/>
        <w:rtl w:val="0"/>
        <w:cs w:val="0"/>
      </w:rPr>
    </w:lvl>
    <w:lvl w:ilvl="4">
      <w:start w:val="1"/>
      <w:numFmt w:val="lowerLetter"/>
      <w:lvlText w:val="%5."/>
      <w:lvlJc w:val="left"/>
      <w:pPr>
        <w:tabs>
          <w:tab w:val="num" w:pos="2772"/>
        </w:tabs>
        <w:ind w:left="2772" w:hanging="360"/>
      </w:pPr>
      <w:rPr>
        <w:rFonts w:cs="Times New Roman"/>
        <w:rtl w:val="0"/>
        <w:cs w:val="0"/>
      </w:rPr>
    </w:lvl>
    <w:lvl w:ilvl="5">
      <w:start w:val="1"/>
      <w:numFmt w:val="lowerRoman"/>
      <w:lvlText w:val="%6."/>
      <w:lvlJc w:val="right"/>
      <w:pPr>
        <w:tabs>
          <w:tab w:val="num" w:pos="3492"/>
        </w:tabs>
        <w:ind w:left="3492" w:hanging="180"/>
      </w:pPr>
      <w:rPr>
        <w:rFonts w:cs="Times New Roman"/>
        <w:rtl w:val="0"/>
        <w:cs w:val="0"/>
      </w:rPr>
    </w:lvl>
    <w:lvl w:ilvl="6">
      <w:start w:val="1"/>
      <w:numFmt w:val="decimal"/>
      <w:lvlText w:val="%7."/>
      <w:lvlJc w:val="left"/>
      <w:pPr>
        <w:tabs>
          <w:tab w:val="num" w:pos="4212"/>
        </w:tabs>
        <w:ind w:left="4212" w:hanging="360"/>
      </w:pPr>
      <w:rPr>
        <w:rFonts w:cs="Times New Roman"/>
        <w:rtl w:val="0"/>
        <w:cs w:val="0"/>
      </w:rPr>
    </w:lvl>
    <w:lvl w:ilvl="7">
      <w:start w:val="1"/>
      <w:numFmt w:val="lowerLetter"/>
      <w:lvlText w:val="%8."/>
      <w:lvlJc w:val="left"/>
      <w:pPr>
        <w:tabs>
          <w:tab w:val="num" w:pos="4932"/>
        </w:tabs>
        <w:ind w:left="4932" w:hanging="360"/>
      </w:pPr>
      <w:rPr>
        <w:rFonts w:cs="Times New Roman"/>
        <w:rtl w:val="0"/>
        <w:cs w:val="0"/>
      </w:rPr>
    </w:lvl>
    <w:lvl w:ilvl="8">
      <w:start w:val="1"/>
      <w:numFmt w:val="lowerRoman"/>
      <w:lvlText w:val="%9."/>
      <w:lvlJc w:val="right"/>
      <w:pPr>
        <w:tabs>
          <w:tab w:val="num" w:pos="5652"/>
        </w:tabs>
        <w:ind w:left="5652" w:hanging="180"/>
      </w:pPr>
      <w:rPr>
        <w:rFonts w:cs="Times New Roman"/>
        <w:rtl w:val="0"/>
        <w:cs w:val="0"/>
      </w:rPr>
    </w:lvl>
  </w:abstractNum>
  <w:abstractNum w:abstractNumId="2">
    <w:nsid w:val="4E4A316F"/>
    <w:multiLevelType w:val="hybridMultilevel"/>
    <w:tmpl w:val="5176707E"/>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
    <w:nsid w:val="54854694"/>
    <w:multiLevelType w:val="hybridMultilevel"/>
    <w:tmpl w:val="44D657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77C76FC"/>
    <w:multiLevelType w:val="hybridMultilevel"/>
    <w:tmpl w:val="08701D1E"/>
    <w:lvl w:ilvl="0">
      <w:start w:val="1"/>
      <w:numFmt w:val="decimal"/>
      <w:lvlText w:val="%1."/>
      <w:lvlJc w:val="left"/>
      <w:pPr>
        <w:tabs>
          <w:tab w:val="num" w:pos="1188"/>
        </w:tabs>
        <w:ind w:left="1188"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1"/>
  <w:doNotTrackMoves/>
  <w:defaultTabStop w:val="708"/>
  <w:hyphenationZone w:val="425"/>
  <w:characterSpacingControl w:val="doNotCompress"/>
  <w:compat/>
  <w:rsids>
    <w:rsidRoot w:val="00BB01E1"/>
    <w:rsid w:val="00126016"/>
    <w:rsid w:val="001A2C29"/>
    <w:rsid w:val="00251E72"/>
    <w:rsid w:val="003A6E41"/>
    <w:rsid w:val="004228FD"/>
    <w:rsid w:val="004931DA"/>
    <w:rsid w:val="004D6E9F"/>
    <w:rsid w:val="0053157B"/>
    <w:rsid w:val="00543866"/>
    <w:rsid w:val="007E09A9"/>
    <w:rsid w:val="00837F50"/>
    <w:rsid w:val="009032C9"/>
    <w:rsid w:val="00AD6F69"/>
    <w:rsid w:val="00B4235C"/>
    <w:rsid w:val="00BB01E1"/>
    <w:rsid w:val="00C33356"/>
    <w:rsid w:val="00C37243"/>
    <w:rsid w:val="00DA6E01"/>
    <w:rsid w:val="00DD30DA"/>
    <w:rsid w:val="00DF382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1E1"/>
    <w:pPr>
      <w:framePr w:wrap="auto"/>
      <w:widowControl w:val="0"/>
      <w:autoSpaceDE w:val="0"/>
      <w:autoSpaceDN w:val="0"/>
      <w:adjustRightInd w:val="0"/>
      <w:ind w:left="0" w:right="0"/>
      <w:jc w:val="left"/>
      <w:textAlignment w:val="auto"/>
    </w:pPr>
    <w:rPr>
      <w:rFonts w:cs="Times New Roman"/>
      <w:sz w:val="24"/>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BodyTextChar"/>
    <w:uiPriority w:val="99"/>
    <w:rsid w:val="00BB01E1"/>
    <w:pPr>
      <w:spacing w:line="360" w:lineRule="auto"/>
      <w:jc w:val="both"/>
    </w:pPr>
    <w:rPr>
      <w:noProof/>
    </w:rPr>
  </w:style>
  <w:style w:type="character" w:customStyle="1" w:styleId="BodyTextChar">
    <w:name w:val="Body Text Char"/>
    <w:basedOn w:val="DefaultParagraphFont"/>
    <w:link w:val="BodyText"/>
    <w:uiPriority w:val="99"/>
    <w:locked/>
    <w:rsid w:val="00BB01E1"/>
    <w:rPr>
      <w:rFonts w:ascii="Times New Roman" w:hAnsi="Times New Roman" w:cs="Times New Roman"/>
      <w:noProof/>
      <w:sz w:val="20"/>
      <w:szCs w:val="20"/>
      <w:rtl w:val="0"/>
      <w:cs w:val="0"/>
      <w:lang w:eastAsia="sk-SK"/>
    </w:rPr>
  </w:style>
  <w:style w:type="paragraph" w:styleId="List">
    <w:name w:val="List"/>
    <w:basedOn w:val="Normal"/>
    <w:uiPriority w:val="99"/>
    <w:rsid w:val="00BB01E1"/>
    <w:pPr>
      <w:ind w:left="283" w:hanging="283"/>
      <w:jc w:val="left"/>
    </w:pPr>
    <w:rPr>
      <w:noProof/>
    </w:rPr>
  </w:style>
  <w:style w:type="paragraph" w:styleId="ListBullet2">
    <w:name w:val="List Bullet 2"/>
    <w:basedOn w:val="Normal"/>
    <w:autoRedefine/>
    <w:uiPriority w:val="99"/>
    <w:rsid w:val="00BB01E1"/>
    <w:pPr>
      <w:jc w:val="both"/>
    </w:pPr>
  </w:style>
  <w:style w:type="paragraph" w:styleId="List2">
    <w:name w:val="List 2"/>
    <w:basedOn w:val="Normal"/>
    <w:uiPriority w:val="99"/>
    <w:rsid w:val="00BB01E1"/>
    <w:pPr>
      <w:ind w:left="566" w:hanging="283"/>
      <w:jc w:val="left"/>
    </w:pPr>
    <w:rPr>
      <w:noProof/>
    </w:rPr>
  </w:style>
  <w:style w:type="paragraph" w:styleId="BodyText3">
    <w:name w:val="Body Text 3"/>
    <w:basedOn w:val="Normal"/>
    <w:link w:val="BodyText3Char"/>
    <w:uiPriority w:val="99"/>
    <w:rsid w:val="00BB01E1"/>
    <w:pPr>
      <w:spacing w:after="120"/>
      <w:jc w:val="left"/>
    </w:pPr>
    <w:rPr>
      <w:noProof/>
      <w:sz w:val="16"/>
      <w:szCs w:val="16"/>
    </w:rPr>
  </w:style>
  <w:style w:type="character" w:customStyle="1" w:styleId="BodyText3Char">
    <w:name w:val="Body Text 3 Char"/>
    <w:basedOn w:val="DefaultParagraphFont"/>
    <w:link w:val="BodyText3"/>
    <w:uiPriority w:val="99"/>
    <w:locked/>
    <w:rsid w:val="00BB01E1"/>
    <w:rPr>
      <w:rFonts w:ascii="Times New Roman" w:hAnsi="Times New Roman" w:cs="Times New Roman"/>
      <w:noProof/>
      <w:sz w:val="16"/>
      <w:szCs w:val="16"/>
      <w:rtl w:val="0"/>
      <w:cs w:val="0"/>
      <w:lang w:eastAsia="sk-SK"/>
    </w:rPr>
  </w:style>
  <w:style w:type="paragraph" w:styleId="Footer">
    <w:name w:val="footer"/>
    <w:basedOn w:val="Normal"/>
    <w:link w:val="FooterChar"/>
    <w:uiPriority w:val="99"/>
    <w:rsid w:val="00BB01E1"/>
    <w:pPr>
      <w:tabs>
        <w:tab w:val="center" w:pos="4536"/>
        <w:tab w:val="right" w:pos="9072"/>
      </w:tabs>
      <w:jc w:val="left"/>
    </w:pPr>
  </w:style>
  <w:style w:type="character" w:customStyle="1" w:styleId="FooterChar">
    <w:name w:val="Footer Char"/>
    <w:basedOn w:val="DefaultParagraphFont"/>
    <w:link w:val="Footer"/>
    <w:uiPriority w:val="99"/>
    <w:locked/>
    <w:rsid w:val="00BB01E1"/>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BB01E1"/>
    <w:rPr>
      <w:rFonts w:cs="Times New Roman"/>
      <w:rtl w:val="0"/>
      <w:cs w:val="0"/>
    </w:rPr>
  </w:style>
  <w:style w:type="paragraph" w:styleId="ListParagraph">
    <w:name w:val="List Paragraph"/>
    <w:basedOn w:val="Normal"/>
    <w:uiPriority w:val="34"/>
    <w:qFormat/>
    <w:rsid w:val="00DF3829"/>
    <w:pPr>
      <w:widowControl/>
      <w:autoSpaceDE/>
      <w:autoSpaceDN/>
      <w:adjustRightInd/>
      <w:ind w:left="720"/>
      <w:contextualSpacing/>
      <w:jc w:val="left"/>
    </w:pPr>
    <w:rPr>
      <w:rFonts w:cs="Helvetica"/>
      <w:szCs w:val="24"/>
    </w:rPr>
  </w:style>
  <w:style w:type="paragraph" w:styleId="NormalWeb">
    <w:name w:val="Normal (Web)"/>
    <w:basedOn w:val="Normal"/>
    <w:uiPriority w:val="99"/>
    <w:rsid w:val="00DF3829"/>
    <w:pPr>
      <w:widowControl/>
      <w:suppressAutoHyphens/>
      <w:autoSpaceDE/>
      <w:autoSpaceDN/>
      <w:adjustRightInd/>
      <w:spacing w:before="280" w:after="280"/>
      <w:jc w:val="left"/>
    </w:pPr>
    <w:rPr>
      <w:szCs w:val="24"/>
      <w:lang w:eastAsia="ar-SA"/>
    </w:rPr>
  </w:style>
  <w:style w:type="paragraph" w:styleId="BalloonText">
    <w:name w:val="Balloon Text"/>
    <w:basedOn w:val="Normal"/>
    <w:link w:val="BalloonTextChar"/>
    <w:uiPriority w:val="99"/>
    <w:semiHidden/>
    <w:unhideWhenUsed/>
    <w:rsid w:val="00837F50"/>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37F50"/>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Pages>
  <Words>677</Words>
  <Characters>3862</Characters>
  <Application>Microsoft Office Word</Application>
  <DocSecurity>0</DocSecurity>
  <Lines>0</Lines>
  <Paragraphs>0</Paragraphs>
  <ScaleCrop>false</ScaleCrop>
  <Company>Hewlett-Packard Company</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Lipsic, Daniel (asistent)</dc:creator>
  <cp:lastModifiedBy>Gašparíková, Jarmila</cp:lastModifiedBy>
  <cp:revision>2</cp:revision>
  <cp:lastPrinted>2015-08-13T12:28:00Z</cp:lastPrinted>
  <dcterms:created xsi:type="dcterms:W3CDTF">2015-08-24T10:38:00Z</dcterms:created>
  <dcterms:modified xsi:type="dcterms:W3CDTF">2015-08-24T10:38:00Z</dcterms:modified>
</cp:coreProperties>
</file>