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A02" w:rsidRPr="00390610" w:rsidP="00BE1A02">
      <w:pPr>
        <w:bidi w:val="0"/>
        <w:jc w:val="center"/>
        <w:rPr>
          <w:rFonts w:asciiTheme="minorHAnsi" w:hAnsiTheme="minorHAnsi"/>
        </w:rPr>
      </w:pPr>
      <w:r w:rsidRPr="00390610">
        <w:rPr>
          <w:rFonts w:asciiTheme="minorHAnsi" w:hAnsiTheme="minorHAnsi"/>
          <w:b/>
          <w:bCs/>
          <w:caps/>
          <w:color w:val="000000"/>
          <w:spacing w:val="30"/>
        </w:rPr>
        <w:t>Dôvodová</w:t>
      </w:r>
      <w:r w:rsidRPr="00390610">
        <w:rPr>
          <w:rFonts w:asciiTheme="minorHAnsi" w:hAnsiTheme="minorHAnsi"/>
        </w:rPr>
        <w:t xml:space="preserve"> </w:t>
      </w:r>
      <w:r w:rsidRPr="00390610">
        <w:rPr>
          <w:rFonts w:asciiTheme="minorHAnsi" w:hAnsiTheme="minorHAnsi"/>
          <w:b/>
          <w:bCs/>
          <w:caps/>
          <w:color w:val="000000"/>
          <w:spacing w:val="30"/>
        </w:rPr>
        <w:t>správa</w:t>
      </w:r>
    </w:p>
    <w:p w:rsidR="00BE1A02" w:rsidP="00BE1A02">
      <w:pPr>
        <w:bidi w:val="0"/>
        <w:spacing w:line="300" w:lineRule="atLeast"/>
        <w:rPr>
          <w:rFonts w:ascii="Times New Roman" w:hAnsi="Times New Roman"/>
          <w:b/>
          <w:bCs/>
        </w:rPr>
      </w:pPr>
    </w:p>
    <w:p w:rsidR="00BE1A02" w:rsidRPr="00390610" w:rsidP="00BE1A02">
      <w:pPr>
        <w:numPr>
          <w:numId w:val="1"/>
        </w:numPr>
        <w:bidi w:val="0"/>
        <w:spacing w:line="300" w:lineRule="atLeast"/>
        <w:rPr>
          <w:rFonts w:asciiTheme="minorHAnsi" w:hAnsiTheme="minorHAnsi"/>
          <w:b/>
          <w:bCs/>
        </w:rPr>
      </w:pPr>
      <w:r w:rsidRPr="00390610">
        <w:rPr>
          <w:rFonts w:asciiTheme="minorHAnsi" w:hAnsiTheme="minorHAnsi"/>
          <w:b/>
          <w:bCs/>
        </w:rPr>
        <w:t>Všeobecná časť</w:t>
      </w:r>
    </w:p>
    <w:p w:rsidR="00BE1A02" w:rsidP="00BE1A02">
      <w:pPr>
        <w:bidi w:val="0"/>
        <w:spacing w:line="300" w:lineRule="atLeast"/>
        <w:ind w:left="1065"/>
        <w:rPr>
          <w:rFonts w:ascii="Times New Roman" w:hAnsi="Times New Roman"/>
          <w:b/>
          <w:bCs/>
        </w:rPr>
      </w:pPr>
    </w:p>
    <w:p w:rsidR="00BE1A02" w:rsidRPr="00390610" w:rsidP="00BE1A02">
      <w:pPr>
        <w:bidi w:val="0"/>
        <w:spacing w:line="276" w:lineRule="auto"/>
        <w:ind w:firstLine="708"/>
        <w:jc w:val="both"/>
        <w:rPr>
          <w:rFonts w:asciiTheme="minorHAnsi" w:hAnsiTheme="minorHAnsi"/>
        </w:rPr>
      </w:pPr>
      <w:r w:rsidRPr="00390610">
        <w:rPr>
          <w:rFonts w:asciiTheme="minorHAnsi" w:hAnsiTheme="minorHAnsi"/>
        </w:rPr>
        <w:t>Podľa súčasnej úpravy sa do príjmu zdravotne ťažko postihnutej osoby pri hodnotení príjmu pre účel poskytovania kompenzačných príspevkov nezapočítava príjem získaný od nadácií, občianskych združení, neziskových organizácií a neinvestičných fondov. Navrhuje sa tento okruh rozšíriť aj na charitatívnu pomoc získanú priamo od fyzických osôb alebo od iných právnických osôb. Takúto pomoc mnohí ľudia alebo firmy poskytujú nezištne v dobrom úmysle pomôcť zdravotne ťažko postihnutej osobe. Preto je potrebné aj tieto príjmy postaviť na roveň pomoci, ktoré poskytujú uvedené organizácie tretieho sektora tak, aby to neovplyvňovalo hodnotenie príjmu žiadateľov o kompenzačné príspevky.</w:t>
      </w:r>
    </w:p>
    <w:p w:rsidR="00BE1A02" w:rsidRPr="00390610" w:rsidP="00BE1A02">
      <w:pPr>
        <w:bidi w:val="0"/>
        <w:spacing w:line="276" w:lineRule="auto"/>
        <w:ind w:firstLine="708"/>
        <w:jc w:val="both"/>
        <w:rPr>
          <w:rStyle w:val="PlaceholderText"/>
          <w:rFonts w:asciiTheme="minorHAnsi" w:hAnsiTheme="minorHAnsi"/>
          <w:color w:val="000000"/>
        </w:rPr>
      </w:pPr>
      <w:r w:rsidRPr="00390610">
        <w:rPr>
          <w:rStyle w:val="PlaceholderText"/>
          <w:rFonts w:asciiTheme="minorHAnsi" w:hAnsiTheme="minorHAnsi"/>
          <w:color w:val="000000"/>
        </w:rPr>
        <w:t>Účinnosť zákona sa vzhľadom na dĺžku legislatívneho procesu navrhuje od 1. januára 2016.</w:t>
      </w:r>
    </w:p>
    <w:p w:rsidR="00BE1A02" w:rsidRPr="00390610" w:rsidP="00BE1A02">
      <w:pPr>
        <w:bidi w:val="0"/>
        <w:spacing w:line="276" w:lineRule="auto"/>
        <w:jc w:val="both"/>
        <w:rPr>
          <w:rStyle w:val="PlaceholderText"/>
          <w:rFonts w:asciiTheme="minorHAnsi" w:hAnsiTheme="minorHAnsi"/>
          <w:color w:val="000000"/>
        </w:rPr>
      </w:pPr>
      <w:r w:rsidRPr="00390610">
        <w:rPr>
          <w:rStyle w:val="PlaceholderText"/>
          <w:rFonts w:asciiTheme="minorHAnsi" w:hAnsiTheme="minorHAnsi"/>
          <w:color w:val="000000"/>
        </w:rPr>
        <w:tab/>
        <w:t xml:space="preserve">Návrh zákona je v súlade 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BE1A02" w:rsidRPr="00390610" w:rsidP="00BE1A02">
      <w:pPr>
        <w:bidi w:val="0"/>
        <w:spacing w:after="120" w:line="276" w:lineRule="auto"/>
        <w:ind w:firstLine="708"/>
        <w:jc w:val="both"/>
        <w:rPr>
          <w:rStyle w:val="PlaceholderText"/>
          <w:rFonts w:asciiTheme="minorHAnsi" w:hAnsiTheme="minorHAnsi"/>
          <w:color w:val="000000"/>
        </w:rPr>
      </w:pPr>
      <w:r w:rsidRPr="00390610">
        <w:rPr>
          <w:rStyle w:val="PlaceholderText"/>
          <w:rFonts w:asciiTheme="minorHAnsi" w:hAnsiTheme="minorHAnsi"/>
          <w:color w:val="000000"/>
        </w:rPr>
        <w:t>Návrh zákona bude mať pozitívny sociálny vplyv, nebude mať negatívny vplyv na podnikateľské prostredie, na rozpočet verejnej správy a nebude mať vplyv na životné prostredie a na informatizáciu spoločnosti.</w:t>
      </w:r>
    </w:p>
    <w:p w:rsidR="00BE1A02" w:rsidP="00BE1A02">
      <w:pPr>
        <w:bidi w:val="0"/>
        <w:jc w:val="both"/>
        <w:rPr>
          <w:rFonts w:ascii="Times New Roman" w:hAnsi="Times New Roman"/>
          <w:b/>
          <w:bCs/>
        </w:rPr>
      </w:pPr>
    </w:p>
    <w:p w:rsidR="00BE1A02" w:rsidP="00BE1A02">
      <w:pPr>
        <w:bidi w:val="0"/>
        <w:jc w:val="both"/>
        <w:rPr>
          <w:rFonts w:ascii="Times New Roman" w:hAnsi="Times New Roman"/>
          <w:b/>
          <w:bCs/>
        </w:rPr>
      </w:pPr>
    </w:p>
    <w:p w:rsidR="00BE1A02" w:rsidRPr="00390610" w:rsidP="00390610">
      <w:pPr>
        <w:numPr>
          <w:numId w:val="1"/>
        </w:numPr>
        <w:bidi w:val="0"/>
        <w:spacing w:line="300" w:lineRule="atLeast"/>
        <w:rPr>
          <w:rFonts w:asciiTheme="minorHAnsi" w:hAnsiTheme="minorHAnsi"/>
          <w:b/>
          <w:bCs/>
        </w:rPr>
      </w:pPr>
      <w:r w:rsidRPr="00390610">
        <w:rPr>
          <w:rFonts w:asciiTheme="minorHAnsi" w:hAnsiTheme="minorHAnsi"/>
          <w:b/>
          <w:bCs/>
        </w:rPr>
        <w:t>Osobitná časť</w:t>
      </w:r>
    </w:p>
    <w:p w:rsidR="00BE1A02" w:rsidP="00BE1A02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E1A02" w:rsidRPr="00390610" w:rsidP="00BE1A02">
      <w:pPr>
        <w:bidi w:val="0"/>
        <w:jc w:val="both"/>
        <w:rPr>
          <w:rFonts w:asciiTheme="minorHAnsi" w:hAnsiTheme="minorHAnsi"/>
          <w:b/>
          <w:bCs/>
          <w:color w:val="000000"/>
        </w:rPr>
      </w:pPr>
      <w:r w:rsidRPr="00390610">
        <w:rPr>
          <w:rFonts w:asciiTheme="minorHAnsi" w:hAnsiTheme="minorHAnsi"/>
          <w:b/>
          <w:bCs/>
          <w:color w:val="000000"/>
        </w:rPr>
        <w:t>K čl. I:</w:t>
      </w:r>
    </w:p>
    <w:p w:rsidR="00BE1A02" w:rsidP="00BE1A02">
      <w:pPr>
        <w:bidi w:val="0"/>
        <w:jc w:val="both"/>
        <w:rPr>
          <w:rFonts w:ascii="Times New Roman" w:hAnsi="Times New Roman"/>
          <w:color w:val="000000"/>
        </w:rPr>
      </w:pPr>
    </w:p>
    <w:p w:rsidR="00BE1A02" w:rsidRPr="00390610" w:rsidP="00BE1A02">
      <w:pPr>
        <w:bidi w:val="0"/>
        <w:jc w:val="both"/>
        <w:rPr>
          <w:rFonts w:asciiTheme="minorHAnsi" w:hAnsiTheme="minorHAnsi"/>
          <w:color w:val="000000"/>
        </w:rPr>
      </w:pPr>
      <w:r w:rsidRPr="00390610">
        <w:rPr>
          <w:rFonts w:asciiTheme="minorHAnsi" w:hAnsiTheme="minorHAnsi"/>
          <w:color w:val="000000"/>
        </w:rPr>
        <w:t>K bodu 1.:</w:t>
      </w:r>
    </w:p>
    <w:p w:rsidR="00BE1A02" w:rsidRPr="00390610" w:rsidP="00BE1A02">
      <w:pPr>
        <w:bidi w:val="0"/>
        <w:jc w:val="both"/>
        <w:rPr>
          <w:rFonts w:asciiTheme="minorHAnsi" w:hAnsiTheme="minorHAnsi"/>
          <w:color w:val="000000"/>
        </w:rPr>
      </w:pPr>
      <w:r w:rsidRPr="00390610">
        <w:rPr>
          <w:rFonts w:asciiTheme="minorHAnsi" w:hAnsiTheme="minorHAnsi"/>
          <w:color w:val="000000"/>
        </w:rPr>
        <w:t>Navrhuje sa, aby sa okruh nezapočítavaných príjmov rozšíril aj o príjem získaný z charitatívnej pomoci poskytnutej priamo fyzickými osobami a právnickými osobami pôsobiacimi mimo tretieho sektora.</w:t>
      </w:r>
    </w:p>
    <w:p w:rsidR="00BE1A02" w:rsidP="00BE1A02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E1A02" w:rsidRPr="00390610" w:rsidP="00BE1A02">
      <w:pPr>
        <w:bidi w:val="0"/>
        <w:jc w:val="both"/>
        <w:rPr>
          <w:rFonts w:asciiTheme="minorHAnsi" w:hAnsiTheme="minorHAnsi"/>
          <w:b/>
          <w:bCs/>
          <w:color w:val="000000"/>
        </w:rPr>
      </w:pPr>
      <w:r w:rsidRPr="00390610">
        <w:rPr>
          <w:rFonts w:asciiTheme="minorHAnsi" w:hAnsiTheme="minorHAnsi"/>
          <w:b/>
          <w:bCs/>
          <w:color w:val="000000"/>
        </w:rPr>
        <w:t>K čl. II:</w:t>
      </w:r>
    </w:p>
    <w:p w:rsidR="00BE1A02" w:rsidRPr="00390610" w:rsidP="00BE1A02">
      <w:pPr>
        <w:bidi w:val="0"/>
        <w:jc w:val="both"/>
        <w:rPr>
          <w:rFonts w:asciiTheme="minorHAnsi" w:hAnsiTheme="minorHAnsi"/>
          <w:color w:val="000000"/>
        </w:rPr>
      </w:pPr>
      <w:r w:rsidRPr="00390610">
        <w:rPr>
          <w:rFonts w:asciiTheme="minorHAnsi" w:hAnsiTheme="minorHAnsi"/>
          <w:color w:val="000000"/>
        </w:rPr>
        <w:t>Ustanovuje sa dátum nadobudnutia účinnosti vzhľadom na dĺžku legislatívneho procesu.</w:t>
      </w:r>
    </w:p>
    <w:p w:rsidR="00BE1A02" w:rsidRPr="008D0507" w:rsidP="00BE1A02">
      <w:pPr>
        <w:bidi w:val="0"/>
        <w:rPr>
          <w:rFonts w:ascii="Times New Roman" w:hAnsi="Times New Roman"/>
        </w:rPr>
      </w:pPr>
    </w:p>
    <w:p w:rsidR="00BE1A02" w:rsidRPr="00217AB4" w:rsidP="00BE1A02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A82F0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7720"/>
    <w:multiLevelType w:val="hybridMultilevel"/>
    <w:tmpl w:val="F59615A6"/>
    <w:lvl w:ilvl="0">
      <w:start w:val="1"/>
      <w:numFmt w:val="upperLetter"/>
      <w:lvlText w:val="%1.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E1A02"/>
    <w:rsid w:val="00217AB4"/>
    <w:rsid w:val="00390610"/>
    <w:rsid w:val="006337B9"/>
    <w:rsid w:val="008D0507"/>
    <w:rsid w:val="00A82F09"/>
    <w:rsid w:val="00BE1A0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0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1A0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241</Words>
  <Characters>1376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Pavlovic</dc:creator>
  <cp:lastModifiedBy>Gašparíková, Jarmila</cp:lastModifiedBy>
  <cp:revision>2</cp:revision>
  <dcterms:created xsi:type="dcterms:W3CDTF">2015-08-13T17:52:00Z</dcterms:created>
  <dcterms:modified xsi:type="dcterms:W3CDTF">2015-08-13T17:52:00Z</dcterms:modified>
</cp:coreProperties>
</file>