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color w:val="000000"/>
          <w:spacing w:val="30"/>
        </w:rPr>
      </w:pPr>
      <w:r>
        <w:rPr>
          <w:rFonts w:eastAsia="Times New Roman"/>
          <w:b/>
          <w:bCs/>
          <w:caps/>
          <w:color w:val="000000"/>
          <w:spacing w:val="30"/>
        </w:rPr>
        <w:t>Dôvodová správa</w:t>
      </w: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A. Všeobecná časť</w:t>
      </w: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spacing w:before="120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Návrh zákona, ktorým sa mení a dopĺňa zákon č. 110/2004 Z. z. o fungovaní Bezpečnostnej rady Slovenskej republiky v čase mieru v znení zákona č. 319/2012 Z. z. (ďalej len  „návrh zákona“), predkladá Ministerstvo obrany Slovenskej republiky ako materiál vyplývajúci z Plánu legislatívnych úloh vlády Slovenskej republiky na rok 2015. Návrh zákona bol spracovaný v spolupráci s Úradom vlády Slovenskej republiky a Ministerstvom hospodárstva Slovenskej republiky.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Účelom predloženia návrhu zákona je reakcia na aktuálne otázky strategickej bezpečnosti v oblastiach energetiky a kybernetickej bezpečnosti. Najnovší nepredvídateľný vývoj globálnej, ale aj regionálnej bezpečnostnej situácie poukazuje na to, že štruktúra pracovných orgánov Bezpečnostnej rady Slovenskej republiky plne nereflektuje tento vývoj a neumožňuje dostatočne flexibilnú a plne efektívnu reakciu zodpovedajúcich orgánov. Nie je dostatočne detailne pokrytá každá významná oblasť bezpečnosti príslušným pracovným orgánom. 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        Návrh zákona zriaďuje dva nové pracovné orgány Bezpečnostnej rady Slovenskej republiky, a to Výbor Bezpečnostnej rady Slovenskej republiky pre energetickú bezpečnosť a Výbor Bezpečnostnej rady Slovenskej republiky pre kybernetickú bezpečnosť. Vymedzuje úlohy, kompetencie a zloženie týchto výborov. Úlohy spojené s organizačným a administratívno-technickým zabezpečovaním činnosti výborov bude plniť sekretariát výboru. Úlohy sekretariátu výboru pre energetickú bezpečnosť bude zabezpečovať určený organizačný útvar Ministerstva hospodárstva Slovenskej republiky v súlade s organizačným poriadkom Ministerstva hospodárstva Slovenskej republiky. Úlohy sekretariátu výboru pre kybernetickú bezpečnosť bude zabezpečovať organizačný útvar Národného bezpečnostného úradu v súlade s organizačným poriadkom Národného bezpečnostného úradu.</w:t>
      </w: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       V reakcii na každoročnú prax pri kreovaní návrhu plánu práce Bezpečnostnej rady Slovenskej republiky na príslušný kalendárny rok upravuje návrh zákona termín predkladania tohto plánu.</w:t>
      </w: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Návrh zákona je v súlade s Ústavou Slovenskej republiky, ústavnými zákonmi, zákonmi a ostatnými všeobecne záväznými právnymi predpismi, ako aj s medzinárodnými zmluvami a medzinárodnými dokumentmi, ktorými je Slovenská republika viazaná, a s právom Európskej únie. 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Návrh zákona nemá byť predmetom vnútrokomunitárneho pripomienkového konania.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P="007E4A19">
      <w:pPr>
        <w:autoSpaceDE w:val="0"/>
        <w:bidi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Predkladaný návrh zákona nemá vplyv na rozpočet verejnej správy, na podnikateľské prostredie, na životné prostredie, na informatizáciu spoločnosti, ani žiadne sociálne vplyvy. </w:t>
      </w:r>
    </w:p>
    <w:p w:rsidR="007E4A19" w:rsidP="007E4A19">
      <w:pPr>
        <w:autoSpaceDE w:val="0"/>
        <w:bidi w:val="0"/>
        <w:ind w:firstLine="85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RPr="007566FA" w:rsidP="007E4A19">
      <w:pPr>
        <w:autoSpaceDE w:val="0"/>
        <w:bidi w:val="0"/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Neexistujú prekážky sprístupnenia materiálu podľa zákona č. 211/2000 Z. z. o slobodnom prístupe k informáciám a o zmene a doplnení niektorých zákonov (zákon o slobode informácií) v znení neskorších predpisov a podľa zákona č. 215/2004 Z. z. o ochrane utajovaných skutočností a o zmene a doplnení niektorých zákonov v znení neskorších predpisov.</w:t>
      </w: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color w:val="000000"/>
          <w:spacing w:val="30"/>
        </w:rPr>
      </w:pPr>
      <w:r>
        <w:rPr>
          <w:rFonts w:eastAsia="Times New Roman"/>
          <w:b/>
          <w:bCs/>
          <w:caps/>
          <w:color w:val="000000"/>
          <w:spacing w:val="30"/>
        </w:rPr>
        <w:t>Doložka</w:t>
      </w: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vybraných vplyvov</w:t>
      </w:r>
    </w:p>
    <w:p w:rsidR="007E4A19" w:rsidP="007E4A19">
      <w:pPr>
        <w:autoSpaceDE w:val="0"/>
        <w:bidi w:val="0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A.1. Názov materiálu: </w:t>
      </w:r>
      <w:r>
        <w:rPr>
          <w:rFonts w:eastAsia="Times New Roman"/>
          <w:color w:val="000000"/>
        </w:rPr>
        <w:t>Návrh zákona, ktorým sa mení a dopĺňa zákon č. 110/2004 Z. z. o fungovaní Bezpečnostnej rady Slovenskej republiky v čase mieru v znení zákona č. 319/2012 Z. z. </w:t>
      </w: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Termín začatia a ukončenia PPK:</w:t>
      </w:r>
      <w:r>
        <w:rPr>
          <w:rFonts w:eastAsia="Times New Roman"/>
          <w:color w:val="000000"/>
        </w:rPr>
        <w:t xml:space="preserve"> -  </w:t>
      </w: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A.2. Vplyvy:</w:t>
      </w:r>
    </w:p>
    <w:tbl>
      <w:tblPr>
        <w:tblStyle w:val="TableNormal"/>
        <w:tblW w:w="0" w:type="auto"/>
        <w:tblInd w:w="-7" w:type="dxa"/>
        <w:tblLayout w:type="fixed"/>
        <w:tblCellMar>
          <w:left w:w="10" w:type="dxa"/>
          <w:right w:w="1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Pozitívne 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Žiadne 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Vplyvy na rozpočet verejnej správy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Sociálne vplyvy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– vplyvy na hospodárenie obyvateľstva,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– sociálnu exklúziu,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Vplyvy na životné prostredie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>
        <w:tblPrEx>
          <w:tblW w:w="0" w:type="auto"/>
          <w:tblInd w:w="-7" w:type="dxa"/>
          <w:tblLayout w:type="fixed"/>
          <w:tblCellMar>
            <w:left w:w="10" w:type="dxa"/>
            <w:right w:w="10" w:type="dxa"/>
          </w:tblCellMar>
        </w:tblPrEx>
        <w:tc>
          <w:tcPr>
            <w:tcW w:w="5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Vplyvy na informatizáciu spoločnosti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lrTb"/>
            <w:vAlign w:val="center"/>
          </w:tcPr>
          <w:p w:rsidR="007E4A19" w:rsidP="00B7497D">
            <w:pPr>
              <w:autoSpaceDE w:val="0"/>
              <w:bidi w:val="0"/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7E4A19" w:rsidP="007E4A19">
      <w:pPr>
        <w:autoSpaceDE w:val="0"/>
        <w:bidi w:val="0"/>
        <w:spacing w:after="200"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A.3. Poznámky</w:t>
      </w:r>
    </w:p>
    <w:p w:rsidR="007E4A19" w:rsidP="007E4A19">
      <w:pPr>
        <w:autoSpaceDE w:val="0"/>
        <w:bidi w:val="0"/>
        <w:jc w:val="both"/>
        <w:rPr>
          <w:rFonts w:eastAsia="Times New Roman"/>
          <w:i/>
          <w:iCs/>
          <w:color w:val="000000"/>
        </w:rPr>
      </w:pP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A.4. Alternatívne riešenia</w:t>
      </w:r>
    </w:p>
    <w:p w:rsidR="007E4A19" w:rsidP="007E4A19">
      <w:pPr>
        <w:autoSpaceDE w:val="0"/>
        <w:bidi w:val="0"/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Bezpredmetné.</w:t>
      </w:r>
    </w:p>
    <w:p w:rsidR="007E4A19" w:rsidP="007E4A19">
      <w:pPr>
        <w:autoSpaceDE w:val="0"/>
        <w:bidi w:val="0"/>
        <w:spacing w:after="280"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P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A.5. Stanovisko gestorov</w:t>
      </w:r>
    </w:p>
    <w:p w:rsidR="007E4A19" w:rsidP="007E4A19">
      <w:pPr>
        <w:autoSpaceDE w:val="0"/>
        <w:bidi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7E4A19" w:rsidP="007E4A19">
      <w:pPr>
        <w:bidi w:val="0"/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rPr>
          <w:rFonts w:eastAsia="Times New Roman"/>
          <w:b/>
          <w:bCs/>
          <w:caps/>
          <w:spacing w:val="30"/>
        </w:rPr>
      </w:pP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  <w:caps/>
          <w:spacing w:val="30"/>
        </w:rPr>
      </w:pPr>
      <w:r>
        <w:rPr>
          <w:rFonts w:eastAsia="Times New Roman"/>
          <w:b/>
          <w:bCs/>
          <w:caps/>
          <w:spacing w:val="30"/>
        </w:rPr>
        <w:t>Doložka zlučiteľnosti</w:t>
      </w:r>
    </w:p>
    <w:p w:rsidR="007E4A19" w:rsidP="007E4A19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právneho predpisu s právom Európskej únie </w:t>
      </w:r>
    </w:p>
    <w:p w:rsidR="007E4A19" w:rsidP="007E4A19">
      <w:pPr>
        <w:autoSpaceDE w:val="0"/>
        <w:bidi w:val="0"/>
        <w:rPr>
          <w:rFonts w:eastAsia="Times New Roman"/>
        </w:rPr>
      </w:pPr>
    </w:p>
    <w:p w:rsidR="007E4A19" w:rsidP="007E4A19">
      <w:pPr>
        <w:autoSpaceDE w:val="0"/>
        <w:bidi w:val="0"/>
        <w:rPr>
          <w:rFonts w:eastAsia="Times New Roman"/>
        </w:rPr>
      </w:pPr>
    </w:p>
    <w:p w:rsidR="007E4A19" w:rsidP="007E4A19">
      <w:pPr>
        <w:autoSpaceDE w:val="0"/>
        <w:bidi w:val="0"/>
        <w:ind w:left="360" w:hanging="360"/>
        <w:rPr>
          <w:rFonts w:eastAsia="Times New Roman"/>
        </w:rPr>
      </w:pPr>
      <w:r>
        <w:rPr>
          <w:rFonts w:eastAsia="Times New Roman"/>
          <w:b/>
          <w:bCs/>
        </w:rPr>
        <w:t>1.</w:t>
        <w:tab/>
        <w:t>Predkladateľ právneho predpisu:</w:t>
      </w:r>
      <w:r>
        <w:rPr>
          <w:rFonts w:eastAsia="Times New Roman"/>
        </w:rPr>
        <w:t xml:space="preserve"> vláda Slovenskej republiky </w:t>
      </w:r>
    </w:p>
    <w:p w:rsidR="007E4A19" w:rsidP="007E4A19">
      <w:pPr>
        <w:tabs>
          <w:tab w:val="left" w:pos="360"/>
        </w:tabs>
        <w:autoSpaceDE w:val="0"/>
        <w:bidi w:val="0"/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7E4A19" w:rsidP="007E4A19">
      <w:pPr>
        <w:autoSpaceDE w:val="0"/>
        <w:bidi w:val="0"/>
        <w:ind w:left="360" w:hanging="360"/>
        <w:jc w:val="both"/>
        <w:rPr>
          <w:rFonts w:eastAsia="Times New Roman"/>
        </w:rPr>
      </w:pPr>
      <w:r>
        <w:rPr>
          <w:rFonts w:eastAsia="Times New Roman"/>
          <w:b/>
          <w:bCs/>
        </w:rPr>
        <w:t>2.</w:t>
        <w:tab/>
        <w:t>Názov návrhu právneho predpisu:</w:t>
      </w:r>
      <w:r>
        <w:rPr>
          <w:rFonts w:eastAsia="Times New Roman"/>
        </w:rPr>
        <w:t xml:space="preserve"> Návrh zákona, ktorým sa mení a dopĺňa zákon č. 110/2004 Z. z. o fungovaní Bezpečnostnej rady Slovenskej republiky v čase mieru v znení zákona č. 319/2012 Z. z. </w:t>
      </w:r>
    </w:p>
    <w:p w:rsidR="007E4A19" w:rsidP="007E4A19">
      <w:pPr>
        <w:autoSpaceDE w:val="0"/>
        <w:bidi w:val="0"/>
        <w:rPr>
          <w:rFonts w:eastAsia="Times New Roman"/>
        </w:rPr>
      </w:pPr>
    </w:p>
    <w:p w:rsidR="007E4A19" w:rsidP="007E4A19">
      <w:pPr>
        <w:autoSpaceDE w:val="0"/>
        <w:bidi w:val="0"/>
        <w:ind w:left="36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  <w:tab/>
        <w:t>Problematika návrhu právneho predpisu:</w:t>
      </w:r>
    </w:p>
    <w:p w:rsidR="007E4A19" w:rsidP="007E4A19">
      <w:pPr>
        <w:autoSpaceDE w:val="0"/>
        <w:bidi w:val="0"/>
        <w:ind w:firstLine="360"/>
        <w:rPr>
          <w:rFonts w:eastAsia="Times New Roman"/>
        </w:rPr>
      </w:pPr>
    </w:p>
    <w:p w:rsidR="007E4A19" w:rsidP="007E4A19">
      <w:pPr>
        <w:autoSpaceDE w:val="0"/>
        <w:bidi w:val="0"/>
        <w:ind w:left="709" w:hanging="349"/>
        <w:rPr>
          <w:rFonts w:eastAsia="Times New Roman"/>
        </w:rPr>
      </w:pPr>
      <w:r>
        <w:rPr>
          <w:rFonts w:eastAsia="Times New Roman"/>
        </w:rPr>
        <w:t>a)</w:t>
        <w:tab/>
        <w:t>nie je upravená v práve Európskej únie</w:t>
      </w:r>
    </w:p>
    <w:p w:rsidR="007E4A19" w:rsidP="007E4A19">
      <w:pPr>
        <w:autoSpaceDE w:val="0"/>
        <w:bidi w:val="0"/>
        <w:ind w:left="360"/>
        <w:rPr>
          <w:rFonts w:eastAsia="Times New Roman"/>
        </w:rPr>
      </w:pPr>
    </w:p>
    <w:p w:rsidR="007E4A19" w:rsidP="007E4A19">
      <w:pPr>
        <w:autoSpaceDE w:val="0"/>
        <w:bidi w:val="0"/>
        <w:ind w:firstLine="360"/>
        <w:rPr>
          <w:rFonts w:eastAsia="Times New Roman"/>
        </w:rPr>
      </w:pPr>
    </w:p>
    <w:p w:rsidR="007E4A19" w:rsidP="007E4A19">
      <w:pPr>
        <w:autoSpaceDE w:val="0"/>
        <w:bidi w:val="0"/>
        <w:ind w:left="709" w:hanging="349"/>
        <w:rPr>
          <w:rFonts w:eastAsia="Times New Roman"/>
        </w:rPr>
      </w:pPr>
      <w:r>
        <w:rPr>
          <w:rFonts w:eastAsia="Times New Roman"/>
        </w:rPr>
        <w:t>b)</w:t>
        <w:tab/>
        <w:t>nie je obsiahnutá v judikatúre Súdneho dvora Európskej únie.</w:t>
      </w:r>
    </w:p>
    <w:p w:rsidR="007E4A19" w:rsidP="007E4A19">
      <w:pPr>
        <w:autoSpaceDE w:val="0"/>
        <w:bidi w:val="0"/>
        <w:ind w:left="360"/>
        <w:rPr>
          <w:rFonts w:eastAsia="Times New Roman"/>
        </w:rPr>
      </w:pPr>
    </w:p>
    <w:p w:rsidR="007E4A19" w:rsidP="007E4A19">
      <w:pPr>
        <w:autoSpaceDE w:val="0"/>
        <w:bidi w:val="0"/>
        <w:rPr>
          <w:rFonts w:eastAsia="Times New Roman"/>
        </w:rPr>
      </w:pPr>
    </w:p>
    <w:p w:rsidR="007E4A19" w:rsidP="007E4A19">
      <w:pPr>
        <w:autoSpaceDE w:val="0"/>
        <w:bidi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Vzhľadom na vnútroštátny charakter navrhovaného právneho predpisu je bezpredmetné vyjadrovať sa k bodom 4., 5. a 6. doložky zlučiteľnosti.</w:t>
      </w:r>
    </w:p>
    <w:p w:rsidR="007E4A19" w:rsidP="007E4A19">
      <w:pPr>
        <w:autoSpaceDE w:val="0"/>
        <w:bidi w:val="0"/>
        <w:rPr>
          <w:rFonts w:eastAsia="Times New Roman"/>
          <w:b/>
          <w:bCs/>
        </w:rPr>
      </w:pPr>
    </w:p>
    <w:p w:rsidR="007E4A19" w:rsidP="007E4A19">
      <w:pPr>
        <w:tabs>
          <w:tab w:val="left" w:pos="360"/>
        </w:tabs>
        <w:autoSpaceDE w:val="0"/>
        <w:bidi w:val="0"/>
        <w:ind w:left="360"/>
        <w:rPr>
          <w:rFonts w:eastAsia="Times New Roman"/>
        </w:rPr>
      </w:pPr>
    </w:p>
    <w:p w:rsidR="007E4A19" w:rsidP="007E4A19">
      <w:pPr>
        <w:bidi w:val="0"/>
        <w:jc w:val="both"/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7E4A19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</w:p>
    <w:p w:rsidR="006B58D3">
      <w:pPr>
        <w:autoSpaceDE w:val="0"/>
        <w:bidi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B. Osobitná časť</w:t>
      </w:r>
    </w:p>
    <w:p w:rsidR="006B58D3">
      <w:pPr>
        <w:autoSpaceDE w:val="0"/>
        <w:bidi w:val="0"/>
        <w:jc w:val="both"/>
        <w:rPr>
          <w:rFonts w:eastAsia="Times New Roman"/>
          <w:color w:val="000000"/>
        </w:rPr>
      </w:pPr>
    </w:p>
    <w:p w:rsidR="006B58D3">
      <w:pPr>
        <w:autoSpaceDE w:val="0"/>
        <w:bidi w:val="0"/>
        <w:jc w:val="both"/>
        <w:rPr>
          <w:rFonts w:eastAsia="Times New Roman"/>
          <w:color w:val="000000"/>
        </w:rPr>
      </w:pP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> </w:t>
      </w:r>
      <w:r>
        <w:rPr>
          <w:rFonts w:eastAsia="Times New Roman"/>
          <w:b/>
          <w:bCs/>
          <w:color w:val="000000"/>
        </w:rPr>
        <w:t>Čl. I  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K bodu 1 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           Oproti doterajšej právnej úprave sa dopĺňa, že Bezpečnostná rada Slovenskej republiky bude vyhodnocovať bezpečnostnú situáciu v Slovenskej republike a vo svete </w:t>
      </w:r>
      <w:r w:rsidR="00FA5BE5">
        <w:rPr>
          <w:rFonts w:eastAsia="Times New Roman"/>
          <w:color w:val="000000"/>
        </w:rPr>
        <w:t>aj s využitím informácií</w:t>
      </w:r>
      <w:r>
        <w:rPr>
          <w:rFonts w:eastAsia="Times New Roman"/>
          <w:color w:val="000000"/>
        </w:rPr>
        <w:t xml:space="preserve"> Situačného centra Slovenskej republiky, ktoré prostredníctvom prijímania a poskytovania informácií bude neustále monitorovať bezpečnostnú situáciu v Slovenskej republike a vo svete, a tým prispeje i k aktívnejšej a pružnejšej činnosti výborov Bezpečnostnej rady Slovenskej republiky. Zámer zriadenia Situačného centra Slovenskej republiky bol odsúhlasený vládou Slovenskej republiky na jej zasadaní 4. júna 2014 uznesením č. 277 a Štúdia uskutočniteľnosti Situačného centra Slovenskej republiky bola schválená vládou Slovenskej republiky jej uznesením č. 48 z 28. januára 2015, v ktorom vláda Slovenskej republiky zároveň súhlasila so zriadením Situačného centra Slovenskej republiky.   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 bodu 2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       Oproti doterajšej právnej úprave sa upravuje termín predkladania návrhu plánu práce Bezpečnostnej rady Slovenskej republiky na príslušný kalendárny rok z dôvodu, že v doteraz platnom zákonom ustanovenom termíne nie je možné pripraviť dostatočne kvalitný návrh plánu práce, keďže plány práce ostatných poradných orgánov vlády Slovenskej republiky, z ktorých vychádza, sú schvaľované v neskorších termínoch. Následne z plánu práce Bezpečnostnej rady Slovenskej republiky na príslušný kalendárny rok majú vychádzať plány práce jednotlivých výborov Bezpečnostnej rady Slovenskej republiky.    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 bodom 3 až 8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000000"/>
        </w:rPr>
        <w:t>Legislatívnotechnická úprava – úprava názvov ústredných orgánov štátnej správy podľa zákona č. 575/2001 Z. z. o organizácii činnosti vlády a organizácii ústrednej štátnej správy v znení neskorších predpisov.          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 K bodu 9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        Zriaďujú sa dva nové výbory Bezpečnostnej rady Slovenskej republiky, a to Výbor Bezpečnostnej rady Slovenskej republiky pre energetickú bezpečnosť a Výbor Bezpečnostnej rady Slovenskej republiky pre kybernetickú bezpečnosť. Od týchto výborov sa očakáva  ich aktívnejšie, pružnejšie zapojenie do vyhodnocovania bezpečnostnej situácie v Slovenskej republike a vo svete s nadviazaním na činnosť Situačného centra Slovenskej republiky pre vyhodnocovanie bezpečnostnej situácie v Slovenskej republike a vo svete. 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 bodu 10</w:t>
      </w:r>
    </w:p>
    <w:p w:rsidR="006B58D3">
      <w:pPr>
        <w:autoSpaceDE w:val="0"/>
        <w:bidi w:val="0"/>
        <w:spacing w:after="2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       V nadväznosti na novelizačný bod 2 sa oproti doterajšej právnej úprave upravuje termín predkladania návrhu plánu práce výborov Bezpečnostnej rady Slovenskej republiky na príslušný kalendárny rok z dôvodu, že v doteraz platnom zákonom ustanovenom termíne nie je možné pripraviť dostatočne kvalitné návrhy plánov práce, keďže plány práce výborov vychádzajú z plánu práce Bezpečnostnej rady Slovenskej republi</w:t>
      </w:r>
      <w:r w:rsidR="00FA5BE5">
        <w:rPr>
          <w:rFonts w:eastAsia="Times New Roman"/>
          <w:color w:val="000000"/>
        </w:rPr>
        <w:t>ky na príslušný kalendárny rok.</w:t>
      </w:r>
    </w:p>
    <w:p w:rsidR="00F4635B" w:rsidP="00F4635B">
      <w:pPr>
        <w:autoSpaceDE w:val="0"/>
        <w:bidi w:val="0"/>
        <w:ind w:firstLine="709"/>
        <w:jc w:val="both"/>
        <w:rPr>
          <w:rFonts w:eastAsia="Times New Roman"/>
          <w:color w:val="000000"/>
        </w:rPr>
      </w:pPr>
    </w:p>
    <w:p w:rsidR="006B58D3">
      <w:pPr>
        <w:autoSpaceDE w:val="0"/>
        <w:bidi w:val="0"/>
        <w:spacing w:after="200"/>
        <w:jc w:val="both"/>
        <w:rPr>
          <w:rFonts w:eastAsia="Times New Roman"/>
          <w:b/>
          <w:bCs/>
          <w:color w:val="000000"/>
        </w:rPr>
      </w:pPr>
      <w:r w:rsidR="00247196">
        <w:rPr>
          <w:rFonts w:eastAsia="Times New Roman"/>
          <w:b/>
          <w:bCs/>
          <w:color w:val="000000"/>
        </w:rPr>
        <w:t>Čl. II</w:t>
      </w:r>
    </w:p>
    <w:p w:rsidR="006B58D3" w:rsidP="00247196">
      <w:pPr>
        <w:autoSpaceDE w:val="0"/>
        <w:bidi w:val="0"/>
        <w:spacing w:after="20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Navrh</w:t>
      </w:r>
      <w:r w:rsidR="00FA5BE5">
        <w:rPr>
          <w:rFonts w:eastAsia="Times New Roman"/>
          <w:color w:val="000000"/>
        </w:rPr>
        <w:t>uje sa</w:t>
      </w:r>
      <w:r>
        <w:rPr>
          <w:rFonts w:eastAsia="Times New Roman"/>
          <w:color w:val="000000"/>
        </w:rPr>
        <w:t xml:space="preserve"> dátum účinnosti zákona. </w:t>
      </w:r>
    </w:p>
    <w:p w:rsidR="002403A5" w:rsidP="00247196">
      <w:pPr>
        <w:autoSpaceDE w:val="0"/>
        <w:bidi w:val="0"/>
        <w:spacing w:after="200"/>
        <w:ind w:firstLine="708"/>
        <w:jc w:val="both"/>
        <w:rPr>
          <w:rFonts w:eastAsia="Times New Roman"/>
          <w:color w:val="000000"/>
        </w:rPr>
      </w:pPr>
    </w:p>
    <w:p w:rsidR="002403A5" w:rsidP="002403A5">
      <w:pPr>
        <w:bidi w:val="0"/>
        <w:jc w:val="both"/>
        <w:rPr>
          <w:rStyle w:val="PlaceholderText1"/>
          <w:rFonts w:hint="default"/>
          <w:color w:val="000000"/>
        </w:rPr>
      </w:pPr>
      <w:r>
        <w:rPr>
          <w:rStyle w:val="PlaceholderText1"/>
          <w:rFonts w:hint="default"/>
          <w:color w:val="000000"/>
        </w:rPr>
        <w:t>Bratislava 8. jú</w:t>
      </w:r>
      <w:r>
        <w:rPr>
          <w:rStyle w:val="PlaceholderText1"/>
          <w:rFonts w:hint="default"/>
          <w:color w:val="000000"/>
        </w:rPr>
        <w:t>la 2015</w:t>
      </w:r>
    </w:p>
    <w:p w:rsidR="002403A5" w:rsidP="002403A5">
      <w:pPr>
        <w:bidi w:val="0"/>
        <w:jc w:val="both"/>
        <w:rPr>
          <w:rStyle w:val="PlaceholderText1"/>
          <w:rFonts w:hint="default"/>
          <w:color w:val="000000"/>
        </w:rPr>
      </w:pPr>
    </w:p>
    <w:p w:rsidR="002403A5" w:rsidP="002403A5">
      <w:pPr>
        <w:bidi w:val="0"/>
        <w:jc w:val="both"/>
        <w:rPr>
          <w:rStyle w:val="PlaceholderText1"/>
          <w:rFonts w:hint="default"/>
          <w:color w:val="000000"/>
        </w:rPr>
      </w:pPr>
    </w:p>
    <w:p w:rsidR="002403A5" w:rsidP="002403A5">
      <w:pPr>
        <w:bidi w:val="0"/>
        <w:jc w:val="both"/>
        <w:rPr>
          <w:rStyle w:val="PlaceholderText1"/>
          <w:rFonts w:hint="default"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b/>
          <w:color w:val="000000"/>
        </w:rPr>
        <w:t>Robert Fico</w:t>
      </w:r>
      <w:r w:rsidR="00B7497D">
        <w:rPr>
          <w:rStyle w:val="Textzstupnhosymbolu"/>
          <w:b/>
          <w:color w:val="000000"/>
        </w:rPr>
        <w:t>, v. r.</w:t>
      </w:r>
    </w:p>
    <w:p w:rsidR="002403A5" w:rsidRPr="008E3CDD" w:rsidP="002403A5">
      <w:pPr>
        <w:bidi w:val="0"/>
        <w:jc w:val="center"/>
        <w:rPr>
          <w:rStyle w:val="Textzstupnhosymbolu"/>
          <w:rFonts w:hint="default"/>
          <w:color w:val="000000"/>
        </w:rPr>
      </w:pPr>
      <w:r w:rsidRPr="008E3CDD">
        <w:rPr>
          <w:rStyle w:val="Textzstupnhosymbolu"/>
          <w:rFonts w:hint="default"/>
          <w:color w:val="000000"/>
        </w:rPr>
        <w:t>predseda vlá</w:t>
      </w:r>
      <w:r w:rsidRPr="008E3CDD">
        <w:rPr>
          <w:rStyle w:val="Textzstupnhosymbolu"/>
          <w:rFonts w:hint="default"/>
          <w:color w:val="000000"/>
        </w:rPr>
        <w:t>dy Slovenskej republiky</w:t>
      </w: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</w:p>
    <w:p w:rsidR="002403A5" w:rsidP="002403A5">
      <w:pPr>
        <w:bidi w:val="0"/>
        <w:jc w:val="center"/>
        <w:rPr>
          <w:rStyle w:val="Textzstupnhosymbolu"/>
          <w:b/>
          <w:color w:val="000000"/>
        </w:rPr>
      </w:pPr>
      <w:r>
        <w:rPr>
          <w:rStyle w:val="Textzstupnhosymbolu"/>
          <w:rFonts w:hint="default"/>
          <w:b/>
          <w:color w:val="000000"/>
        </w:rPr>
        <w:t>Martin Glváč</w:t>
      </w:r>
      <w:r w:rsidR="00B7497D">
        <w:rPr>
          <w:rStyle w:val="Textzstupnhosymbolu"/>
          <w:b/>
          <w:color w:val="000000"/>
        </w:rPr>
        <w:t>, v. r.</w:t>
      </w:r>
    </w:p>
    <w:p w:rsidR="002403A5" w:rsidRPr="008E3CDD" w:rsidP="002403A5">
      <w:pPr>
        <w:bidi w:val="0"/>
        <w:jc w:val="center"/>
        <w:rPr>
          <w:rStyle w:val="Textzstupnhosymbolu"/>
          <w:color w:val="000000"/>
        </w:rPr>
      </w:pPr>
      <w:r w:rsidRPr="008E3CDD">
        <w:rPr>
          <w:rStyle w:val="Textzstupnhosymbolu"/>
          <w:color w:val="000000"/>
        </w:rPr>
        <w:t>minister obrany Slovenskej republiky</w:t>
      </w:r>
    </w:p>
    <w:p w:rsidR="002403A5" w:rsidP="00247196">
      <w:pPr>
        <w:autoSpaceDE w:val="0"/>
        <w:bidi w:val="0"/>
        <w:spacing w:after="200"/>
        <w:ind w:firstLine="708"/>
        <w:jc w:val="both"/>
      </w:pPr>
    </w:p>
    <w:sectPr w:rsidSect="007E4A19">
      <w:pgSz w:w="11905" w:h="16837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FA5BE5"/>
    <w:rsid w:val="002403A5"/>
    <w:rsid w:val="00247196"/>
    <w:rsid w:val="006B58D3"/>
    <w:rsid w:val="007566FA"/>
    <w:rsid w:val="007E4A19"/>
    <w:rsid w:val="008A7545"/>
    <w:rsid w:val="008E3CDD"/>
    <w:rsid w:val="00B7497D"/>
    <w:rsid w:val="00F4635B"/>
    <w:rsid w:val="00FA5BE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Lucida Sans Unicode" w:hAnsi="Times New Roman" w:cs="Times New Roman"/>
      <w:kern w:val="1"/>
      <w:sz w:val="24"/>
      <w:szCs w:val="24"/>
      <w:rtl w:val="0"/>
      <w:cs w:val="0"/>
      <w:lang w:val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character" w:customStyle="1" w:styleId="PlaceholderText1">
    <w:name w:val="Placeholder Text1"/>
    <w:semiHidden/>
    <w:rsid w:val="002403A5"/>
    <w:rPr>
      <w:rFonts w:ascii="Times New Roman" w:hAnsi="Times New Roman" w:cs="Times New Roman"/>
      <w:color w:val="808080"/>
    </w:rPr>
  </w:style>
  <w:style w:type="character" w:customStyle="1" w:styleId="Textzstupnhosymbolu">
    <w:name w:val="Text zástupného symbolu"/>
    <w:uiPriority w:val="99"/>
    <w:semiHidden/>
    <w:rsid w:val="002403A5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1093</Words>
  <Characters>6231</Characters>
  <Application>Microsoft Office Word</Application>
  <DocSecurity>0</DocSecurity>
  <Lines>0</Lines>
  <Paragraphs>0</Paragraphs>
  <ScaleCrop>false</ScaleCrop>
  <Company>MO SR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DONATOVA Dasa</dc:creator>
  <cp:lastModifiedBy>Gašparíková, Jarmila</cp:lastModifiedBy>
  <cp:revision>2</cp:revision>
  <dcterms:created xsi:type="dcterms:W3CDTF">2015-07-30T14:03:00Z</dcterms:created>
  <dcterms:modified xsi:type="dcterms:W3CDTF">2015-07-30T14:03:00Z</dcterms:modified>
</cp:coreProperties>
</file>