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0596" w:rsidP="00AC0596">
      <w:pPr>
        <w:pStyle w:val="Title"/>
        <w:bidi w:val="0"/>
        <w:spacing w:after="120"/>
        <w:rPr>
          <w:rFonts w:ascii="Times New Roman" w:hAnsi="Times New Roman"/>
          <w:bCs/>
          <w:sz w:val="30"/>
          <w:szCs w:val="30"/>
          <w:lang w:val="pl-PL"/>
        </w:rPr>
      </w:pPr>
      <w:r>
        <w:rPr>
          <w:rFonts w:ascii="Times New Roman" w:hAnsi="Times New Roman"/>
          <w:bCs/>
          <w:sz w:val="30"/>
          <w:szCs w:val="30"/>
          <w:lang w:val="pl-PL"/>
        </w:rPr>
        <w:t xml:space="preserve">N Á R O D N Á   R A D A   S L O V E N S K E J   R E P U B L I K Y </w:t>
      </w:r>
    </w:p>
    <w:p w:rsidR="00AC0596" w:rsidP="00AC0596">
      <w:pPr>
        <w:pStyle w:val="Title"/>
        <w:bidi w:val="0"/>
        <w:rPr>
          <w:rFonts w:ascii="Times New Roman" w:hAnsi="Times New Roman"/>
          <w:b w:val="0"/>
          <w:bCs/>
          <w:sz w:val="26"/>
          <w:szCs w:val="26"/>
          <w:lang w:val="pl-PL"/>
        </w:rPr>
      </w:pPr>
      <w:r>
        <w:rPr>
          <w:rFonts w:ascii="Times New Roman" w:hAnsi="Times New Roman"/>
          <w:b w:val="0"/>
          <w:bCs/>
          <w:sz w:val="26"/>
          <w:szCs w:val="26"/>
          <w:lang w:val="pl-PL"/>
        </w:rPr>
        <w:t>VI. volebné obdobie</w:t>
      </w:r>
    </w:p>
    <w:p w:rsidR="00AC0596" w:rsidP="00AC0596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AC0596" w:rsidP="00AC0596">
      <w:pPr>
        <w:bidi w:val="0"/>
        <w:jc w:val="center"/>
        <w:rPr>
          <w:b/>
          <w:color w:val="000000"/>
        </w:rPr>
      </w:pPr>
    </w:p>
    <w:p w:rsidR="00AC0596" w:rsidP="00AC0596">
      <w:pPr>
        <w:bidi w:val="0"/>
        <w:jc w:val="center"/>
        <w:rPr>
          <w:b/>
          <w:color w:val="000000"/>
        </w:rPr>
      </w:pPr>
    </w:p>
    <w:p w:rsidR="00AC0596" w:rsidP="00AC0596">
      <w:pPr>
        <w:bidi w:val="0"/>
        <w:jc w:val="center"/>
        <w:rPr>
          <w:b/>
          <w:color w:val="000000"/>
        </w:rPr>
      </w:pPr>
    </w:p>
    <w:p w:rsidR="00EB53C6" w:rsidRPr="00AF3CA6" w:rsidP="00EB53C6">
      <w:pPr>
        <w:bidi w:val="0"/>
        <w:jc w:val="center"/>
        <w:rPr>
          <w:rFonts w:eastAsia="Times New Roman"/>
          <w:b/>
          <w:kern w:val="0"/>
          <w:sz w:val="28"/>
          <w:szCs w:val="28"/>
          <w:lang w:eastAsia="sk-SK"/>
        </w:rPr>
      </w:pPr>
      <w:r w:rsidRPr="00AF3CA6">
        <w:rPr>
          <w:b/>
          <w:sz w:val="28"/>
          <w:szCs w:val="28"/>
        </w:rPr>
        <w:t>1646</w:t>
      </w:r>
    </w:p>
    <w:p w:rsidR="00AC0596" w:rsidP="00AC0596">
      <w:pPr>
        <w:bidi w:val="0"/>
        <w:jc w:val="center"/>
        <w:rPr>
          <w:b/>
          <w:color w:val="000000"/>
        </w:rPr>
      </w:pPr>
    </w:p>
    <w:p w:rsidR="00AC0596" w:rsidP="00AC0596">
      <w:pPr>
        <w:bidi w:val="0"/>
        <w:jc w:val="center"/>
        <w:rPr>
          <w:b/>
          <w:color w:val="000000"/>
        </w:rPr>
      </w:pPr>
    </w:p>
    <w:p w:rsidR="00AC0596" w:rsidP="00AC0596">
      <w:pPr>
        <w:pStyle w:val="Heading5"/>
        <w:keepNext/>
        <w:widowControl w:val="0"/>
        <w:suppressAutoHyphens/>
        <w:bidi w:val="0"/>
        <w:spacing w:after="120"/>
        <w:jc w:val="center"/>
        <w:rPr>
          <w:rFonts w:ascii="Times New Roman" w:hAnsi="Times New Roman"/>
          <w:i w:val="0"/>
          <w:caps/>
          <w:sz w:val="28"/>
          <w:szCs w:val="24"/>
        </w:rPr>
      </w:pPr>
      <w:r>
        <w:rPr>
          <w:rFonts w:ascii="Times New Roman" w:hAnsi="Times New Roman"/>
          <w:i w:val="0"/>
          <w:caps/>
          <w:sz w:val="28"/>
          <w:szCs w:val="24"/>
        </w:rPr>
        <w:t>VLÁDNY NÁVRH</w:t>
      </w:r>
    </w:p>
    <w:p w:rsidR="00AC0596" w:rsidP="00AC0596">
      <w:pPr>
        <w:autoSpaceDE w:val="0"/>
        <w:autoSpaceDN w:val="0"/>
        <w:bidi w:val="0"/>
        <w:adjustRightInd w:val="0"/>
        <w:jc w:val="center"/>
        <w:rPr>
          <w:b/>
          <w:bCs/>
        </w:rPr>
      </w:pPr>
    </w:p>
    <w:p w:rsidR="00AC0596" w:rsidP="00AC0596">
      <w:pPr>
        <w:bidi w:val="0"/>
        <w:jc w:val="center"/>
        <w:rPr>
          <w:rFonts w:hint="default"/>
          <w:b/>
          <w:bCs/>
        </w:rPr>
      </w:pPr>
      <w:r>
        <w:rPr>
          <w:b/>
          <w:bCs/>
        </w:rPr>
        <w:t>Z </w:t>
      </w:r>
      <w:r>
        <w:rPr>
          <w:rFonts w:hint="default"/>
          <w:b/>
          <w:bCs/>
        </w:rPr>
        <w:t>Á</w:t>
      </w:r>
      <w:r>
        <w:rPr>
          <w:rFonts w:hint="default"/>
          <w:b/>
          <w:bCs/>
        </w:rPr>
        <w:t xml:space="preserve"> K O N</w:t>
      </w:r>
    </w:p>
    <w:p w:rsidR="00AC0596">
      <w:pPr>
        <w:autoSpaceDE w:val="0"/>
        <w:bidi w:val="0"/>
        <w:jc w:val="center"/>
        <w:rPr>
          <w:rFonts w:eastAsia="Times New Roman"/>
          <w:b/>
          <w:bCs/>
        </w:rPr>
      </w:pP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 ... 2015,</w:t>
      </w: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ktorým sa mení a dopĺňa zákon č. 110/2004 Z. z. o fungovaní Bezpečnostnej rady Slovenskej republiky v čase mieru v znení zákona č. 319/2012 Z. z. </w:t>
      </w:r>
    </w:p>
    <w:p w:rsidR="00466607">
      <w:pPr>
        <w:autoSpaceDE w:val="0"/>
        <w:bidi w:val="0"/>
        <w:rPr>
          <w:rFonts w:eastAsia="Times New Roman"/>
        </w:rPr>
      </w:pPr>
    </w:p>
    <w:p w:rsidR="00F71E61">
      <w:pPr>
        <w:autoSpaceDE w:val="0"/>
        <w:bidi w:val="0"/>
        <w:rPr>
          <w:rFonts w:eastAsia="Times New Roman"/>
        </w:rPr>
      </w:pPr>
    </w:p>
    <w:p w:rsidR="00466607">
      <w:pPr>
        <w:autoSpaceDE w:val="0"/>
        <w:bidi w:val="0"/>
        <w:ind w:firstLine="708"/>
        <w:rPr>
          <w:rFonts w:eastAsia="Times New Roman"/>
        </w:rPr>
      </w:pPr>
      <w:r>
        <w:rPr>
          <w:rFonts w:eastAsia="Times New Roman"/>
        </w:rPr>
        <w:t>Národná rada Slovenskej republiky sa uzniesla na tomto zákone:</w:t>
      </w:r>
    </w:p>
    <w:p w:rsidR="00466607">
      <w:pPr>
        <w:autoSpaceDE w:val="0"/>
        <w:bidi w:val="0"/>
        <w:rPr>
          <w:rFonts w:eastAsia="Times New Roman"/>
        </w:rPr>
      </w:pP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Čl. I</w:t>
      </w: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</w:p>
    <w:p w:rsidR="00466607">
      <w:pPr>
        <w:autoSpaceDE w:val="0"/>
        <w:bidi w:val="0"/>
        <w:ind w:firstLine="357"/>
        <w:jc w:val="both"/>
        <w:rPr>
          <w:rFonts w:eastAsia="Times New Roman"/>
        </w:rPr>
      </w:pPr>
      <w:r>
        <w:rPr>
          <w:rFonts w:eastAsia="Times New Roman"/>
        </w:rPr>
        <w:t>Zákon č. 110/2004 Z. z. o fungovaní Bezpečnostnej rady Slovenskej republiky v čase mieru v znení zákona č. 319/2012 Z. z. sa mení a dopĺňa takto:</w:t>
      </w:r>
    </w:p>
    <w:p w:rsidR="00466607">
      <w:pPr>
        <w:autoSpaceDE w:val="0"/>
        <w:bidi w:val="0"/>
        <w:ind w:left="851" w:hanging="491"/>
        <w:jc w:val="both"/>
        <w:rPr>
          <w:rFonts w:eastAsia="Times New Roman"/>
          <w:sz w:val="22"/>
          <w:szCs w:val="22"/>
        </w:rPr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eastAsia="Times New Roman"/>
        </w:rPr>
        <w:t>V § 2 písmeno c) znie:</w:t>
      </w:r>
    </w:p>
    <w:p w:rsidR="00466607">
      <w:pPr>
        <w:autoSpaceDE w:val="0"/>
        <w:bidi w:val="0"/>
        <w:ind w:firstLine="360"/>
        <w:jc w:val="both"/>
        <w:rPr>
          <w:rFonts w:eastAsia="Times New Roman"/>
        </w:rPr>
      </w:pPr>
      <w:r>
        <w:rPr>
          <w:rFonts w:eastAsia="Times New Roman"/>
        </w:rPr>
        <w:t xml:space="preserve">„c) vyhodnocovaní bezpečnostnej situácie </w:t>
      </w:r>
    </w:p>
    <w:p w:rsidR="00F71E61" w:rsidRPr="00F71E61" w:rsidP="00672D4F">
      <w:pPr>
        <w:numPr>
          <w:numId w:val="2"/>
        </w:numPr>
        <w:autoSpaceDE w:val="0"/>
        <w:bidi w:val="0"/>
        <w:jc w:val="both"/>
        <w:rPr>
          <w:rFonts w:eastAsia="Times New Roman"/>
        </w:rPr>
      </w:pPr>
      <w:r w:rsidRPr="00F71E61" w:rsidR="00466607">
        <w:rPr>
          <w:rFonts w:eastAsia="Times New Roman"/>
        </w:rPr>
        <w:t xml:space="preserve">vyhodnocuje </w:t>
      </w:r>
      <w:r w:rsidRPr="00F71E61">
        <w:rPr>
          <w:rFonts w:eastAsia="Times New Roman"/>
        </w:rPr>
        <w:t>bezpečnostnú situáciu v Slovenskej republike a vo svete, a to aj s</w:t>
      </w:r>
      <w:r>
        <w:rPr>
          <w:rFonts w:eastAsia="Times New Roman"/>
        </w:rPr>
        <w:t> </w:t>
      </w:r>
      <w:r w:rsidRPr="00F71E61">
        <w:rPr>
          <w:rFonts w:eastAsia="Times New Roman"/>
        </w:rPr>
        <w:t> využitím informácií Situačného centra Slovenskej republiky, ktoré je súčasťou Kancelárie Bezpečnostnej rady Slovenskej republiky,</w:t>
      </w:r>
    </w:p>
    <w:p w:rsidR="00466607">
      <w:pPr>
        <w:numPr>
          <w:numId w:val="2"/>
        </w:numPr>
        <w:autoSpaceDE w:val="0"/>
        <w:bidi w:val="0"/>
        <w:jc w:val="both"/>
        <w:rPr>
          <w:rFonts w:eastAsia="Times New Roman"/>
        </w:rPr>
      </w:pPr>
      <w:r>
        <w:rPr>
          <w:rFonts w:eastAsia="Times New Roman"/>
        </w:rPr>
        <w:t>predkladá vláde návrhy opatrení na zníženie alebo odstránenie rizík ohrozenia bezpečnosti Slovenskej republiky, ktoré môžu viesť k vzniku krízovej situácie,“.</w:t>
      </w:r>
    </w:p>
    <w:p w:rsidR="00466607">
      <w:pPr>
        <w:tabs>
          <w:tab w:val="left" w:pos="381"/>
        </w:tabs>
        <w:autoSpaceDE w:val="0"/>
        <w:bidi w:val="0"/>
        <w:ind w:left="681" w:hanging="692"/>
        <w:jc w:val="both"/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eastAsia="Times New Roman"/>
        </w:rPr>
        <w:t>V § 2 písm. d) piatom bode sa slová „30. novembra predchádzajúceho</w:t>
      </w:r>
      <w:r w:rsidR="002F2968">
        <w:rPr>
          <w:rFonts w:eastAsia="Times New Roman"/>
        </w:rPr>
        <w:t xml:space="preserve"> kalendárneho roka</w:t>
      </w:r>
      <w:r>
        <w:rPr>
          <w:rFonts w:eastAsia="Times New Roman"/>
        </w:rPr>
        <w:t>“ nahrádzajú slovami „31. januára“.</w:t>
      </w:r>
    </w:p>
    <w:p w:rsidR="00466607">
      <w:pPr>
        <w:tabs>
          <w:tab w:val="left" w:pos="381"/>
        </w:tabs>
        <w:autoSpaceDE w:val="0"/>
        <w:bidi w:val="0"/>
        <w:ind w:left="681" w:hanging="692"/>
        <w:jc w:val="both"/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eastAsia="Times New Roman"/>
        </w:rPr>
        <w:t>V § 7 ods. 2, ods. 3 písm. a), § 8 ods. 3 písm. a), § 9 ods. 3 písm. a) a § 10 ods. 3 písm. a) sa za slovo „vecí“ vkladajú slová „a európskych záležitostí“.</w:t>
      </w:r>
    </w:p>
    <w:p w:rsidR="00466607">
      <w:pPr>
        <w:tabs>
          <w:tab w:val="left" w:pos="381"/>
        </w:tabs>
        <w:autoSpaceDE w:val="0"/>
        <w:bidi w:val="0"/>
        <w:ind w:left="681" w:hanging="692"/>
        <w:jc w:val="both"/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eastAsia="Times New Roman"/>
        </w:rPr>
        <w:t xml:space="preserve">V § 7 ods. 3 písm. f), § 8 ods. 3 písm. f) a § 9 ods. 3 písm. f) sa  slová „pôšt a telekomunikácií“ nahrádzajú slovami „výstavby a regionálneho rozvoja“. </w:t>
      </w:r>
    </w:p>
    <w:p w:rsidR="00466607">
      <w:pPr>
        <w:tabs>
          <w:tab w:val="left" w:pos="381"/>
        </w:tabs>
        <w:autoSpaceDE w:val="0"/>
        <w:bidi w:val="0"/>
        <w:ind w:left="681" w:hanging="692"/>
        <w:jc w:val="both"/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eastAsia="Times New Roman"/>
        </w:rPr>
        <w:t>V § 8 ods. 3 písm. g) a § 9 ods. 3 písm. g) sa za slovo „pôdohospodárstva“ vkladajú slová „a rozvoja vidieka“.</w:t>
      </w:r>
    </w:p>
    <w:p w:rsidR="00466607">
      <w:pPr>
        <w:tabs>
          <w:tab w:val="left" w:pos="381"/>
        </w:tabs>
        <w:autoSpaceDE w:val="0"/>
        <w:bidi w:val="0"/>
        <w:ind w:left="681" w:hanging="692"/>
        <w:jc w:val="both"/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hint="default"/>
        </w:rPr>
        <w:t>V §</w:t>
      </w:r>
      <w:r>
        <w:rPr>
          <w:rFonts w:hint="default"/>
        </w:rPr>
        <w:t xml:space="preserve"> 8 ods. 3 sa vypúš</w:t>
      </w:r>
      <w:r>
        <w:rPr>
          <w:rFonts w:eastAsia="Times New Roman"/>
        </w:rPr>
        <w:t xml:space="preserve">ťa písmeno h). </w:t>
      </w:r>
    </w:p>
    <w:p w:rsidR="00466607">
      <w:pPr>
        <w:tabs>
          <w:tab w:val="left" w:pos="81"/>
        </w:tabs>
        <w:autoSpaceDE w:val="0"/>
        <w:bidi w:val="0"/>
        <w:ind w:left="381"/>
        <w:jc w:val="both"/>
        <w:rPr>
          <w:rFonts w:eastAsia="Times New Roman"/>
        </w:rPr>
      </w:pPr>
      <w:r>
        <w:rPr>
          <w:rFonts w:eastAsia="Times New Roman"/>
        </w:rPr>
        <w:t>Doterajšie písmená i) až l) sa označujú ako písmená h) až k).</w:t>
      </w:r>
    </w:p>
    <w:p w:rsidR="00466607">
      <w:pPr>
        <w:tabs>
          <w:tab w:val="left" w:pos="81"/>
        </w:tabs>
        <w:autoSpaceDE w:val="0"/>
        <w:bidi w:val="0"/>
        <w:ind w:left="381"/>
        <w:jc w:val="both"/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eastAsia="Times New Roman"/>
        </w:rPr>
        <w:t xml:space="preserve">V § 9 ods. 3 sa vypúšťa písmeno h). </w:t>
      </w:r>
    </w:p>
    <w:p w:rsidR="00466607">
      <w:pPr>
        <w:tabs>
          <w:tab w:val="left" w:pos="104"/>
        </w:tabs>
        <w:autoSpaceDE w:val="0"/>
        <w:bidi w:val="0"/>
        <w:ind w:left="404"/>
        <w:jc w:val="both"/>
        <w:rPr>
          <w:rFonts w:eastAsia="Times New Roman"/>
        </w:rPr>
      </w:pPr>
      <w:r>
        <w:rPr>
          <w:rFonts w:eastAsia="Times New Roman"/>
        </w:rPr>
        <w:t>Doterajšie písmená i) až s) sa označujú ako písmená h) až r).</w:t>
      </w:r>
    </w:p>
    <w:p w:rsidR="00466607">
      <w:pPr>
        <w:tabs>
          <w:tab w:val="left" w:pos="381"/>
        </w:tabs>
        <w:autoSpaceDE w:val="0"/>
        <w:bidi w:val="0"/>
        <w:ind w:left="681" w:hanging="692"/>
        <w:jc w:val="both"/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eastAsia="Times New Roman"/>
        </w:rPr>
        <w:t>V § 9 ods. 3 písm. j) sa za slovo „školstva“ vkladá čiarka a slová „vedy, výskumu a športu“.</w:t>
      </w:r>
    </w:p>
    <w:p w:rsidR="00F71E61">
      <w:pPr>
        <w:tabs>
          <w:tab w:val="left" w:pos="381"/>
        </w:tabs>
        <w:autoSpaceDE w:val="0"/>
        <w:bidi w:val="0"/>
        <w:ind w:left="681" w:hanging="692"/>
        <w:jc w:val="both"/>
      </w:pPr>
    </w:p>
    <w:p w:rsidR="00466607">
      <w:pPr>
        <w:numPr>
          <w:numId w:val="1"/>
        </w:numPr>
        <w:tabs>
          <w:tab w:val="left" w:pos="381"/>
        </w:tabs>
        <w:autoSpaceDE w:val="0"/>
        <w:bidi w:val="0"/>
        <w:ind w:left="681" w:hanging="692"/>
        <w:jc w:val="both"/>
        <w:rPr>
          <w:rFonts w:eastAsia="Times New Roman"/>
        </w:rPr>
      </w:pPr>
      <w:r>
        <w:rPr>
          <w:rFonts w:eastAsia="Times New Roman"/>
        </w:rPr>
        <w:t>Za § 10 sa vkladajú § 10a a 10b, ktoré vrátane nadpisov znejú:</w:t>
      </w:r>
    </w:p>
    <w:p w:rsidR="00466607">
      <w:pPr>
        <w:tabs>
          <w:tab w:val="left" w:pos="381"/>
        </w:tabs>
        <w:autoSpaceDE w:val="0"/>
        <w:bidi w:val="0"/>
        <w:ind w:left="681" w:hanging="692"/>
        <w:jc w:val="both"/>
      </w:pPr>
    </w:p>
    <w:p w:rsidR="00466607">
      <w:pPr>
        <w:autoSpaceDE w:val="0"/>
        <w:bidi w:val="0"/>
        <w:spacing w:before="100" w:after="100"/>
        <w:jc w:val="center"/>
        <w:rPr>
          <w:rFonts w:eastAsia="Times New Roman"/>
          <w:b/>
          <w:bCs/>
        </w:rPr>
      </w:pPr>
      <w:r>
        <w:rPr>
          <w:rFonts w:eastAsia="Times New Roman"/>
        </w:rPr>
        <w:t>„</w:t>
      </w:r>
      <w:r>
        <w:rPr>
          <w:rFonts w:eastAsia="Times New Roman"/>
          <w:b/>
          <w:bCs/>
        </w:rPr>
        <w:t>§ 10a</w:t>
        <w:br/>
        <w:t>Výbor pre energetickú bezpečnosť</w:t>
      </w:r>
    </w:p>
    <w:p w:rsidR="00466607">
      <w:pPr>
        <w:autoSpaceDE w:val="0"/>
        <w:bidi w:val="0"/>
        <w:jc w:val="both"/>
        <w:rPr>
          <w:rFonts w:eastAsia="Times New Roman"/>
        </w:rPr>
      </w:pPr>
      <w:r>
        <w:rPr>
          <w:rFonts w:eastAsia="Times New Roman"/>
        </w:rPr>
        <w:tab/>
        <w:t xml:space="preserve">(1) Výbor pre energetickú bezpečnosť pri  koordinácii plánovania opatrení zameraných na zachovanie bezpečnosti Slovenskej republiky </w:t>
      </w:r>
    </w:p>
    <w:p w:rsid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="00466607">
        <w:rPr>
          <w:rFonts w:eastAsia="Times New Roman"/>
        </w:rPr>
        <w:t>vyhodnocuje bezpečnostnú situáciu v Slovenskej republike a vo svete na úseku energetiky</w:t>
      </w:r>
      <w:r w:rsidRPr="00F71E61" w:rsidR="00466607">
        <w:rPr>
          <w:rFonts w:eastAsia="Times New Roman"/>
          <w:position w:val="6"/>
          <w:vertAlign w:val="superscript"/>
        </w:rPr>
        <w:t>10a</w:t>
      </w:r>
      <w:r w:rsidR="00466607">
        <w:rPr>
          <w:rFonts w:eastAsia="Times New Roman"/>
        </w:rPr>
        <w:t>) (ďalej len „energetická bezpečnosť“); správu o výsledkoch vyhodnotení zasiela neodkladne, najmenej jedenkrát  mesačne Kancelárii Bezpečnostnej rady Slovenskej republiky,</w:t>
      </w:r>
    </w:p>
    <w:p w:rsid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Pr="00F71E61" w:rsidR="00466607">
        <w:rPr>
          <w:rFonts w:eastAsia="Times New Roman"/>
        </w:rPr>
        <w:t xml:space="preserve">pripravuje pre Bezpečnostnú radu návrhy opatrení na zníženie alebo odstránenie rizík energetickej bezpečnosti, </w:t>
      </w:r>
    </w:p>
    <w:p w:rsid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Pr="00F71E61" w:rsidR="00466607">
        <w:rPr>
          <w:rFonts w:eastAsia="Times New Roman"/>
        </w:rPr>
        <w:t xml:space="preserve">podieľa sa na formovaní politiky Slovenskej republiky týkajúcej sa energetickej bezpečnosti, ako aj na vypracúvaní koncepčných dokumentov, </w:t>
      </w:r>
    </w:p>
    <w:p w:rsid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Pr="00F71E61" w:rsidR="00466607">
        <w:rPr>
          <w:rFonts w:eastAsia="Times New Roman"/>
        </w:rPr>
        <w:t xml:space="preserve">podieľa sa na koordinácii medzinárodnej spolupráce týkajúcej sa energetickej bezpečnosti, </w:t>
      </w:r>
    </w:p>
    <w:p w:rsid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Pr="00F71E61" w:rsidR="00466607">
        <w:rPr>
          <w:rFonts w:eastAsia="Times New Roman"/>
        </w:rPr>
        <w:t xml:space="preserve">spolupracuje s ministerstvami a ostatnými ústrednými orgánmi štátnej správy pri plánovaní opatrení zameraných na energetickú bezpečnosť, </w:t>
      </w:r>
    </w:p>
    <w:p w:rsid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Pr="00F71E61" w:rsidR="00466607">
        <w:rPr>
          <w:rFonts w:eastAsia="Times New Roman"/>
        </w:rPr>
        <w:t xml:space="preserve">prerokúva návrhy predkladané Bezpečnostnej rade, ktoré súvisia s plnením jej úloh  týkajúcich sa energetickej bezpečnosti, </w:t>
      </w:r>
    </w:p>
    <w:p w:rsid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Pr="00F71E61" w:rsidR="00466607">
        <w:rPr>
          <w:rFonts w:eastAsia="Times New Roman"/>
        </w:rPr>
        <w:t xml:space="preserve">vypracúva odborné stanoviská vzťahujúce sa na energetickú bezpečnosť a predkladá ich Bezpečnostnej rade, </w:t>
      </w:r>
    </w:p>
    <w:p w:rsid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Pr="00F71E61" w:rsidR="00466607">
        <w:rPr>
          <w:rFonts w:eastAsia="Times New Roman"/>
        </w:rPr>
        <w:t>posudzuje  návrhy všeobecne záväzných právnych predpisov, ktoré sa vzťahujú na   energetickú bezpečnosť a ktoré sú  predložené na prerokovanie Bezpečnostnej rade,</w:t>
      </w:r>
    </w:p>
    <w:p w:rsidR="00466607" w:rsidRPr="00F71E61" w:rsidP="00F71E61">
      <w:pPr>
        <w:numPr>
          <w:numId w:val="8"/>
        </w:numPr>
        <w:autoSpaceDE w:val="0"/>
        <w:bidi w:val="0"/>
        <w:ind w:left="426" w:hanging="426"/>
        <w:jc w:val="both"/>
        <w:rPr>
          <w:rFonts w:eastAsia="Times New Roman"/>
        </w:rPr>
      </w:pPr>
      <w:r w:rsidR="00F71E61">
        <w:rPr>
          <w:rFonts w:eastAsia="Times New Roman"/>
        </w:rPr>
        <w:t>podieľa sa na spracovaní</w:t>
      </w:r>
      <w:r w:rsidRPr="00F71E61">
        <w:rPr>
          <w:rFonts w:eastAsia="Times New Roman"/>
        </w:rPr>
        <w:t xml:space="preserve"> správ</w:t>
      </w:r>
      <w:r w:rsidR="00F71E61">
        <w:rPr>
          <w:rFonts w:eastAsia="Times New Roman"/>
        </w:rPr>
        <w:t>y</w:t>
      </w:r>
      <w:r w:rsidRPr="00F71E61">
        <w:rPr>
          <w:rFonts w:eastAsia="Times New Roman"/>
        </w:rPr>
        <w:t xml:space="preserve"> podľa § 2 písm. a) tretieho bodu</w:t>
      </w:r>
      <w:r w:rsidR="00453EE4">
        <w:rPr>
          <w:rFonts w:eastAsia="Times New Roman"/>
        </w:rPr>
        <w:t xml:space="preserve"> časti</w:t>
      </w:r>
      <w:r w:rsidRPr="00F71E61" w:rsidR="00F71E61">
        <w:rPr>
          <w:rFonts w:eastAsia="Times New Roman"/>
        </w:rPr>
        <w:t xml:space="preserve"> </w:t>
      </w:r>
      <w:r w:rsidR="00C167E5">
        <w:rPr>
          <w:rFonts w:eastAsia="Times New Roman"/>
        </w:rPr>
        <w:t>týkajúcej sa</w:t>
      </w:r>
      <w:r w:rsidRPr="00F71E61" w:rsidR="00F71E61">
        <w:rPr>
          <w:rFonts w:eastAsia="Times New Roman"/>
        </w:rPr>
        <w:t> energetickej bezpečnosti</w:t>
      </w:r>
      <w:r w:rsidRPr="00F71E61">
        <w:rPr>
          <w:rFonts w:eastAsia="Times New Roman"/>
        </w:rPr>
        <w:t xml:space="preserve">. </w:t>
      </w:r>
    </w:p>
    <w:p w:rsidR="00466607">
      <w:pPr>
        <w:autoSpaceDE w:val="0"/>
        <w:bidi w:val="0"/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466607">
      <w:pPr>
        <w:autoSpaceDE w:val="0"/>
        <w:bidi w:val="0"/>
        <w:ind w:left="12" w:firstLine="727"/>
        <w:jc w:val="both"/>
        <w:rPr>
          <w:rFonts w:eastAsia="Times New Roman"/>
        </w:rPr>
      </w:pPr>
      <w:r>
        <w:rPr>
          <w:rFonts w:eastAsia="Times New Roman"/>
        </w:rPr>
        <w:t>(2) Vymenovanie predsedu výboru pre energetickú bezpečnosť a jeho odvolanie na návrh ministra hospodárstva Slovenskej republiky schvaľuje Bezpečnostná rada. Predsedu výboru pre energetickú bezpečnosť vymenúva a odvoláva predseda. Podpredsedom výboru pre energetickú bezpečnosť je člen výboru poverený predsedom výboru pre energetickú bezpečnosť; poverenie zanikne, ak predseda výboru pre energetickú bezpečnosť poverí výkonom funkcie podpredsedu tohto výboru iného člena výboru.</w:t>
      </w:r>
    </w:p>
    <w:p w:rsidR="00466607">
      <w:pPr>
        <w:autoSpaceDE w:val="0"/>
        <w:bidi w:val="0"/>
        <w:jc w:val="both"/>
        <w:rPr>
          <w:rFonts w:eastAsia="Times New Roman"/>
        </w:rPr>
      </w:pPr>
    </w:p>
    <w:p w:rsidR="00466607">
      <w:pPr>
        <w:autoSpaceDE w:val="0"/>
        <w:bidi w:val="0"/>
        <w:ind w:left="12" w:firstLine="762"/>
        <w:jc w:val="both"/>
        <w:rPr>
          <w:rFonts w:eastAsia="Times New Roman"/>
        </w:rPr>
      </w:pPr>
      <w:r>
        <w:rPr>
          <w:rFonts w:eastAsia="Times New Roman"/>
        </w:rPr>
        <w:t>(3) Členom výboru pre energetickú bezpečnosť je Bezpečnostnou radou schválený a predsedom vymenovaný zástupca</w:t>
      </w:r>
    </w:p>
    <w:p w:rsidR="00466607">
      <w:pPr>
        <w:numPr>
          <w:numId w:val="4"/>
        </w:numPr>
        <w:tabs>
          <w:tab w:val="left" w:pos="393"/>
        </w:tabs>
        <w:autoSpaceDE w:val="0"/>
        <w:bidi w:val="0"/>
        <w:ind w:left="12" w:hanging="12"/>
        <w:jc w:val="both"/>
        <w:rPr>
          <w:rFonts w:eastAsia="Times New Roman"/>
        </w:rPr>
      </w:pPr>
      <w:r>
        <w:rPr>
          <w:rFonts w:eastAsia="Times New Roman"/>
        </w:rPr>
        <w:t>Ministerstva hospodárstva Slovenskej republiky,</w:t>
      </w:r>
    </w:p>
    <w:p w:rsidR="00466607">
      <w:pPr>
        <w:numPr>
          <w:numId w:val="4"/>
        </w:numPr>
        <w:tabs>
          <w:tab w:val="left" w:pos="393"/>
        </w:tabs>
        <w:autoSpaceDE w:val="0"/>
        <w:bidi w:val="0"/>
        <w:ind w:left="12" w:hanging="12"/>
        <w:jc w:val="both"/>
        <w:rPr>
          <w:rFonts w:eastAsia="Times New Roman"/>
        </w:rPr>
      </w:pPr>
      <w:r>
        <w:rPr>
          <w:rFonts w:eastAsia="Times New Roman"/>
        </w:rPr>
        <w:t>Ministerstva zahraničných vecí a európskych záležitostí Slovenskej republiky,</w:t>
      </w:r>
    </w:p>
    <w:p w:rsidR="00466607">
      <w:pPr>
        <w:numPr>
          <w:numId w:val="4"/>
        </w:numPr>
        <w:tabs>
          <w:tab w:val="left" w:pos="393"/>
        </w:tabs>
        <w:autoSpaceDE w:val="0"/>
        <w:bidi w:val="0"/>
        <w:ind w:left="12" w:hanging="12"/>
        <w:jc w:val="both"/>
        <w:rPr>
          <w:rFonts w:eastAsia="Times New Roman"/>
        </w:rPr>
      </w:pPr>
      <w:r>
        <w:rPr>
          <w:rFonts w:eastAsia="Times New Roman"/>
        </w:rPr>
        <w:t>Ministerstva vnútra Slovenskej republiky,</w:t>
      </w:r>
    </w:p>
    <w:p w:rsidR="00466607">
      <w:pPr>
        <w:numPr>
          <w:numId w:val="4"/>
        </w:numPr>
        <w:tabs>
          <w:tab w:val="left" w:pos="393"/>
        </w:tabs>
        <w:autoSpaceDE w:val="0"/>
        <w:bidi w:val="0"/>
        <w:ind w:left="12" w:hanging="12"/>
        <w:jc w:val="both"/>
        <w:rPr>
          <w:rFonts w:eastAsia="Times New Roman"/>
        </w:rPr>
      </w:pPr>
      <w:r>
        <w:rPr>
          <w:rFonts w:eastAsia="Times New Roman"/>
        </w:rPr>
        <w:t>Úradu vlády Slovenskej republiky,</w:t>
      </w:r>
    </w:p>
    <w:p w:rsidR="00466607">
      <w:pPr>
        <w:numPr>
          <w:numId w:val="4"/>
        </w:numPr>
        <w:tabs>
          <w:tab w:val="left" w:pos="393"/>
        </w:tabs>
        <w:autoSpaceDE w:val="0"/>
        <w:bidi w:val="0"/>
        <w:ind w:left="12" w:hanging="12"/>
        <w:jc w:val="both"/>
        <w:rPr>
          <w:rFonts w:eastAsia="Times New Roman"/>
        </w:rPr>
      </w:pPr>
      <w:r>
        <w:rPr>
          <w:rFonts w:eastAsia="Times New Roman"/>
        </w:rPr>
        <w:t>Úradu jadrového dozoru Slovenskej republiky,</w:t>
      </w:r>
    </w:p>
    <w:p w:rsidR="00466607">
      <w:pPr>
        <w:numPr>
          <w:numId w:val="4"/>
        </w:numPr>
        <w:tabs>
          <w:tab w:val="left" w:pos="393"/>
        </w:tabs>
        <w:autoSpaceDE w:val="0"/>
        <w:bidi w:val="0"/>
        <w:ind w:left="12" w:hanging="12"/>
        <w:jc w:val="both"/>
        <w:rPr>
          <w:rFonts w:eastAsia="Times New Roman"/>
        </w:rPr>
      </w:pPr>
      <w:r>
        <w:rPr>
          <w:rFonts w:eastAsia="Times New Roman"/>
        </w:rPr>
        <w:t>Správy štátnych hmotných rezerv Slovenskej republiky,</w:t>
      </w:r>
    </w:p>
    <w:p w:rsidR="00466607">
      <w:pPr>
        <w:numPr>
          <w:numId w:val="4"/>
        </w:numPr>
        <w:tabs>
          <w:tab w:val="left" w:pos="393"/>
        </w:tabs>
        <w:autoSpaceDE w:val="0"/>
        <w:bidi w:val="0"/>
        <w:ind w:left="12" w:hanging="12"/>
        <w:jc w:val="both"/>
        <w:rPr>
          <w:rFonts w:eastAsia="Times New Roman"/>
        </w:rPr>
      </w:pPr>
      <w:r>
        <w:rPr>
          <w:rFonts w:eastAsia="Times New Roman"/>
        </w:rPr>
        <w:t>Úradu pre reguláciu sieťových odvetví.</w:t>
      </w:r>
    </w:p>
    <w:p w:rsidR="00466607">
      <w:pPr>
        <w:autoSpaceDE w:val="0"/>
        <w:bidi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</w:p>
    <w:p w:rsidR="00466607">
      <w:pPr>
        <w:tabs>
          <w:tab w:val="left" w:pos="369"/>
        </w:tabs>
        <w:autoSpaceDE w:val="0"/>
        <w:bidi w:val="0"/>
        <w:ind w:left="-12" w:firstLine="773"/>
        <w:jc w:val="both"/>
        <w:rPr>
          <w:rFonts w:eastAsia="Times New Roman"/>
        </w:rPr>
      </w:pPr>
      <w:r>
        <w:rPr>
          <w:rFonts w:eastAsia="Times New Roman"/>
        </w:rPr>
        <w:t xml:space="preserve">(4) Členom výboru pre energetickú bezpečnosť môže byť aj Bezpečnostnou radou schválený a predsedom vymenovaný zástupca osoby, ktorá podniká v energetike. </w:t>
      </w:r>
    </w:p>
    <w:p w:rsidR="00466607">
      <w:pPr>
        <w:autoSpaceDE w:val="0"/>
        <w:bidi w:val="0"/>
        <w:ind w:left="709" w:firstLine="707"/>
        <w:jc w:val="both"/>
        <w:rPr>
          <w:rFonts w:eastAsia="Times New Roman"/>
        </w:rPr>
      </w:pPr>
    </w:p>
    <w:p w:rsidR="00466607">
      <w:pPr>
        <w:autoSpaceDE w:val="0"/>
        <w:bidi w:val="0"/>
        <w:ind w:left="12" w:firstLine="762"/>
        <w:jc w:val="both"/>
        <w:rPr>
          <w:rFonts w:eastAsia="Times New Roman"/>
        </w:rPr>
      </w:pPr>
      <w:r>
        <w:rPr>
          <w:rFonts w:eastAsia="Times New Roman"/>
        </w:rPr>
        <w:t>(5)  Odvolanie člena výboru pre energetickú bezpečnosť, ktorý je zástupcom orgánu uvedeného v odseku 3 alebo zástupcom osoby uvedenej v odseku 4, schvaľuje na návrh tohto orgánu alebo osoby Bezpečnostná rada; ak Bezpečnostná rada odvolanie člena výboru pre energetickú bezpečnosť schváli, predseda ho odvolá.</w:t>
      </w: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10b</w:t>
        <w:br/>
        <w:t>Výbor pre kybernetickú bezpečnosť</w:t>
      </w: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</w:p>
    <w:p w:rsidR="00466607">
      <w:pPr>
        <w:autoSpaceDE w:val="0"/>
        <w:bidi w:val="0"/>
        <w:ind w:left="-12" w:firstLine="796"/>
        <w:jc w:val="both"/>
        <w:rPr>
          <w:rFonts w:eastAsia="Times New Roman"/>
          <w:position w:val="6"/>
        </w:rPr>
      </w:pPr>
      <w:r>
        <w:rPr>
          <w:rFonts w:eastAsia="Times New Roman"/>
        </w:rPr>
        <w:t>(1) Výbor pre kybernetickú bezpečnosť pri koordinácii plánovania opatrení zameraných na zachovanie bezpečnosti Slovenskej republiky v kybernetickom priestore (ďalej len „kybernetická bezpečnosť“)</w:t>
      </w:r>
      <w:r>
        <w:rPr>
          <w:rFonts w:eastAsia="Times New Roman"/>
          <w:position w:val="6"/>
        </w:rPr>
        <w:t xml:space="preserve">  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>
        <w:rPr>
          <w:rFonts w:eastAsia="Times New Roman"/>
        </w:rPr>
        <w:t>vyhodnocuje bezpečnostnú situáciu v Slovenskej republike a vo svete v oblasti kybernetickej bezpečnosti; správu o výsledkoch vyhodnotení zasiela neodkladne, najmenej jedenkrát mesačne Kancelárii Bezpečnostnej rady Slovenskej republiky,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>
        <w:rPr>
          <w:rFonts w:eastAsia="Times New Roman"/>
        </w:rPr>
        <w:t xml:space="preserve">pripravuje pre Bezpečnostnú radu návrhy opatrení na zníženie alebo odstránenie rizík ohrozenia v oblasti kybernetickej bezpečnosti, 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>
        <w:rPr>
          <w:rFonts w:eastAsia="Times New Roman"/>
        </w:rPr>
        <w:t>podieľa sa na formovaní politiky Slovenskej republiky v oblasti kybernetickej bezpečnosti, ako aj na vypracúvaní koncepčných dokumentov,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>
        <w:rPr>
          <w:rFonts w:eastAsia="Times New Roman"/>
        </w:rPr>
        <w:t>hodnotí aktuálny stav kybernetickej bezpečnosti s dôrazom na kritickú informačnú a komunikačnú infraštruktúru; výsledky hodnotení predkladá Bezpečnostnej rade najmenej jedenkrát ročne,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>
        <w:rPr>
          <w:rFonts w:eastAsia="Times New Roman"/>
        </w:rPr>
        <w:t>predkladá Bezpečnostnej rade návrhy opatrení na zvyšovanie politického, právneho, hospodárskeho a vzdelanostného povedomia v oblasti kybernetickej bezpečnosti,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>
        <w:rPr>
          <w:rFonts w:eastAsia="Times New Roman"/>
        </w:rPr>
        <w:t>prerokúva návrhy predkladané Bezpečnostnej rade, ktoré súvisia s plnením úloh v oblasti kybernetickej bezpečnosti,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>
        <w:rPr>
          <w:rFonts w:eastAsia="Times New Roman"/>
        </w:rPr>
        <w:t>vypracúva odborné stanoviská vzťahujúce sa na kybernetickú bezpečnosť a predkladá ich Bezpečnostnej rade,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>
        <w:rPr>
          <w:rFonts w:eastAsia="Times New Roman"/>
        </w:rPr>
        <w:t>posudzuje návrhy všeobecne záväzných právnych predpisov a medzinárodných zmlúv, vzťahujúcich sa na kybernetickú bezpečnosť, ktoré sú predložené na prerokovanie Bezpečnostnej rade,</w:t>
      </w:r>
    </w:p>
    <w:p w:rsidR="00466607">
      <w:pPr>
        <w:numPr>
          <w:numId w:val="5"/>
        </w:numPr>
        <w:tabs>
          <w:tab w:val="left" w:pos="415"/>
        </w:tabs>
        <w:autoSpaceDE w:val="0"/>
        <w:bidi w:val="0"/>
        <w:ind w:left="427" w:hanging="438"/>
        <w:jc w:val="both"/>
        <w:rPr>
          <w:rFonts w:eastAsia="Times New Roman"/>
        </w:rPr>
      </w:pPr>
      <w:r w:rsidR="00C167E5">
        <w:rPr>
          <w:rFonts w:eastAsia="Times New Roman"/>
        </w:rPr>
        <w:t>podieľa sa na spracovaní</w:t>
      </w:r>
      <w:r w:rsidRPr="00F71E61" w:rsidR="00C167E5">
        <w:rPr>
          <w:rFonts w:eastAsia="Times New Roman"/>
        </w:rPr>
        <w:t xml:space="preserve"> správ</w:t>
      </w:r>
      <w:r w:rsidR="00C167E5">
        <w:rPr>
          <w:rFonts w:eastAsia="Times New Roman"/>
        </w:rPr>
        <w:t>y</w:t>
      </w:r>
      <w:r w:rsidRPr="00F71E61" w:rsidR="00C167E5">
        <w:rPr>
          <w:rFonts w:eastAsia="Times New Roman"/>
        </w:rPr>
        <w:t xml:space="preserve"> podľa § 2 písm. a) tretieho bodu</w:t>
      </w:r>
      <w:r w:rsidR="00453EE4">
        <w:rPr>
          <w:rFonts w:eastAsia="Times New Roman"/>
        </w:rPr>
        <w:t xml:space="preserve"> časti</w:t>
      </w:r>
      <w:r w:rsidRPr="00F71E61" w:rsidR="00C167E5">
        <w:rPr>
          <w:rFonts w:eastAsia="Times New Roman"/>
        </w:rPr>
        <w:t xml:space="preserve"> </w:t>
      </w:r>
      <w:r w:rsidR="00672D4F">
        <w:rPr>
          <w:rFonts w:eastAsia="Times New Roman"/>
        </w:rPr>
        <w:t>týkajúcej sa</w:t>
      </w:r>
      <w:r w:rsidRPr="00F71E61" w:rsidR="00C167E5">
        <w:rPr>
          <w:rFonts w:eastAsia="Times New Roman"/>
        </w:rPr>
        <w:t> </w:t>
      </w:r>
      <w:r w:rsidR="00C167E5">
        <w:rPr>
          <w:rFonts w:eastAsia="Times New Roman"/>
        </w:rPr>
        <w:t>kybernetickej</w:t>
      </w:r>
      <w:r w:rsidRPr="00F71E61" w:rsidR="00C167E5">
        <w:rPr>
          <w:rFonts w:eastAsia="Times New Roman"/>
        </w:rPr>
        <w:t xml:space="preserve"> bezpečnosti</w:t>
      </w:r>
      <w:r>
        <w:rPr>
          <w:rFonts w:eastAsia="Times New Roman"/>
        </w:rPr>
        <w:t xml:space="preserve">. </w:t>
      </w:r>
    </w:p>
    <w:p w:rsidR="00466607">
      <w:pPr>
        <w:autoSpaceDE w:val="0"/>
        <w:bidi w:val="0"/>
        <w:ind w:left="708"/>
        <w:jc w:val="both"/>
        <w:rPr>
          <w:rFonts w:eastAsia="Times New Roman"/>
        </w:rPr>
      </w:pPr>
    </w:p>
    <w:p w:rsidR="00466607">
      <w:pPr>
        <w:autoSpaceDE w:val="0"/>
        <w:bidi w:val="0"/>
        <w:ind w:firstLine="796"/>
        <w:jc w:val="both"/>
        <w:rPr>
          <w:rFonts w:eastAsia="Times New Roman"/>
        </w:rPr>
      </w:pPr>
      <w:r>
        <w:rPr>
          <w:rFonts w:eastAsia="Times New Roman"/>
        </w:rPr>
        <w:t xml:space="preserve">(2) Vymenovanie predsedu výboru pre kybernetickú bezpečnosť a jeho odvolanie na návrh riaditeľa Národného bezpečnostného úradu schvaľuje Bezpečnostná rada. Predsedu výboru pre kybernetickú bezpečnosť vymenúva a odvoláva predseda. Podpredsedom výboru pre kybernetickú bezpečnosť je člen výboru poverený predsedom výboru pre kybernetickú bezpečnosť; poverenie zanikne, ak predseda výboru pre kybernetickú bezpečnosť poverí výkonom funkcie podpredsedu tohto výboru iného člena výboru. </w:t>
      </w:r>
    </w:p>
    <w:p w:rsidR="00466607">
      <w:pPr>
        <w:autoSpaceDE w:val="0"/>
        <w:bidi w:val="0"/>
        <w:ind w:left="708" w:firstLine="708"/>
        <w:jc w:val="both"/>
        <w:rPr>
          <w:rFonts w:eastAsia="Times New Roman"/>
        </w:rPr>
      </w:pPr>
    </w:p>
    <w:p w:rsidR="00466607">
      <w:pPr>
        <w:autoSpaceDE w:val="0"/>
        <w:bidi w:val="0"/>
        <w:ind w:left="12" w:firstLine="785"/>
        <w:jc w:val="both"/>
        <w:rPr>
          <w:rFonts w:eastAsia="Times New Roman"/>
        </w:rPr>
      </w:pPr>
      <w:r>
        <w:rPr>
          <w:rFonts w:eastAsia="Times New Roman"/>
        </w:rPr>
        <w:t>(3) Členom výboru pre kybernetickú bezpečnosť je Bezpečnostnou radou schválený a predsedom vymenovaný zástupca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zahraničných vecí a európskych záležitostí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obrany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vnútra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hospodárstva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financií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dopravy, výstavby a regionálneho rozvoja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školstva, vedy, výskumu a športu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zdravotníctva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Ministerstva životného prostredia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Úradu vlády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Úradu jadrového dozoru Slovenskej republiky,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Národného bezpečnostného úradu,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Slovenskej informačnej služby,</w:t>
      </w:r>
    </w:p>
    <w:p w:rsidR="00466607">
      <w:pPr>
        <w:numPr>
          <w:numId w:val="6"/>
        </w:numPr>
        <w:tabs>
          <w:tab w:val="left" w:pos="439"/>
        </w:tabs>
        <w:autoSpaceDE w:val="0"/>
        <w:bidi w:val="0"/>
        <w:ind w:left="12" w:firstLine="0"/>
        <w:jc w:val="both"/>
        <w:rPr>
          <w:rFonts w:eastAsia="Times New Roman"/>
        </w:rPr>
      </w:pPr>
      <w:r>
        <w:rPr>
          <w:rFonts w:eastAsia="Times New Roman"/>
        </w:rPr>
        <w:t>Národnej banky Slovenska.</w:t>
      </w:r>
    </w:p>
    <w:p w:rsidR="00466607">
      <w:pPr>
        <w:autoSpaceDE w:val="0"/>
        <w:bidi w:val="0"/>
        <w:ind w:left="708" w:firstLine="708"/>
        <w:jc w:val="both"/>
        <w:rPr>
          <w:rFonts w:eastAsia="Times New Roman"/>
        </w:rPr>
      </w:pPr>
    </w:p>
    <w:p w:rsidR="00466607">
      <w:pPr>
        <w:autoSpaceDE w:val="0"/>
        <w:bidi w:val="0"/>
        <w:ind w:firstLine="808"/>
        <w:jc w:val="both"/>
        <w:rPr>
          <w:rFonts w:eastAsia="Times New Roman"/>
        </w:rPr>
      </w:pPr>
      <w:r>
        <w:rPr>
          <w:rFonts w:eastAsia="Times New Roman"/>
        </w:rPr>
        <w:t>(4) Členom výboru pre kybernetickú bezpečnosť môže byť aj Bezpečnostnou radou schválený a predsedom vymenovaný zástupca</w:t>
      </w:r>
      <w:r w:rsidR="00F964BC">
        <w:rPr>
          <w:rFonts w:eastAsia="Times New Roman"/>
        </w:rPr>
        <w:t xml:space="preserve"> osoby</w:t>
      </w:r>
      <w:r>
        <w:rPr>
          <w:rFonts w:eastAsia="Times New Roman"/>
        </w:rPr>
        <w:t>, ktor</w:t>
      </w:r>
      <w:r w:rsidR="00F964BC">
        <w:rPr>
          <w:rFonts w:eastAsia="Times New Roman"/>
        </w:rPr>
        <w:t>ej</w:t>
      </w:r>
      <w:r>
        <w:rPr>
          <w:rFonts w:eastAsia="Times New Roman"/>
        </w:rPr>
        <w:t xml:space="preserve"> predmetom činnosti je ochrana kybernetického priestoru.</w:t>
      </w:r>
    </w:p>
    <w:p w:rsidR="00466607">
      <w:pPr>
        <w:autoSpaceDE w:val="0"/>
        <w:bidi w:val="0"/>
        <w:ind w:left="708" w:firstLine="708"/>
        <w:jc w:val="both"/>
        <w:rPr>
          <w:rFonts w:eastAsia="Times New Roman"/>
        </w:rPr>
      </w:pPr>
    </w:p>
    <w:p w:rsidR="00466607">
      <w:pPr>
        <w:autoSpaceDE w:val="0"/>
        <w:bidi w:val="0"/>
        <w:ind w:firstLine="796"/>
        <w:jc w:val="both"/>
        <w:rPr>
          <w:rFonts w:eastAsia="Times New Roman"/>
        </w:rPr>
      </w:pPr>
      <w:r>
        <w:rPr>
          <w:rFonts w:eastAsia="Times New Roman"/>
        </w:rPr>
        <w:t xml:space="preserve">(5) Odvolanie člena výboru pre kybernetickú bezpečnosť, ktorý je zástupcom orgánu uvedeného v odseku 3 alebo zástupcom osoby uvedenej v odseku 4, schvaľuje na návrh tohto orgánu  alebo osoby Bezpečnostná rada; ak Bezpečnostná rada odvolanie člena výboru pre kybernetickú bezpečnosť schváli, predseda ho odvolá.“.   </w:t>
      </w:r>
    </w:p>
    <w:p w:rsidR="00466607">
      <w:pPr>
        <w:autoSpaceDE w:val="0"/>
        <w:bidi w:val="0"/>
        <w:jc w:val="both"/>
        <w:rPr>
          <w:rFonts w:eastAsia="Times New Roman"/>
        </w:rPr>
      </w:pPr>
    </w:p>
    <w:p w:rsidR="00466607">
      <w:pPr>
        <w:autoSpaceDE w:val="0"/>
        <w:bidi w:val="0"/>
        <w:jc w:val="both"/>
        <w:rPr>
          <w:rFonts w:eastAsia="Times New Roman"/>
        </w:rPr>
      </w:pPr>
      <w:r>
        <w:rPr>
          <w:rFonts w:eastAsia="Times New Roman"/>
        </w:rPr>
        <w:t>Poznámka pod čiarou k odkazu 10a znie:</w:t>
      </w:r>
    </w:p>
    <w:p w:rsidR="00466607">
      <w:pPr>
        <w:autoSpaceDE w:val="0"/>
        <w:bidi w:val="0"/>
        <w:ind w:left="426" w:hanging="426"/>
        <w:jc w:val="both"/>
        <w:rPr>
          <w:rFonts w:eastAsia="Times New Roman"/>
        </w:rPr>
      </w:pPr>
      <w:r>
        <w:rPr>
          <w:rFonts w:eastAsia="Times New Roman"/>
          <w:position w:val="6"/>
        </w:rPr>
        <w:t>„</w:t>
      </w:r>
      <w:r w:rsidRPr="001C172A">
        <w:rPr>
          <w:rFonts w:eastAsia="Times New Roman"/>
          <w:position w:val="6"/>
          <w:vertAlign w:val="superscript"/>
        </w:rPr>
        <w:t>10a</w:t>
      </w:r>
      <w:r>
        <w:rPr>
          <w:rFonts w:eastAsia="Times New Roman"/>
        </w:rPr>
        <w:t>) § 2 písm. a) prvý bod zákona č. 251/2012 Z. z. o energetike a o zmene a doplnení niektorých zákonov.“.</w:t>
      </w:r>
    </w:p>
    <w:p w:rsidR="00466607">
      <w:pPr>
        <w:autoSpaceDE w:val="0"/>
        <w:bidi w:val="0"/>
        <w:ind w:left="708" w:firstLine="708"/>
        <w:jc w:val="both"/>
      </w:pPr>
    </w:p>
    <w:p w:rsidR="00466607">
      <w:pPr>
        <w:numPr>
          <w:numId w:val="1"/>
        </w:numPr>
        <w:tabs>
          <w:tab w:val="left" w:pos="392"/>
        </w:tabs>
        <w:autoSpaceDE w:val="0"/>
        <w:bidi w:val="0"/>
        <w:ind w:left="404" w:hanging="404"/>
        <w:jc w:val="both"/>
        <w:rPr>
          <w:rFonts w:eastAsia="Times New Roman"/>
        </w:rPr>
      </w:pPr>
      <w:r>
        <w:rPr>
          <w:rFonts w:eastAsia="Times New Roman"/>
        </w:rPr>
        <w:t>V § 11 ods. 1 sa slová „31. decembra predchádzajúceho</w:t>
      </w:r>
      <w:r w:rsidR="002F2968">
        <w:rPr>
          <w:rFonts w:eastAsia="Times New Roman"/>
        </w:rPr>
        <w:t xml:space="preserve"> kalendárneho roka</w:t>
      </w:r>
      <w:r>
        <w:rPr>
          <w:rFonts w:eastAsia="Times New Roman"/>
        </w:rPr>
        <w:t>“ nahrádzajú slovami „31. januára</w:t>
      </w:r>
      <w:r w:rsidR="002F2968">
        <w:rPr>
          <w:rFonts w:eastAsia="Times New Roman"/>
        </w:rPr>
        <w:t>“</w:t>
      </w:r>
      <w:r>
        <w:rPr>
          <w:rFonts w:eastAsia="Times New Roman"/>
        </w:rPr>
        <w:t xml:space="preserve">. </w:t>
      </w:r>
    </w:p>
    <w:p w:rsidR="00466607">
      <w:pPr>
        <w:tabs>
          <w:tab w:val="left" w:pos="393"/>
        </w:tabs>
        <w:autoSpaceDE w:val="0"/>
        <w:bidi w:val="0"/>
        <w:ind w:left="12"/>
        <w:jc w:val="both"/>
      </w:pPr>
    </w:p>
    <w:p w:rsidR="00466607">
      <w:pPr>
        <w:autoSpaceDE w:val="0"/>
        <w:bidi w:val="0"/>
        <w:jc w:val="both"/>
        <w:rPr>
          <w:rFonts w:eastAsia="Times New Roman"/>
          <w:b/>
          <w:bCs/>
        </w:rPr>
      </w:pPr>
    </w:p>
    <w:p w:rsidR="00466607">
      <w:pPr>
        <w:autoSpaceDE w:val="0"/>
        <w:bidi w:val="0"/>
        <w:jc w:val="both"/>
        <w:rPr>
          <w:rFonts w:eastAsia="Times New Roman"/>
          <w:b/>
          <w:bCs/>
        </w:rPr>
      </w:pPr>
    </w:p>
    <w:p w:rsidR="00466607">
      <w:pPr>
        <w:autoSpaceDE w:val="0"/>
        <w:bidi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Čl. II</w:t>
      </w:r>
    </w:p>
    <w:p w:rsidR="00466607">
      <w:pPr>
        <w:autoSpaceDE w:val="0"/>
        <w:bidi w:val="0"/>
        <w:jc w:val="both"/>
        <w:rPr>
          <w:rFonts w:eastAsia="Times New Roman"/>
        </w:rPr>
      </w:pPr>
    </w:p>
    <w:p w:rsidR="00466607" w:rsidRPr="00834677" w:rsidP="00834677">
      <w:pPr>
        <w:autoSpaceDE w:val="0"/>
        <w:bidi w:val="0"/>
        <w:spacing w:after="200" w:line="276" w:lineRule="auto"/>
        <w:ind w:firstLine="851"/>
        <w:rPr>
          <w:rFonts w:eastAsia="Times New Roman"/>
        </w:rPr>
      </w:pPr>
      <w:r>
        <w:rPr>
          <w:rFonts w:eastAsia="Times New Roman"/>
        </w:rPr>
        <w:t xml:space="preserve">Tento zákon nadobúda účinnosť 1. </w:t>
      </w:r>
      <w:r w:rsidR="00E131E4">
        <w:rPr>
          <w:rFonts w:eastAsia="Times New Roman"/>
        </w:rPr>
        <w:t>januára 2016</w:t>
      </w:r>
      <w:r>
        <w:rPr>
          <w:rFonts w:eastAsia="Times New Roman"/>
        </w:rPr>
        <w:t>.</w:t>
      </w:r>
    </w:p>
    <w:sectPr w:rsidSect="00F71E61">
      <w:pgSz w:w="11905" w:h="16837"/>
      <w:pgMar w:top="1417" w:right="1417" w:bottom="1417" w:left="1417" w:header="708" w:footer="708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OpenSymbol">
    <w:charset w:val="80"/>
    <w:family w:val="auto"/>
    <w:pitch w:val="default"/>
    <w:sig w:usb0="00000000" w:usb1="00000000" w:usb2="0000000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896"/>
        </w:tabs>
        <w:ind w:left="1896" w:hanging="697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256"/>
        </w:tabs>
        <w:ind w:left="2256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616"/>
        </w:tabs>
        <w:ind w:left="2616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2976"/>
        </w:tabs>
        <w:ind w:left="29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336"/>
        </w:tabs>
        <w:ind w:left="3336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3696"/>
        </w:tabs>
        <w:ind w:left="3696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4056"/>
        </w:tabs>
        <w:ind w:left="40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4416"/>
        </w:tabs>
        <w:ind w:left="4416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4776"/>
        </w:tabs>
        <w:ind w:left="4776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7">
    <w:nsid w:val="5B2E3699"/>
    <w:multiLevelType w:val="hybridMultilevel"/>
    <w:tmpl w:val="BA90AF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1C172A"/>
    <w:rsid w:val="001C172A"/>
    <w:rsid w:val="002354B0"/>
    <w:rsid w:val="002F2968"/>
    <w:rsid w:val="0039316B"/>
    <w:rsid w:val="00453EE4"/>
    <w:rsid w:val="00466607"/>
    <w:rsid w:val="00672D4F"/>
    <w:rsid w:val="00834677"/>
    <w:rsid w:val="00AC0596"/>
    <w:rsid w:val="00AF3CA6"/>
    <w:rsid w:val="00C167E5"/>
    <w:rsid w:val="00E131E4"/>
    <w:rsid w:val="00EB53C6"/>
    <w:rsid w:val="00F71E61"/>
    <w:rsid w:val="00F964B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Lucida Sans Unicode" w:hAnsi="Times New Roman" w:cs="Times New Roman"/>
      <w:kern w:val="1"/>
      <w:sz w:val="24"/>
      <w:szCs w:val="24"/>
      <w:rtl w:val="0"/>
      <w:cs w:val="0"/>
      <w:lang w:val="sk-SK" w:bidi="ar-SA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0596"/>
    <w:pPr>
      <w:widowControl/>
      <w:suppressAutoHyphens w:val="0"/>
      <w:spacing w:before="240" w:after="60"/>
      <w:jc w:val="left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eastAsia="cs-CZ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Odrky">
    <w:name w:val="Odrážky"/>
    <w:rPr>
      <w:rFonts w:ascii="OpenSymbol" w:eastAsia="OpenSymbol" w:hAnsi="OpenSymbol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character" w:customStyle="1" w:styleId="Heading5Char">
    <w:name w:val="Heading 5 Char"/>
    <w:link w:val="Heading5"/>
    <w:uiPriority w:val="99"/>
    <w:semiHidden/>
    <w:locked/>
    <w:rsid w:val="00AC0596"/>
    <w:rPr>
      <w:rFonts w:ascii="Calibri" w:hAnsi="Calibri" w:cs="Calibri"/>
      <w:b/>
      <w:i/>
      <w:sz w:val="26"/>
      <w:lang w:val="x-none" w:eastAsia="cs-CZ"/>
    </w:rPr>
  </w:style>
  <w:style w:type="paragraph" w:styleId="Title">
    <w:name w:val="Title"/>
    <w:basedOn w:val="Normal"/>
    <w:link w:val="TitleChar"/>
    <w:uiPriority w:val="99"/>
    <w:qFormat/>
    <w:rsid w:val="00AC0596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20"/>
      <w:lang w:eastAsia="cs-CZ"/>
    </w:rPr>
  </w:style>
  <w:style w:type="character" w:customStyle="1" w:styleId="TitleChar">
    <w:name w:val="Title Char"/>
    <w:link w:val="Title"/>
    <w:uiPriority w:val="99"/>
    <w:locked/>
    <w:rsid w:val="00AC0596"/>
    <w:rPr>
      <w:rFonts w:ascii="Cambria" w:hAnsi="Cambria" w:cs="Cambria"/>
      <w:b/>
      <w:kern w:val="28"/>
      <w:sz w:val="32"/>
      <w:lang w:val="x-none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C6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B53C6"/>
    <w:rPr>
      <w:rFonts w:ascii="Segoe UI" w:eastAsia="Lucida Sans Unicode" w:hAnsi="Segoe UI"/>
      <w:kern w:val="1"/>
      <w:sz w:val="18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1258</Words>
  <Characters>7173</Characters>
  <Application>Microsoft Office Word</Application>
  <DocSecurity>0</DocSecurity>
  <Lines>0</Lines>
  <Paragraphs>0</Paragraphs>
  <ScaleCrop>false</ScaleCrop>
  <Company>MO SR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cp:lastPrinted>2015-07-09T09:24:00Z</cp:lastPrinted>
  <dcterms:created xsi:type="dcterms:W3CDTF">2015-07-30T14:04:00Z</dcterms:created>
  <dcterms:modified xsi:type="dcterms:W3CDTF">2015-07-30T14:04:00Z</dcterms:modified>
</cp:coreProperties>
</file>