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1DED" w:rsidRPr="008D027C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8D027C">
        <w:rPr>
          <w:rFonts w:ascii="Times New Roman" w:hAnsi="Times New Roman"/>
          <w:b/>
          <w:caps/>
          <w:spacing w:val="30"/>
        </w:rPr>
        <w:t>Doložka zlučiteľnosti</w:t>
      </w:r>
    </w:p>
    <w:p w:rsidR="00551DED" w:rsidRPr="008D027C">
      <w:pPr>
        <w:bidi w:val="0"/>
        <w:jc w:val="center"/>
        <w:rPr>
          <w:rFonts w:ascii="Times New Roman" w:hAnsi="Times New Roman"/>
          <w:b/>
        </w:rPr>
      </w:pPr>
      <w:r w:rsidRPr="008D027C">
        <w:rPr>
          <w:rFonts w:ascii="Times New Roman" w:hAnsi="Times New Roman"/>
          <w:b/>
        </w:rPr>
        <w:t>právneho predpisu s právom Európskej únie </w:t>
      </w:r>
    </w:p>
    <w:p w:rsidR="00551DED" w:rsidRPr="008D027C">
      <w:pPr>
        <w:bidi w:val="0"/>
        <w:rPr>
          <w:rFonts w:ascii="Times New Roman" w:hAnsi="Times New Roman"/>
        </w:rPr>
      </w:pPr>
    </w:p>
    <w:p w:rsidR="00551DED" w:rsidRPr="008D027C">
      <w:pPr>
        <w:bidi w:val="0"/>
        <w:rPr>
          <w:rFonts w:ascii="Times New Roman" w:hAnsi="Times New Roman"/>
        </w:rPr>
      </w:pPr>
    </w:p>
    <w:p w:rsidR="00551DED" w:rsidRPr="008D027C">
      <w:pPr>
        <w:bidi w:val="0"/>
        <w:ind w:left="360" w:hanging="360"/>
        <w:rPr>
          <w:rFonts w:ascii="Times New Roman" w:hAnsi="Times New Roman"/>
          <w:b/>
        </w:rPr>
      </w:pPr>
      <w:r w:rsidRPr="008D027C">
        <w:rPr>
          <w:rFonts w:ascii="Times New Roman" w:hAnsi="Times New Roman"/>
          <w:b/>
        </w:rPr>
        <w:t>1.</w:t>
        <w:tab/>
        <w:t>Predkladateľ právneho predpisu:</w:t>
      </w:r>
      <w:r w:rsidRPr="008D027C">
        <w:rPr>
          <w:rFonts w:ascii="Times New Roman" w:hAnsi="Times New Roman"/>
        </w:rPr>
        <w:t xml:space="preserve"> vláda Slovenskej republiky </w:t>
      </w:r>
    </w:p>
    <w:p w:rsidR="00551DED" w:rsidRPr="008D027C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8D027C">
        <w:rPr>
          <w:rFonts w:ascii="Times New Roman" w:hAnsi="Times New Roman"/>
        </w:rPr>
        <w:t xml:space="preserve"> </w:t>
      </w:r>
    </w:p>
    <w:p w:rsidR="00551DED" w:rsidRPr="008D027C">
      <w:pPr>
        <w:bidi w:val="0"/>
        <w:ind w:left="360" w:hanging="360"/>
        <w:rPr>
          <w:rFonts w:ascii="Times New Roman" w:hAnsi="Times New Roman"/>
          <w:b/>
        </w:rPr>
      </w:pPr>
      <w:r w:rsidRPr="008D027C">
        <w:rPr>
          <w:rFonts w:ascii="Times New Roman" w:hAnsi="Times New Roman"/>
          <w:b/>
        </w:rPr>
        <w:t>2.</w:t>
        <w:tab/>
        <w:t>Názov návrhu právneho predpisu:</w:t>
      </w:r>
      <w:r w:rsidRPr="008D027C">
        <w:rPr>
          <w:rFonts w:ascii="Times New Roman" w:hAnsi="Times New Roman"/>
        </w:rPr>
        <w:t xml:space="preserve"> Návrh zákona, ktorým sa mení a dopĺňa zákon č. 286/2009 Z. z. o fluórovaných skleníkových plynoch a o zmene a doplnení niektorých zákonov v znení neskorších predpisov a ktorým sa dopĺňa zákon č. 455/1991 Zb. o živnostenskom podnikaní (živnostenský zákon) v znení neskorších predpisov</w:t>
      </w:r>
    </w:p>
    <w:p w:rsidR="00551DED" w:rsidRPr="008D027C">
      <w:pPr>
        <w:bidi w:val="0"/>
        <w:rPr>
          <w:rFonts w:ascii="Times New Roman" w:hAnsi="Times New Roman"/>
        </w:rPr>
      </w:pPr>
    </w:p>
    <w:p w:rsidR="00551DED" w:rsidRPr="008D027C">
      <w:pPr>
        <w:bidi w:val="0"/>
        <w:ind w:left="360" w:hanging="360"/>
        <w:rPr>
          <w:rFonts w:ascii="Times New Roman" w:hAnsi="Times New Roman"/>
          <w:b/>
        </w:rPr>
      </w:pPr>
      <w:r w:rsidRPr="008D027C">
        <w:rPr>
          <w:rFonts w:ascii="Times New Roman" w:hAnsi="Times New Roman"/>
          <w:b/>
        </w:rPr>
        <w:t>3.</w:t>
        <w:tab/>
        <w:t>Problematika návrhu právneho predpisu:</w:t>
      </w:r>
    </w:p>
    <w:p w:rsidR="00551DED" w:rsidRPr="008D027C">
      <w:pPr>
        <w:bidi w:val="0"/>
        <w:ind w:firstLine="360"/>
        <w:rPr>
          <w:rFonts w:ascii="Times New Roman" w:hAnsi="Times New Roman"/>
        </w:rPr>
      </w:pPr>
    </w:p>
    <w:p w:rsidR="00551DED" w:rsidRPr="008D027C">
      <w:pPr>
        <w:bidi w:val="0"/>
        <w:ind w:left="709" w:hanging="349"/>
        <w:rPr>
          <w:rFonts w:ascii="Times New Roman" w:hAnsi="Times New Roman"/>
        </w:rPr>
      </w:pPr>
      <w:r w:rsidRPr="008D027C">
        <w:rPr>
          <w:rFonts w:ascii="Times New Roman" w:hAnsi="Times New Roman"/>
        </w:rPr>
        <w:t>a)</w:t>
        <w:tab/>
        <w:t>je upravená v práve Európskej únie</w:t>
      </w:r>
    </w:p>
    <w:p w:rsidR="00551DED" w:rsidRPr="008D027C">
      <w:pPr>
        <w:bidi w:val="0"/>
        <w:ind w:left="360"/>
        <w:rPr>
          <w:rFonts w:ascii="Times New Roman" w:hAnsi="Times New Roman"/>
        </w:rPr>
      </w:pPr>
    </w:p>
    <w:p w:rsidR="00551DED" w:rsidRPr="008D027C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</w:rPr>
      </w:pPr>
      <w:r w:rsidRPr="008D027C">
        <w:rPr>
          <w:rFonts w:ascii="Times New Roman" w:hAnsi="Times New Roman"/>
        </w:rPr>
        <w:t>-</w:t>
        <w:tab/>
      </w:r>
      <w:r w:rsidRPr="008D027C">
        <w:rPr>
          <w:rFonts w:ascii="Times New Roman" w:hAnsi="Times New Roman"/>
          <w:i/>
        </w:rPr>
        <w:t>primárnom</w:t>
      </w:r>
    </w:p>
    <w:p w:rsidR="00551DED" w:rsidRPr="008D027C">
      <w:pPr>
        <w:bidi w:val="0"/>
        <w:ind w:left="851"/>
        <w:rPr>
          <w:rFonts w:ascii="Times New Roman" w:hAnsi="Times New Roman"/>
        </w:rPr>
      </w:pPr>
    </w:p>
    <w:p w:rsidR="00551DED" w:rsidRPr="008D027C">
      <w:pPr>
        <w:bidi w:val="0"/>
        <w:ind w:left="851"/>
        <w:rPr>
          <w:rFonts w:ascii="Times New Roman" w:hAnsi="Times New Roman"/>
        </w:rPr>
      </w:pPr>
      <w:r w:rsidRPr="00836426" w:rsidR="008808F1">
        <w:rPr>
          <w:rFonts w:ascii="Times New Roman" w:hAnsi="Times New Roman"/>
        </w:rPr>
        <w:t>Tretia časť,</w:t>
      </w:r>
      <w:r w:rsidRPr="008D027C" w:rsidR="008808F1">
        <w:rPr>
          <w:rFonts w:ascii="Times New Roman" w:hAnsi="Times New Roman"/>
          <w:color w:val="FF0000"/>
        </w:rPr>
        <w:t xml:space="preserve"> </w:t>
      </w:r>
      <w:r w:rsidRPr="008D027C">
        <w:rPr>
          <w:rFonts w:ascii="Times New Roman" w:hAnsi="Times New Roman"/>
        </w:rPr>
        <w:t>hlav</w:t>
      </w:r>
      <w:r w:rsidRPr="008D027C" w:rsidR="008808F1">
        <w:rPr>
          <w:rFonts w:ascii="Times New Roman" w:hAnsi="Times New Roman"/>
        </w:rPr>
        <w:t>a</w:t>
      </w:r>
      <w:r w:rsidRPr="008D027C">
        <w:rPr>
          <w:rFonts w:ascii="Times New Roman" w:hAnsi="Times New Roman"/>
        </w:rPr>
        <w:t xml:space="preserve"> XX </w:t>
      </w:r>
      <w:r w:rsidRPr="008D027C" w:rsidR="008808F1">
        <w:rPr>
          <w:rFonts w:ascii="Times New Roman" w:hAnsi="Times New Roman"/>
        </w:rPr>
        <w:t>(</w:t>
      </w:r>
      <w:r w:rsidRPr="008D027C">
        <w:rPr>
          <w:rFonts w:ascii="Times New Roman" w:hAnsi="Times New Roman"/>
        </w:rPr>
        <w:t>Životné prostredi</w:t>
      </w:r>
      <w:r w:rsidRPr="008D027C" w:rsidR="008808F1">
        <w:rPr>
          <w:rFonts w:ascii="Times New Roman" w:hAnsi="Times New Roman"/>
        </w:rPr>
        <w:t>e)</w:t>
      </w:r>
      <w:r w:rsidRPr="008D027C">
        <w:rPr>
          <w:rFonts w:ascii="Times New Roman" w:hAnsi="Times New Roman"/>
        </w:rPr>
        <w:t xml:space="preserve"> Zmluvy o fungovaní Európskej únie </w:t>
      </w:r>
    </w:p>
    <w:p w:rsidR="00551DED" w:rsidRPr="008D027C">
      <w:pPr>
        <w:bidi w:val="0"/>
        <w:ind w:firstLine="360"/>
        <w:rPr>
          <w:rFonts w:ascii="Times New Roman" w:hAnsi="Times New Roman"/>
        </w:rPr>
      </w:pPr>
    </w:p>
    <w:p w:rsidR="00551DED" w:rsidRPr="008D027C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</w:rPr>
      </w:pPr>
      <w:r w:rsidRPr="008D027C">
        <w:rPr>
          <w:rFonts w:ascii="Times New Roman" w:hAnsi="Times New Roman"/>
        </w:rPr>
        <w:t>-</w:t>
        <w:tab/>
      </w:r>
      <w:r w:rsidRPr="008D027C">
        <w:rPr>
          <w:rFonts w:ascii="Times New Roman" w:hAnsi="Times New Roman"/>
          <w:i/>
        </w:rPr>
        <w:t>sekundárnom (prijatom po nadobudnutím platnosti Lisabonskej zmluvy, ktorou sa mení a dopĺňa Zmluva o Európskom spoločenstve a Zmluva o Európskej únii – po 30. novembri 2009)</w:t>
      </w:r>
    </w:p>
    <w:p w:rsidR="00551DED" w:rsidRPr="008D027C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</w:rPr>
      </w:pPr>
    </w:p>
    <w:p w:rsidR="00551DED" w:rsidRPr="008D027C">
      <w:pPr>
        <w:bidi w:val="0"/>
        <w:ind w:left="1239" w:hanging="360"/>
        <w:rPr>
          <w:rFonts w:ascii="Times New Roman" w:hAnsi="Times New Roman"/>
          <w:i/>
        </w:rPr>
      </w:pPr>
      <w:r w:rsidRPr="008D027C">
        <w:rPr>
          <w:rFonts w:ascii="Times New Roman" w:hAnsi="Times New Roman"/>
        </w:rPr>
        <w:t>1.</w:t>
        <w:tab/>
        <w:t xml:space="preserve">legislatívne akty </w:t>
      </w:r>
    </w:p>
    <w:p w:rsidR="00551DED" w:rsidRPr="008D027C">
      <w:pPr>
        <w:bidi w:val="0"/>
        <w:ind w:firstLine="360"/>
        <w:rPr>
          <w:rFonts w:ascii="Times New Roman" w:hAnsi="Times New Roman"/>
        </w:rPr>
      </w:pPr>
    </w:p>
    <w:p w:rsidR="00551DED" w:rsidRPr="00016EB4" w:rsidP="008808F1">
      <w:pPr>
        <w:bidi w:val="0"/>
        <w:ind w:left="851"/>
        <w:jc w:val="both"/>
        <w:rPr>
          <w:rFonts w:ascii="Times New Roman" w:hAnsi="Times New Roman"/>
        </w:rPr>
      </w:pPr>
      <w:r w:rsidRPr="00016EB4" w:rsidR="008808F1">
        <w:rPr>
          <w:rFonts w:ascii="Times New Roman" w:hAnsi="Times New Roman"/>
        </w:rPr>
        <w:t xml:space="preserve">Nariadenie Európskeho parlamentu a Rady (EÚ) č. 517/2014 zo 16. apríla 2014 </w:t>
      </w:r>
      <w:r w:rsidR="003C6622">
        <w:rPr>
          <w:rFonts w:ascii="Times New Roman" w:hAnsi="Times New Roman"/>
        </w:rPr>
        <w:t xml:space="preserve">            </w:t>
      </w:r>
      <w:r w:rsidRPr="00016EB4" w:rsidR="008808F1">
        <w:rPr>
          <w:rFonts w:ascii="Times New Roman" w:hAnsi="Times New Roman"/>
        </w:rPr>
        <w:t>o fluórovaných skleníkových plynoch, ktorým sa zrušuje nariadenie (ES) č. 842/2006 (Ú.v. EÚ L 150, 20.5.2014)</w:t>
      </w:r>
    </w:p>
    <w:p w:rsidR="00551DED" w:rsidRPr="008D027C">
      <w:pPr>
        <w:bidi w:val="0"/>
        <w:ind w:left="851"/>
        <w:rPr>
          <w:rFonts w:ascii="Times New Roman" w:hAnsi="Times New Roman"/>
        </w:rPr>
      </w:pPr>
    </w:p>
    <w:p w:rsidR="00551DED" w:rsidRPr="008D027C">
      <w:pPr>
        <w:bidi w:val="0"/>
        <w:ind w:left="1239" w:hanging="360"/>
        <w:jc w:val="both"/>
        <w:rPr>
          <w:rFonts w:ascii="Times New Roman" w:hAnsi="Times New Roman"/>
          <w:i/>
        </w:rPr>
      </w:pPr>
      <w:r w:rsidRPr="008D027C">
        <w:rPr>
          <w:rFonts w:ascii="Times New Roman" w:hAnsi="Times New Roman"/>
        </w:rPr>
        <w:t>2.</w:t>
        <w:tab/>
        <w:t>nelegislatívne akty</w:t>
      </w:r>
    </w:p>
    <w:p w:rsidR="00551DED" w:rsidRPr="008D027C">
      <w:pPr>
        <w:bidi w:val="0"/>
        <w:ind w:firstLine="708"/>
        <w:jc w:val="both"/>
        <w:rPr>
          <w:rFonts w:ascii="Times New Roman" w:hAnsi="Times New Roman"/>
        </w:rPr>
      </w:pPr>
      <w:r w:rsidRPr="008D027C">
        <w:rPr>
          <w:rFonts w:ascii="Times New Roman" w:hAnsi="Times New Roman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51DED" w:rsidRPr="008D027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27C">
              <w:rPr>
                <w:rFonts w:ascii="Times New Roman" w:hAnsi="Times New Roman"/>
              </w:rPr>
              <w:t xml:space="preserve">Vykonávacie nariadenie Komisie (EÚ) č. 1191/2014 z 30. októbra 2014, ktorým sa určuje formát a spôsob nahlasovania informácií podľa článku 19 nariadenia Európskeho parlamentu a Rady (EÚ) č. 517/2014 o fluórovaných skleníkových plynoch (Ú.v. EÚ L 318, 5.11.2014). </w:t>
              <w:br/>
              <w:t> </w:t>
            </w:r>
          </w:p>
        </w:tc>
      </w:tr>
    </w:tbl>
    <w:p w:rsidR="00551DED" w:rsidRPr="008D027C">
      <w:pPr>
        <w:bidi w:val="0"/>
        <w:ind w:firstLine="708"/>
        <w:jc w:val="both"/>
        <w:rPr>
          <w:rFonts w:ascii="Times New Roman" w:hAnsi="Times New Roman"/>
        </w:rPr>
      </w:pPr>
    </w:p>
    <w:p w:rsidR="00551DED" w:rsidRPr="008D027C">
      <w:pPr>
        <w:bidi w:val="0"/>
        <w:ind w:left="879" w:hanging="171"/>
        <w:jc w:val="both"/>
        <w:rPr>
          <w:rFonts w:ascii="Times New Roman" w:hAnsi="Times New Roman"/>
          <w:i/>
        </w:rPr>
      </w:pPr>
      <w:r w:rsidRPr="008D027C">
        <w:rPr>
          <w:rFonts w:ascii="Times New Roman" w:hAnsi="Times New Roman"/>
        </w:rPr>
        <w:t>-</w:t>
        <w:tab/>
      </w:r>
      <w:r w:rsidRPr="008D027C">
        <w:rPr>
          <w:rFonts w:ascii="Times New Roman" w:hAnsi="Times New Roman"/>
          <w:i/>
        </w:rPr>
        <w:t>sekundárnom (prijatom pred nadobudnutím platnosti Lisabonskej zmluvy, ktorou sa mení a dopĺňa Zmluva o Európskom spoločenstve a Zmluva o Európskej únii – do 30. novembra 2009)</w:t>
      </w:r>
    </w:p>
    <w:p w:rsidR="00551DED" w:rsidRPr="008D027C">
      <w:pPr>
        <w:bidi w:val="0"/>
        <w:ind w:firstLine="708"/>
        <w:jc w:val="both"/>
        <w:rPr>
          <w:rFonts w:ascii="Times New Roman" w:hAnsi="Times New Roman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51DED" w:rsidRPr="008D027C" w:rsidP="00A036B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27C">
              <w:rPr>
                <w:rFonts w:ascii="Times New Roman" w:hAnsi="Times New Roman"/>
              </w:rPr>
              <w:t xml:space="preserve">Nariadenie Komisie (ES) č. 1494/2007 zo 17. decembra 2007, ktorým sa podľa nariadenia Európskeho parlamentu a Rady (ES) č. 842/2006 stanovuje forma označenia a dodatočné požiadavky na označovanie výrobkov a zariadení obsahujúcich určité fluórované skleníkové plyny (Ú.v. EÚ L 332, 18.12.2007); </w:t>
              <w:br/>
              <w:t xml:space="preserve">Nariadenie Komisie (ES) č. 1497/2007 z 18. decembra 2007, ktorým sa podľa nariadenia Európskeho parlamentu a Rady (ES) č. 842/2006 ustanovujú štandardné požiadavky na kontrolu úniku pre stacionárne systémy požiarnej ochrany obsahujúce určité fluórované skleníkové plyny (Ú.v. EÚ L 333, </w:t>
            </w:r>
            <w:r w:rsidRPr="00A036B1" w:rsidR="008D027C">
              <w:rPr>
                <w:rFonts w:ascii="Times New Roman" w:hAnsi="Times New Roman"/>
              </w:rPr>
              <w:t>19</w:t>
            </w:r>
            <w:r w:rsidRPr="008D027C">
              <w:rPr>
                <w:rFonts w:ascii="Times New Roman" w:hAnsi="Times New Roman"/>
              </w:rPr>
              <w:t xml:space="preserve">.12.2007); </w:t>
              <w:br/>
              <w:t xml:space="preserve">Nariadenie Komisie (ES) č. 1516/2007 z 19. decembra 2007, ktorým sa podľa nariadenia Európskeho parlamentu a Rady (ES) č. 842/2006 ustanovujú štandardné požiadavky na kontrolu úniku pre stacionárne chladiace a klimatizačné zariadenia a tepelné čerpadlá obsahujúce určité fluórované skleníkové plyny (Ú.v. EÚ L 335, 20.12.2007); </w:t>
              <w:br/>
              <w:t xml:space="preserve">Nariadenie Komisie (ES) č. 303/2008 z 2. apríla 2008, ktorým sa podľa nariadenia Európskeho parlamentu a Rady (ES) č. 842/2006 ustanovujú minimálne požiadavky a podmienky vzájomného uznávania osvedčení spoločností a zamestnancov v súvislosti so stacionárnymi chladiacimi zariadeniami, klimatizačnými zariadeniami a tepelnými čerpadlami obsahujúcimi určité fluórované skleníkové plyny (Ú.v. EÚ L 92, 3.4.2008); </w:t>
              <w:br/>
              <w:t xml:space="preserve">Nariadenie Komisie (ES) č. 304/2008 z 2. apríla 2008, ktorým sa podľa nariadenia Európskeho parlamentu a Rady (ES) č. 842/2006 ustanovujú minimálne požiadavky a podmienky vzájomného uznávania udeľovania osvedčení spoločnostiam a zamestnancom v súvislosti so stacionárnymi systémami požiarnej ochrany a hasiacimi prístrojmi obsahujúcimi určité fluórované skleníkové plyny (Ú. v. EÚ L 92, 3.4.2008); </w:t>
              <w:br/>
              <w:t xml:space="preserve">Nariadenie Komisie (ES) č. 305/2008 z 2. apríla 2008, ktorým sa podľa nariadenia Európskeho parlamentu a Rady (ES) č. 842/2006 ustanovujú minimálne požiadavky a podmienky vzájomného uznávania udeľovania osvedčení zamestnancom vykonávajúcim zber určitých fluórovaných skleníkových plynov z rozvodní vysokého napätia (Ú. v. EÚ L 92, 3.4.2008); </w:t>
              <w:br/>
              <w:t xml:space="preserve">Nariadenie Komisie (ES) č. 306/2008 z 2. apríla 2008, ktorým sa podľa nariadenia Európskeho parlamentu a Rady (ES) č. 842/2006 ustanovujú minimálne požiadavky a podmienky vzájomného uznávania udeľovania osvedčení zamestnancom vykonávajúcim zber rozpúšťadiel na báze určitých fluórovaných skleníkových plynov zo zariadení (Ú. v. EÚ L 92, 3.4.2008); </w:t>
              <w:br/>
              <w:t xml:space="preserve">Nariadenie Komisie (ES) č. 307/2008 z 2. apríla 2008, ktorým sa podľa nariadenia Európskeho parlamentu a Rady (ES) č. 842/2006 ustanovujú minimálne požiadavky na programy odbornej prípravy a podmienky vzájomného uznávania osvedčení o odbornej príprave zamestnancov v súvislosti s klimatizačnými systémami v určitých motorových vozidlách obsahujúcich určité fluórované skleníkové plyny (Ú.v. EÚ L 92, 3.4.2008); </w:t>
              <w:br/>
              <w:t xml:space="preserve">Nariadenie Komisie (ES) č. 308/2008 z 2. apríla 2008, ktorým sa podľa nariadenia Európskeho parlamentu a Rady (ES) č. 842/2006 ustanovuje formulár oznámenia o programoch členských štátov týkajúcich sa odbornej prípravy a udeľovania osvedčení (Ú. v. EÚ L 92, 3.4.2008). </w:t>
              <w:br/>
              <w:t> </w:t>
            </w:r>
          </w:p>
        </w:tc>
      </w:tr>
    </w:tbl>
    <w:p w:rsidR="00551DED" w:rsidRPr="008D027C" w:rsidP="00F539F3">
      <w:pPr>
        <w:bidi w:val="0"/>
        <w:rPr>
          <w:rFonts w:ascii="Times New Roman" w:hAnsi="Times New Roman"/>
        </w:rPr>
      </w:pPr>
    </w:p>
    <w:p w:rsidR="00551DED" w:rsidRPr="008D027C">
      <w:pPr>
        <w:bidi w:val="0"/>
        <w:ind w:firstLine="360"/>
        <w:rPr>
          <w:rFonts w:ascii="Times New Roman" w:hAnsi="Times New Roman"/>
        </w:rPr>
      </w:pPr>
    </w:p>
    <w:p w:rsidR="00551DED" w:rsidRPr="008D027C">
      <w:pPr>
        <w:bidi w:val="0"/>
        <w:ind w:left="709" w:hanging="349"/>
        <w:rPr>
          <w:rFonts w:ascii="Times New Roman" w:hAnsi="Times New Roman"/>
        </w:rPr>
      </w:pPr>
      <w:r w:rsidRPr="008D027C">
        <w:rPr>
          <w:rFonts w:ascii="Times New Roman" w:hAnsi="Times New Roman"/>
        </w:rPr>
        <w:t>b)</w:t>
        <w:tab/>
        <w:t>nie je obsiahnutá v judikatúre Súdneho dvora Európskej únie.</w:t>
      </w:r>
    </w:p>
    <w:p w:rsidR="00551DED" w:rsidRPr="008D027C">
      <w:pPr>
        <w:bidi w:val="0"/>
        <w:ind w:left="360"/>
        <w:rPr>
          <w:rFonts w:ascii="Times New Roman" w:hAnsi="Times New Roman"/>
        </w:rPr>
      </w:pPr>
    </w:p>
    <w:p w:rsidR="00551DED" w:rsidRPr="008D027C">
      <w:pPr>
        <w:bidi w:val="0"/>
        <w:rPr>
          <w:rFonts w:ascii="Times New Roman" w:hAnsi="Times New Roman"/>
        </w:rPr>
      </w:pPr>
    </w:p>
    <w:p w:rsidR="00551DED" w:rsidRPr="008D027C">
      <w:pPr>
        <w:bidi w:val="0"/>
        <w:ind w:left="360" w:hanging="360"/>
        <w:rPr>
          <w:rFonts w:ascii="Times New Roman" w:hAnsi="Times New Roman"/>
          <w:b/>
        </w:rPr>
      </w:pPr>
      <w:r w:rsidRPr="008D027C">
        <w:rPr>
          <w:rFonts w:ascii="Times New Roman" w:hAnsi="Times New Roman"/>
          <w:b/>
        </w:rPr>
        <w:t>4.</w:t>
        <w:tab/>
        <w:t xml:space="preserve">Záväzky Slovenskej republiky vo vzťahu k Európskej únii: </w:t>
      </w:r>
    </w:p>
    <w:p w:rsidR="00551DED" w:rsidRPr="008D027C">
      <w:pPr>
        <w:bidi w:val="0"/>
        <w:rPr>
          <w:rFonts w:ascii="Times New Roman" w:hAnsi="Times New Roman"/>
        </w:rPr>
      </w:pPr>
    </w:p>
    <w:p w:rsidR="00551DED" w:rsidRPr="008D027C">
      <w:pPr>
        <w:bidi w:val="0"/>
        <w:ind w:left="709" w:hanging="349"/>
        <w:rPr>
          <w:rFonts w:ascii="Times New Roman" w:hAnsi="Times New Roman"/>
        </w:rPr>
      </w:pPr>
      <w:r w:rsidRPr="008D027C">
        <w:rPr>
          <w:rFonts w:ascii="Times New Roman" w:hAnsi="Times New Roman"/>
        </w:rPr>
        <w:t>a)</w:t>
        <w:tab/>
        <w:t>lehota na prebratie smernice alebo lehota na implementáciu nariadenia alebo rozhodnutia</w:t>
      </w:r>
    </w:p>
    <w:p w:rsidR="00551DED" w:rsidRPr="008D027C">
      <w:pPr>
        <w:bidi w:val="0"/>
        <w:ind w:left="720"/>
        <w:rPr>
          <w:rFonts w:ascii="Times New Roman" w:hAnsi="Times New Roman"/>
        </w:rPr>
      </w:pPr>
    </w:p>
    <w:p w:rsidR="00551DED" w:rsidRPr="00A036B1">
      <w:pPr>
        <w:bidi w:val="0"/>
        <w:ind w:left="720"/>
        <w:rPr>
          <w:rFonts w:ascii="Times New Roman" w:hAnsi="Times New Roman"/>
          <w:color w:val="FF0000"/>
        </w:rPr>
      </w:pPr>
      <w:r w:rsidRPr="008D027C">
        <w:rPr>
          <w:rFonts w:ascii="Times New Roman" w:hAnsi="Times New Roman"/>
        </w:rPr>
        <w:t>1. január 201</w:t>
      </w:r>
      <w:r w:rsidR="00F539F3">
        <w:rPr>
          <w:rFonts w:ascii="Times New Roman" w:hAnsi="Times New Roman"/>
        </w:rPr>
        <w:t>5</w:t>
      </w:r>
      <w:r w:rsidRPr="008D027C">
        <w:rPr>
          <w:rFonts w:ascii="Times New Roman" w:hAnsi="Times New Roman"/>
        </w:rPr>
        <w:t> </w:t>
      </w:r>
    </w:p>
    <w:p w:rsidR="00551DED" w:rsidRPr="008D027C">
      <w:pPr>
        <w:bidi w:val="0"/>
        <w:rPr>
          <w:rFonts w:ascii="Times New Roman" w:hAnsi="Times New Roman"/>
        </w:rPr>
      </w:pPr>
    </w:p>
    <w:p w:rsidR="00551DED" w:rsidRPr="008D027C">
      <w:pPr>
        <w:bidi w:val="0"/>
        <w:ind w:left="709" w:hanging="349"/>
        <w:rPr>
          <w:rFonts w:ascii="Times New Roman" w:hAnsi="Times New Roman"/>
        </w:rPr>
      </w:pPr>
      <w:r w:rsidRPr="008D027C">
        <w:rPr>
          <w:rFonts w:ascii="Times New Roman" w:hAnsi="Times New Roman"/>
        </w:rPr>
        <w:t>b)</w:t>
        <w:tab/>
      </w:r>
      <w:r w:rsidRPr="008D027C">
        <w:rPr>
          <w:rFonts w:ascii="Times New Roman" w:hAnsi="Times New Roman"/>
          <w:color w:val="000000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551DED" w:rsidRPr="008D027C">
      <w:pPr>
        <w:bidi w:val="0"/>
        <w:ind w:left="709" w:hanging="349"/>
        <w:rPr>
          <w:rFonts w:ascii="Times New Roman" w:hAnsi="Times New Roman"/>
        </w:rPr>
      </w:pPr>
      <w:r w:rsidRPr="008D027C">
        <w:rPr>
          <w:rFonts w:ascii="Times New Roman" w:hAnsi="Times New Roman"/>
        </w:rPr>
        <w:tab/>
      </w:r>
    </w:p>
    <w:p w:rsidR="00551DED" w:rsidRPr="008D027C">
      <w:pPr>
        <w:bidi w:val="0"/>
        <w:ind w:left="709" w:hanging="349"/>
        <w:rPr>
          <w:rFonts w:ascii="Times New Roman" w:hAnsi="Times New Roman"/>
        </w:rPr>
      </w:pPr>
      <w:r w:rsidRPr="008D027C">
        <w:rPr>
          <w:rFonts w:ascii="Times New Roman" w:hAnsi="Times New Roman"/>
        </w:rPr>
        <w:tab/>
        <w:t>jún 2015 </w:t>
      </w:r>
    </w:p>
    <w:p w:rsidR="00551DED" w:rsidRPr="008D027C">
      <w:pPr>
        <w:bidi w:val="0"/>
        <w:ind w:left="709" w:hanging="349"/>
        <w:rPr>
          <w:rFonts w:ascii="Times New Roman" w:hAnsi="Times New Roman"/>
        </w:rPr>
      </w:pPr>
    </w:p>
    <w:p w:rsidR="00551DED" w:rsidRPr="008D027C">
      <w:pPr>
        <w:bidi w:val="0"/>
        <w:ind w:left="709" w:hanging="349"/>
        <w:rPr>
          <w:rFonts w:ascii="Times New Roman" w:hAnsi="Times New Roman"/>
        </w:rPr>
      </w:pPr>
      <w:r w:rsidRPr="008D027C">
        <w:rPr>
          <w:rFonts w:ascii="Times New Roman" w:hAnsi="Times New Roman"/>
        </w:rPr>
        <w:t>c)</w:t>
        <w:tab/>
        <w:t>informácia o konaní začatom proti Slovenskej republike o porušení podľa čl. 258 až 260 Zmluvy o fungovaní Európskej únie</w:t>
      </w:r>
    </w:p>
    <w:p w:rsidR="00551DED" w:rsidRPr="008D027C">
      <w:pPr>
        <w:bidi w:val="0"/>
        <w:ind w:left="720"/>
        <w:rPr>
          <w:rFonts w:ascii="Times New Roman" w:hAnsi="Times New Roman"/>
        </w:rPr>
      </w:pPr>
    </w:p>
    <w:p w:rsidR="00551DED" w:rsidRPr="008D027C">
      <w:pPr>
        <w:bidi w:val="0"/>
        <w:ind w:firstLine="708"/>
        <w:rPr>
          <w:rFonts w:ascii="Times New Roman" w:hAnsi="Times New Roman"/>
        </w:rPr>
      </w:pPr>
      <w:r w:rsidRPr="008D027C">
        <w:rPr>
          <w:rFonts w:ascii="Times New Roman" w:hAnsi="Times New Roman"/>
        </w:rPr>
        <w:t>nie je </w:t>
      </w:r>
    </w:p>
    <w:p w:rsidR="00551DED" w:rsidRPr="008D027C">
      <w:pPr>
        <w:bidi w:val="0"/>
        <w:ind w:firstLine="708"/>
        <w:rPr>
          <w:rFonts w:ascii="Times New Roman" w:hAnsi="Times New Roman"/>
        </w:rPr>
      </w:pPr>
    </w:p>
    <w:p w:rsidR="00551DED" w:rsidRPr="008D027C">
      <w:pPr>
        <w:bidi w:val="0"/>
        <w:ind w:left="709" w:hanging="349"/>
        <w:rPr>
          <w:rFonts w:ascii="Times New Roman" w:hAnsi="Times New Roman"/>
        </w:rPr>
      </w:pPr>
      <w:r w:rsidRPr="008D027C">
        <w:rPr>
          <w:rFonts w:ascii="Times New Roman" w:hAnsi="Times New Roman"/>
        </w:rPr>
        <w:t>d)</w:t>
        <w:tab/>
        <w:t>informácia o právnych predpisoch, v ktorých sú preberané smernice už prebraté spolu s uvedením rozsahu tohto prebratia</w:t>
      </w:r>
    </w:p>
    <w:p w:rsidR="00551DED" w:rsidRPr="008D027C">
      <w:pPr>
        <w:bidi w:val="0"/>
        <w:ind w:left="720"/>
        <w:rPr>
          <w:rFonts w:ascii="Times New Roman" w:hAnsi="Times New Roman"/>
        </w:rPr>
      </w:pPr>
    </w:p>
    <w:p w:rsidR="00551DED" w:rsidRPr="008D027C">
      <w:pPr>
        <w:bidi w:val="0"/>
        <w:ind w:firstLine="708"/>
        <w:rPr>
          <w:rFonts w:ascii="Times New Roman" w:hAnsi="Times New Roman"/>
        </w:rPr>
      </w:pPr>
      <w:r w:rsidRPr="008D027C">
        <w:rPr>
          <w:rFonts w:ascii="Times New Roman" w:hAnsi="Times New Roman"/>
        </w:rPr>
        <w:t>nie sú </w:t>
      </w:r>
    </w:p>
    <w:p w:rsidR="00551DED" w:rsidRPr="008D027C">
      <w:pPr>
        <w:bidi w:val="0"/>
        <w:ind w:firstLine="708"/>
        <w:rPr>
          <w:rFonts w:ascii="Times New Roman" w:hAnsi="Times New Roman"/>
        </w:rPr>
      </w:pPr>
    </w:p>
    <w:p w:rsidR="00551DED" w:rsidRPr="008D027C">
      <w:pPr>
        <w:bidi w:val="0"/>
        <w:ind w:left="360" w:hanging="360"/>
        <w:rPr>
          <w:rFonts w:ascii="Times New Roman" w:hAnsi="Times New Roman"/>
          <w:b/>
        </w:rPr>
      </w:pPr>
      <w:r w:rsidRPr="008D027C"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551DED" w:rsidRPr="008D027C">
      <w:pPr>
        <w:bidi w:val="0"/>
        <w:rPr>
          <w:rFonts w:ascii="Times New Roman" w:hAnsi="Times New Roman"/>
        </w:rPr>
      </w:pPr>
    </w:p>
    <w:p w:rsidR="00551DED" w:rsidRPr="008D027C">
      <w:pPr>
        <w:bidi w:val="0"/>
        <w:ind w:firstLine="360"/>
        <w:rPr>
          <w:rFonts w:ascii="Times New Roman" w:hAnsi="Times New Roman"/>
        </w:rPr>
      </w:pPr>
      <w:r w:rsidRPr="008D027C">
        <w:rPr>
          <w:rFonts w:ascii="Times New Roman" w:hAnsi="Times New Roman"/>
        </w:rPr>
        <w:t>Stupeň zlučiteľnosti - úplný </w:t>
      </w:r>
    </w:p>
    <w:p w:rsidR="00551DED" w:rsidRPr="008D027C">
      <w:pPr>
        <w:bidi w:val="0"/>
        <w:rPr>
          <w:rFonts w:ascii="Times New Roman" w:hAnsi="Times New Roman"/>
        </w:rPr>
      </w:pPr>
    </w:p>
    <w:p w:rsidR="00551DED" w:rsidRPr="008D027C">
      <w:pPr>
        <w:bidi w:val="0"/>
        <w:ind w:left="360" w:hanging="360"/>
        <w:rPr>
          <w:rFonts w:ascii="Times New Roman" w:hAnsi="Times New Roman"/>
          <w:b/>
        </w:rPr>
      </w:pPr>
      <w:r w:rsidRPr="008D027C">
        <w:rPr>
          <w:rFonts w:ascii="Times New Roman" w:hAnsi="Times New Roman"/>
          <w:b/>
        </w:rPr>
        <w:t>6.</w:t>
        <w:tab/>
        <w:t xml:space="preserve">Gestor a spolupracujúce rezorty: </w:t>
      </w:r>
    </w:p>
    <w:p w:rsidR="00551DED" w:rsidRPr="008D027C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</w:p>
    <w:p w:rsidR="00551DED" w:rsidRPr="008D027C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8D027C">
        <w:rPr>
          <w:rFonts w:ascii="Times New Roman" w:hAnsi="Times New Roman"/>
        </w:rPr>
        <w:t xml:space="preserve">Ministerstvo životného prostredia Slovenskej republiky </w:t>
        <w:br/>
        <w:t> </w:t>
      </w:r>
    </w:p>
    <w:p w:rsidR="00551DED">
      <w:pPr>
        <w:tabs>
          <w:tab w:val="left" w:pos="360"/>
        </w:tabs>
        <w:bidi w:val="0"/>
        <w:rPr>
          <w:rFonts w:ascii="Times New Roman" w:hAnsi="Times New Roman"/>
          <w:lang w:val="en-US"/>
        </w:rPr>
      </w:pPr>
    </w:p>
    <w:p w:rsidR="00551DED">
      <w:pPr>
        <w:bidi w:val="0"/>
        <w:rPr>
          <w:rFonts w:ascii="Times New Roman" w:hAnsi="Times New Roman"/>
          <w:lang w:val="en-US"/>
        </w:rPr>
      </w:pPr>
    </w:p>
    <w:p w:rsidR="00551DED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808F1"/>
    <w:rsid w:val="00016EB4"/>
    <w:rsid w:val="000F3900"/>
    <w:rsid w:val="001E2EE9"/>
    <w:rsid w:val="003C6622"/>
    <w:rsid w:val="00551DED"/>
    <w:rsid w:val="007E6AD9"/>
    <w:rsid w:val="00836426"/>
    <w:rsid w:val="008808F1"/>
    <w:rsid w:val="008D027C"/>
    <w:rsid w:val="00A036B1"/>
    <w:rsid w:val="00B02F8B"/>
    <w:rsid w:val="00B15D06"/>
    <w:rsid w:val="00B9105F"/>
    <w:rsid w:val="00E254EA"/>
    <w:rsid w:val="00F539F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rsid w:val="00B9105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9105F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3</Pages>
  <Words>833</Words>
  <Characters>4751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Preisingerová Andrea</dc:creator>
  <cp:lastModifiedBy>Široký Vladimír</cp:lastModifiedBy>
  <cp:revision>4</cp:revision>
  <cp:lastPrinted>2015-07-09T08:20:00Z</cp:lastPrinted>
  <dcterms:created xsi:type="dcterms:W3CDTF">2015-06-19T09:34:00Z</dcterms:created>
  <dcterms:modified xsi:type="dcterms:W3CDTF">2015-07-09T08:27:00Z</dcterms:modified>
</cp:coreProperties>
</file>