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3D4B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Doložka prednosti</w:t>
      </w:r>
    </w:p>
    <w:p w:rsidR="00B43D4B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medzinárodnej zmluvy pred zákonmi</w:t>
      </w:r>
    </w:p>
    <w:p w:rsidR="00B43D4B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(čl. 7 ods. 5 ústavy)</w:t>
      </w:r>
    </w:p>
    <w:p w:rsidR="00B43D4B">
      <w:pPr>
        <w:bidi w:val="0"/>
        <w:rPr>
          <w:rFonts w:ascii="Times New Roman" w:hAnsi="Times New Roman"/>
          <w:b/>
          <w:noProof/>
          <w:color w:val="000000"/>
        </w:rPr>
      </w:pPr>
    </w:p>
    <w:p w:rsidR="00B43D4B">
      <w:pPr>
        <w:bidi w:val="0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>
        <w:rPr>
          <w:rFonts w:ascii="Times New Roman" w:hAnsi="Times New Roman"/>
          <w:color w:val="000000"/>
        </w:rPr>
        <w:t>Ministerstvo zahraničných vecí a európskych záležitostí Slovenskej republiky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2.</w:t>
        <w:tab/>
        <w:t>Názov zmluvy:</w:t>
      </w:r>
      <w:r>
        <w:rPr>
          <w:rFonts w:ascii="Times New Roman" w:hAnsi="Times New Roman"/>
          <w:color w:val="000000"/>
        </w:rPr>
        <w:t xml:space="preserve"> Návrh na ratifikáciu Dohovoru Organizácie Spojených národov o jurisdikčných imunitách štátov a ich majetku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 w:rsidRPr="008136FC">
        <w:rPr>
          <w:rFonts w:ascii="Times New Roman" w:hAnsi="Times New Roman"/>
          <w:b/>
          <w:color w:val="000000"/>
          <w:lang w:val="en-US"/>
        </w:rPr>
        <w:t>3.</w:t>
        <w:tab/>
        <w:t>Účel a predmet zmluvy a jeho úprava v právnom poriadku Slovenskej republiky: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Dohovor sa uplatňuje na imunity štátu a jeho majetku voči právomoci súdov iného štátu, explicitne stanovuje rozsah imunít štátu a jeho cieľom je po prvýkrát v kodifikovanej forme upraviť požívanie imunít štátu vo vzťahu k sebe a k svojmu majetku voči právomoci súdov iného štátu, upraviť spôsoby a podmienky uplatnenia imunít štátu a ich účinok v súdnom konaní, špecifikovať konania, v ktorých sa štát imunity dovolávať nemôže, vymedziť prípady imunity štátu voči použitiu zabezpečovacích opatrení v súdnom konaní a pod. Jeho účelom je zároveň posilniť vládu práva a zvýšiť právnu istotu, najmä vo vzťahoch medzi štátmi a fyzickými alebo právnickými osobami, prispieť ku kodifikácii a rozvoju medzinárodného práva a k harmonizácii praxe v tejto oblasti.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články 11, 12, 17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5.</w:t>
        <w:tab/>
        <w:t>Úprava predmetu medzinárodnej zmluvy v práve EÚ: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Právo EÚ neupravuje predmet dohovoru.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V súlade s čl. 7 ods. 4 Ústavy Slovenskej republiky je dohovor medzinárodnou zmluvou, ktorá priamo zakladá práva alebo povinnosti fyzických osôb alebo právnických osôb. 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V súlade s čl. 7 ods. 5 Ústavy Slovenskej republiky je dohovor medzinárodnou zmluvou, ktorá priamo zakladá práva alebo povinnosti fyzických osôb alebo právnických osôb.  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B43D4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8.</w:t>
        <w:tab/>
        <w:t xml:space="preserve">Dopady prijatia medzinárodnej zmluvy, ktorá má prednosť pred zákonmi, na slovenský právny poriadok: </w:t>
      </w:r>
    </w:p>
    <w:p w:rsidR="00B43D4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Dohovor sa dotýka zákona č. 97/1963 Zb. o medzinárodnom práve súkromnom a procesnom v znení neskorších predpisov, rovnako ako aj zákona o rozhodcovskom konaní č. 244/2002 Z. z. v znení neskorších predpisov. Vykonávanie predmetného dohovoru je však v SR dostatočne zabezpečené prednosťou tohto dohovoru pred zákonmi, a to podľa Ústavy SR, ako aj § 2 zákona č. 97/1963 Zb. v znení neskorších predpisov a § 53 zákona č. 244/2002 Z. z. v znení neskorších predpisov.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136FC"/>
    <w:rsid w:val="008136FC"/>
    <w:rsid w:val="00B43D4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368</Words>
  <Characters>2102</Characters>
  <Application>Microsoft Office Word</Application>
  <DocSecurity>0</DocSecurity>
  <Lines>0</Lines>
  <Paragraphs>0</Paragraphs>
  <ScaleCrop>false</ScaleCrop>
  <Company>MZV SR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2015-06-15T16:29:00Z</dcterms:created>
  <dcterms:modified xsi:type="dcterms:W3CDTF">2015-06-15T16:29:00Z</dcterms:modified>
</cp:coreProperties>
</file>