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aps/>
          <w:spacing w:val="30"/>
          <w:sz w:val="22"/>
          <w:szCs w:val="22"/>
        </w:rPr>
        <w:t>Dôvodová správa</w:t>
      </w:r>
    </w:p>
    <w:p w:rsidR="003853DD" w:rsidRPr="005F3610" w:rsidP="003853DD">
      <w:pPr>
        <w:pStyle w:val="Heading1"/>
        <w:bidi w:val="0"/>
        <w:spacing w:before="120" w:line="276" w:lineRule="auto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 w:val="0"/>
          <w:bCs w:val="0"/>
          <w:sz w:val="22"/>
          <w:szCs w:val="22"/>
        </w:rPr>
        <w:t> </w:t>
      </w:r>
    </w:p>
    <w:p w:rsidR="003853DD" w:rsidRPr="005F3610" w:rsidP="003853DD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5F3610">
        <w:rPr>
          <w:rFonts w:ascii="Georgia" w:hAnsi="Georgia"/>
          <w:sz w:val="22"/>
          <w:szCs w:val="22"/>
        </w:rPr>
        <w:t xml:space="preserve">A. </w:t>
      </w:r>
      <w:r w:rsidRPr="005F3610">
        <w:rPr>
          <w:rFonts w:ascii="Book Antiqua" w:hAnsi="Book Antiqua"/>
          <w:sz w:val="22"/>
          <w:szCs w:val="22"/>
        </w:rPr>
        <w:t xml:space="preserve">Všeobecná </w:t>
      </w:r>
      <w:r w:rsidRPr="005F3610">
        <w:rPr>
          <w:rFonts w:ascii="Book Antiqua" w:hAnsi="Book Antiqua"/>
          <w:sz w:val="22"/>
          <w:szCs w:val="22"/>
          <w:lang w:val="sk-SK"/>
        </w:rPr>
        <w:t>časť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 w:cs="Verdana"/>
          <w:sz w:val="22"/>
          <w:szCs w:val="22"/>
        </w:rPr>
        <w:t>Návrh zákona, ktorým sa mení a dopĺňa zákon č. 300/2005 Z. z. Trestný zákon</w:t>
      </w:r>
      <w:r w:rsidRPr="005F3610">
        <w:rPr>
          <w:rFonts w:ascii="Book Antiqua" w:hAnsi="Book Antiqua"/>
          <w:sz w:val="22"/>
          <w:szCs w:val="22"/>
        </w:rPr>
        <w:t xml:space="preserve"> v znení neskorších predpisov (ďalej len „návrh zákona“) predkladajú poslanci Národnej rady Slovenskej republiky (ďalej len „NR SR“) Miroslav Kadúc a Eva Horváthová.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3610">
        <w:rPr>
          <w:rFonts w:ascii="Book Antiqua" w:hAnsi="Book Antiqua"/>
          <w:b/>
          <w:sz w:val="22"/>
          <w:szCs w:val="22"/>
        </w:rPr>
        <w:t>Základnou myšlienkou predkladaného návrhu zákona je zaviesť do zákona č. 300/2005 Z.</w:t>
      </w:r>
      <w:r w:rsidRPr="005F3610" w:rsidR="00701C7F">
        <w:rPr>
          <w:rFonts w:ascii="Book Antiqua" w:hAnsi="Book Antiqua"/>
          <w:b/>
          <w:sz w:val="22"/>
          <w:szCs w:val="22"/>
        </w:rPr>
        <w:t xml:space="preserve"> </w:t>
      </w:r>
      <w:r w:rsidRPr="005F3610">
        <w:rPr>
          <w:rFonts w:ascii="Book Antiqua" w:hAnsi="Book Antiqua"/>
          <w:b/>
          <w:sz w:val="22"/>
          <w:szCs w:val="22"/>
        </w:rPr>
        <w:t>z. Trestný zákon v znení ne</w:t>
      </w:r>
      <w:r w:rsidRPr="005F3610" w:rsidR="00701C7F">
        <w:rPr>
          <w:rFonts w:ascii="Book Antiqua" w:hAnsi="Book Antiqua"/>
          <w:b/>
          <w:sz w:val="22"/>
          <w:szCs w:val="22"/>
        </w:rPr>
        <w:t>skorších predpisov (ďalej len „T</w:t>
      </w:r>
      <w:r w:rsidRPr="005F3610">
        <w:rPr>
          <w:rFonts w:ascii="Book Antiqua" w:hAnsi="Book Antiqua"/>
          <w:b/>
          <w:sz w:val="22"/>
          <w:szCs w:val="22"/>
        </w:rPr>
        <w:t>restný zákon“</w:t>
      </w:r>
      <w:r w:rsidRPr="005F3610" w:rsidR="00701C7F">
        <w:rPr>
          <w:rFonts w:ascii="Book Antiqua" w:hAnsi="Book Antiqua"/>
          <w:b/>
          <w:sz w:val="22"/>
          <w:szCs w:val="22"/>
        </w:rPr>
        <w:t>) pojem „iná majetková hodnota“</w:t>
      </w:r>
      <w:r w:rsidRPr="005F3610">
        <w:rPr>
          <w:rFonts w:ascii="Book Antiqua" w:hAnsi="Book Antiqua"/>
          <w:b/>
          <w:sz w:val="22"/>
          <w:szCs w:val="22"/>
        </w:rPr>
        <w:t xml:space="preserve"> a rozšíriť oň skutkovú podstatu trestného činu sprenevery.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>Návrh zákona vychádza z aplikačnej praxe, ktorá poukázala na nedostatočne vymedzený spôsob páchania trestné</w:t>
      </w:r>
      <w:r w:rsidRPr="005F3610" w:rsidR="00701C7F">
        <w:rPr>
          <w:rFonts w:ascii="Book Antiqua" w:hAnsi="Book Antiqua"/>
          <w:sz w:val="22"/>
          <w:szCs w:val="22"/>
        </w:rPr>
        <w:t>ho činu sprenevery podľa § 213 T</w:t>
      </w:r>
      <w:r w:rsidRPr="005F3610">
        <w:rPr>
          <w:rFonts w:ascii="Book Antiqua" w:hAnsi="Book Antiqua"/>
          <w:sz w:val="22"/>
          <w:szCs w:val="22"/>
        </w:rPr>
        <w:t>restného zákona. Konkrétne ide o prípady, v ktorých bola páchateľovi zverená vec, ktorá však svojím charakterom nespadá pod definíciu veci</w:t>
      </w:r>
      <w:r w:rsidRPr="005F3610" w:rsidR="00701C7F">
        <w:rPr>
          <w:rFonts w:ascii="Book Antiqua" w:hAnsi="Book Antiqua"/>
          <w:sz w:val="22"/>
          <w:szCs w:val="22"/>
        </w:rPr>
        <w:t xml:space="preserve"> v zmysle T</w:t>
      </w:r>
      <w:r w:rsidRPr="005F3610">
        <w:rPr>
          <w:rFonts w:ascii="Book Antiqua" w:hAnsi="Book Antiqua"/>
          <w:sz w:val="22"/>
          <w:szCs w:val="22"/>
        </w:rPr>
        <w:t>restného zákona. Na základe uvedeného nedostatku tak nebolo možné posúdiť spáchaný skutok ako trestný čin sprenevery, resp. orgány činné v trestnom konaní spáchaný skutok neposudzovali vôbec ako trestný čin, a to aj napriek jeho škodlivosti a rozsahu spáchanej škody, ktoré podľa zásad trestného práva spadajú pod trestnoprávnu ochranu.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>Podľa súčasne pl</w:t>
      </w:r>
      <w:r w:rsidRPr="005F3610" w:rsidR="00701C7F">
        <w:rPr>
          <w:rFonts w:ascii="Book Antiqua" w:hAnsi="Book Antiqua"/>
          <w:sz w:val="22"/>
          <w:szCs w:val="22"/>
        </w:rPr>
        <w:t>atného právneho stavu sa podľa T</w:t>
      </w:r>
      <w:r w:rsidRPr="005F3610">
        <w:rPr>
          <w:rFonts w:ascii="Book Antiqua" w:hAnsi="Book Antiqua"/>
          <w:sz w:val="22"/>
          <w:szCs w:val="22"/>
        </w:rPr>
        <w:t xml:space="preserve">restného zákona vecou rozumie: </w:t>
      </w:r>
      <w:r w:rsidRPr="005F3610">
        <w:rPr>
          <w:rFonts w:ascii="Book Antiqua" w:hAnsi="Book Antiqua"/>
          <w:color w:val="000000"/>
          <w:sz w:val="22"/>
          <w:szCs w:val="22"/>
        </w:rPr>
        <w:t>hnuteľná vec alebo nehnuteľná vec, byt alebo nebytový priestor, zviera (ak z jednotli</w:t>
      </w:r>
      <w:r w:rsidRPr="005F3610" w:rsidR="00701C7F">
        <w:rPr>
          <w:rFonts w:ascii="Book Antiqua" w:hAnsi="Book Antiqua"/>
          <w:color w:val="000000"/>
          <w:sz w:val="22"/>
          <w:szCs w:val="22"/>
        </w:rPr>
        <w:t>vých ustanovení T</w:t>
      </w:r>
      <w:r w:rsidRPr="005F3610">
        <w:rPr>
          <w:rFonts w:ascii="Book Antiqua" w:hAnsi="Book Antiqua"/>
          <w:color w:val="000000"/>
          <w:sz w:val="22"/>
          <w:szCs w:val="22"/>
        </w:rPr>
        <w:t>restného zákona nevyplýva niečo iné),</w:t>
      </w:r>
      <w:r w:rsidRPr="005F3610">
        <w:rPr>
          <w:rFonts w:ascii="Book Antiqua" w:hAnsi="Book Antiqua"/>
          <w:sz w:val="22"/>
          <w:szCs w:val="22"/>
        </w:rPr>
        <w:t xml:space="preserve"> ovládateľná prírodná sila alebo energia, alebo cenný papier bez ohľadu na jeho podobu. Za vec sa tiež považuje nehmotná informácia, dáta výpočtovej techniky, alebo obrazový záznam na technickom nosiči.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>Trestný zákon však opomína pojem „iná majetková hodnota“ a jeho význam, ktorý je v slovenskom právnom poriadku ustálený v oblasti tak občianskeho</w:t>
      </w:r>
      <w:r w:rsidRPr="005F3610" w:rsidR="00701C7F">
        <w:rPr>
          <w:rFonts w:ascii="Book Antiqua" w:hAnsi="Book Antiqua"/>
          <w:sz w:val="22"/>
          <w:szCs w:val="22"/>
        </w:rPr>
        <w:t xml:space="preserve"> práva</w:t>
      </w:r>
      <w:r w:rsidRPr="005F3610">
        <w:rPr>
          <w:rFonts w:ascii="Book Antiqua" w:hAnsi="Book Antiqua"/>
          <w:sz w:val="22"/>
          <w:szCs w:val="22"/>
        </w:rPr>
        <w:t xml:space="preserve">, ako aj obchodného práva. Užitočnosť inej majetkovej hodnoty nespočíva v samotnej veci, na ktorej je zachytená, ale v nehmotnej hodnote, ktorá je v nej inkorporovaná. Takouto hodnotou sú najmä majetkové práva a záväzky (napríklad pohľadávky), ďalej napríklad peňažné prostriedky uložené na účte v banke, ale tiež výsledky tvorivej ľudskej činnosti (napríklad autorské dielo, alebo tzv. „know how“). 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>Predkladatelia sú na základe vyššie uvedeného presvedčení, že iné majetkové hodnoty sú z hľadiska hodnotového významu rovnoprávne s vecami, a preto je potrebné chrániť ich, rovnako ako veci, aj na trestnoprávnej úrovni.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 xml:space="preserve">Predkladaný návrh zákona nemá vplyv na rozpočet verejnej správy. Návrh zákona nemá vplyv na podnikateľské prostredie, nemá sociálne vplyvy, nemá vplyv na životné prostredie, a nemá ani vplyv na informatizáciu spoločnosti. 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F3610">
        <w:rPr>
          <w:rFonts w:ascii="Book Antiqua" w:hAnsi="Book Antiqua"/>
          <w:b/>
          <w:bCs/>
          <w:sz w:val="22"/>
          <w:szCs w:val="22"/>
        </w:rPr>
        <w:t>K Čl. I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863ECB" w:rsidRPr="005F3610" w:rsidP="00863EC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</w:rPr>
        <w:t>Legislatívno-technická úprava bezprostredne súvisiaca s bodom 4 osobitnej časti dôvodovej správy.</w:t>
      </w:r>
    </w:p>
    <w:p w:rsidR="00863ECB" w:rsidRPr="005F3610" w:rsidP="00863EC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863ECB" w:rsidRPr="005F3610" w:rsidP="00863EC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</w:rPr>
        <w:t>Legislatívno-technická úprava bezprostredne súvisiaca s bodom 4 osobitnej časti dôvodovej správy.</w:t>
      </w:r>
    </w:p>
    <w:p w:rsidR="00863ECB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3610">
        <w:rPr>
          <w:rFonts w:ascii="Book Antiqua" w:hAnsi="Book Antiqua"/>
          <w:bCs/>
          <w:sz w:val="22"/>
          <w:szCs w:val="22"/>
        </w:rPr>
        <w:t>Legislatívno-technická úprava n</w:t>
      </w:r>
      <w:r w:rsidRPr="005F3610" w:rsidR="001126E3">
        <w:rPr>
          <w:rFonts w:ascii="Book Antiqua" w:hAnsi="Book Antiqua"/>
          <w:bCs/>
          <w:sz w:val="22"/>
          <w:szCs w:val="22"/>
        </w:rPr>
        <w:t>adpisu</w:t>
      </w:r>
      <w:r w:rsidRPr="005F3610">
        <w:rPr>
          <w:rFonts w:ascii="Book Antiqua" w:hAnsi="Book Antiqua"/>
          <w:bCs/>
          <w:sz w:val="22"/>
          <w:szCs w:val="22"/>
        </w:rPr>
        <w:t xml:space="preserve"> nad paragrafom sa navrhuje z dôvodu doplnenia nového pojmu „iná majetková hodnota“ do tohto paragrafu.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5F3610" w:rsidR="00863ECB">
        <w:rPr>
          <w:rFonts w:ascii="Book Antiqua" w:hAnsi="Book Antiqua"/>
          <w:bCs/>
          <w:sz w:val="22"/>
          <w:szCs w:val="22"/>
          <w:u w:val="single"/>
        </w:rPr>
        <w:t>4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3610">
        <w:rPr>
          <w:rFonts w:ascii="Book Antiqua" w:hAnsi="Book Antiqua"/>
          <w:bCs/>
          <w:sz w:val="22"/>
          <w:szCs w:val="22"/>
        </w:rPr>
        <w:tab/>
      </w:r>
      <w:r w:rsidRPr="005F3610" w:rsidR="00701C7F">
        <w:rPr>
          <w:rFonts w:ascii="Book Antiqua" w:hAnsi="Book Antiqua"/>
          <w:bCs/>
          <w:sz w:val="22"/>
          <w:szCs w:val="22"/>
        </w:rPr>
        <w:t>Vkladá</w:t>
      </w:r>
      <w:r w:rsidRPr="005F3610">
        <w:rPr>
          <w:rFonts w:ascii="Book Antiqua" w:hAnsi="Book Antiqua"/>
          <w:bCs/>
          <w:sz w:val="22"/>
          <w:szCs w:val="22"/>
        </w:rPr>
        <w:t xml:space="preserve"> sa nový odsek 3, v ktorom sa zavádza pojem „iná majetková hodnota“ a jeho definícia. Obsah pojmu iná majetková hodnota je širš</w:t>
      </w:r>
      <w:r w:rsidRPr="005F3610" w:rsidR="006E6CAF">
        <w:rPr>
          <w:rFonts w:ascii="Book Antiqua" w:hAnsi="Book Antiqua"/>
          <w:bCs/>
          <w:sz w:val="22"/>
          <w:szCs w:val="22"/>
        </w:rPr>
        <w:t xml:space="preserve">í ako obsah pojmu vec na účely Trestného zákona </w:t>
      </w:r>
      <w:r w:rsidRPr="005F3610">
        <w:rPr>
          <w:rFonts w:ascii="Book Antiqua" w:hAnsi="Book Antiqua"/>
          <w:bCs/>
          <w:sz w:val="22"/>
          <w:szCs w:val="22"/>
        </w:rPr>
        <w:t>a</w:t>
      </w:r>
      <w:r w:rsidRPr="005F3610" w:rsidR="006E6CAF">
        <w:rPr>
          <w:rFonts w:ascii="Book Antiqua" w:hAnsi="Book Antiqua"/>
          <w:bCs/>
          <w:sz w:val="22"/>
          <w:szCs w:val="22"/>
        </w:rPr>
        <w:t> vzhľadom na jeho</w:t>
      </w:r>
      <w:r w:rsidRPr="005F3610">
        <w:rPr>
          <w:rFonts w:ascii="Book Antiqua" w:hAnsi="Book Antiqua"/>
          <w:bCs/>
          <w:sz w:val="22"/>
          <w:szCs w:val="22"/>
        </w:rPr>
        <w:t xml:space="preserve"> charakter je preto vhodnejšie začleniť ho pod osobitný pojem, od veci oddelený. Inou majetkovou hodnotou sú napríklad </w:t>
      </w:r>
      <w:r w:rsidRPr="005F3610">
        <w:rPr>
          <w:rFonts w:ascii="Book Antiqua" w:hAnsi="Book Antiqua"/>
          <w:sz w:val="22"/>
          <w:szCs w:val="22"/>
        </w:rPr>
        <w:t>peňažné prostriedky uložené na účte v banke,</w:t>
      </w:r>
      <w:r w:rsidRPr="005F3610">
        <w:rPr>
          <w:rFonts w:ascii="Book Antiqua" w:hAnsi="Book Antiqua"/>
          <w:bCs/>
          <w:sz w:val="22"/>
          <w:szCs w:val="22"/>
        </w:rPr>
        <w:t xml:space="preserve"> majetkové práva a záväzky (pohľadávky) alebo výsledky tvorivej ľudskej činnosti (autorské diela, alebo tzv. „know how“).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5F3610" w:rsidR="00863ECB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3610">
        <w:rPr>
          <w:rFonts w:ascii="Book Antiqua" w:hAnsi="Book Antiqua"/>
          <w:bCs/>
          <w:sz w:val="22"/>
          <w:szCs w:val="22"/>
        </w:rPr>
        <w:tab/>
        <w:t>Navrhujú sa doplniť definície pojmov „zverená vec“ a „prisvojenie veci“, a to pojmom „iná majetková hodnota“. Účelom je rozšíriť tieto pojmy z dôvodu rozšírenia skutkovej podstaty trestného činu sprenevery, keďže uvedené pojmy sú jeho definičným znakom. Podľa navrhnutej úpravy tak môže byť zverená nielen vec, ale aj iná majetková hodnota, a obdobne môže byť prisvojená nielen vec, ale tiež iná majetková hodnota.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5F3610" w:rsidR="00863ECB">
        <w:rPr>
          <w:rFonts w:ascii="Book Antiqua" w:hAnsi="Book Antiqua"/>
          <w:bCs/>
          <w:sz w:val="22"/>
          <w:szCs w:val="22"/>
          <w:u w:val="single"/>
        </w:rPr>
        <w:t>6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3610">
        <w:rPr>
          <w:rFonts w:ascii="Book Antiqua" w:hAnsi="Book Antiqua"/>
          <w:bCs/>
          <w:sz w:val="22"/>
          <w:szCs w:val="22"/>
        </w:rPr>
        <w:tab/>
        <w:t>Legislatívno-technická úprava z dôvodu doplnenia nového odseku 3 do § 130, a s tým súvisiaceho prečíslovania nasledujúcich odsekov</w:t>
      </w:r>
      <w:r w:rsidRPr="005F3610" w:rsidR="00863ECB">
        <w:rPr>
          <w:rFonts w:ascii="Book Antiqua" w:hAnsi="Book Antiqua"/>
          <w:bCs/>
          <w:sz w:val="22"/>
          <w:szCs w:val="22"/>
        </w:rPr>
        <w:t xml:space="preserve"> (úprava vnútorného odkazu)</w:t>
      </w:r>
      <w:r w:rsidRPr="005F3610">
        <w:rPr>
          <w:rFonts w:ascii="Book Antiqua" w:hAnsi="Book Antiqua"/>
          <w:bCs/>
          <w:sz w:val="22"/>
          <w:szCs w:val="22"/>
        </w:rPr>
        <w:t>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F3610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5F3610" w:rsidR="00863ECB">
        <w:rPr>
          <w:rFonts w:ascii="Book Antiqua" w:hAnsi="Book Antiqua"/>
          <w:bCs/>
          <w:sz w:val="22"/>
          <w:szCs w:val="22"/>
          <w:u w:val="single"/>
        </w:rPr>
        <w:t>7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F3610">
        <w:rPr>
          <w:rFonts w:ascii="Book Antiqua" w:hAnsi="Book Antiqua"/>
          <w:bCs/>
          <w:sz w:val="22"/>
          <w:szCs w:val="22"/>
        </w:rPr>
        <w:tab/>
        <w:t xml:space="preserve">Navrhuje sa rozšíriť skutková podstata trestného činu sprenevery, a to doplnením pojmu „iná majetková hodnota“. V praxi to znamená, že trestným bude tiež skutok páchateľa, ktorý si prisvojil jemu zverenú cudziu </w:t>
      </w:r>
      <w:r w:rsidRPr="005F3610" w:rsidR="006E6CAF">
        <w:rPr>
          <w:rFonts w:ascii="Book Antiqua" w:hAnsi="Book Antiqua"/>
          <w:bCs/>
          <w:sz w:val="22"/>
          <w:szCs w:val="22"/>
        </w:rPr>
        <w:t>inú majetkovú hodnotu (teda nie</w:t>
      </w:r>
      <w:r w:rsidRPr="005F3610" w:rsidR="00ED02FF">
        <w:rPr>
          <w:rFonts w:ascii="Book Antiqua" w:hAnsi="Book Antiqua"/>
          <w:bCs/>
          <w:sz w:val="22"/>
          <w:szCs w:val="22"/>
        </w:rPr>
        <w:t>len vec v zmysle T</w:t>
      </w:r>
      <w:r w:rsidRPr="005F3610">
        <w:rPr>
          <w:rFonts w:ascii="Book Antiqua" w:hAnsi="Book Antiqua"/>
          <w:bCs/>
          <w:sz w:val="22"/>
          <w:szCs w:val="22"/>
        </w:rPr>
        <w:t xml:space="preserve">restného zákona). Začlenenie inej majetkovej hodnoty do tohto ustanovenia vychádza z praxe, ktorá ukázala, že výpočet spôsobu páchania trestného činu sprenevery nie je dostačujúci. Navyše, inštitút inej majetkovej hodnoty je už v súčasne platnom právnom poriadku SR začlenený v kódexoch občianskeho </w:t>
      </w:r>
      <w:r w:rsidRPr="005F3610" w:rsidR="006E6CAF">
        <w:rPr>
          <w:rFonts w:ascii="Book Antiqua" w:hAnsi="Book Antiqua"/>
          <w:bCs/>
          <w:sz w:val="22"/>
          <w:szCs w:val="22"/>
        </w:rPr>
        <w:t xml:space="preserve">práva </w:t>
      </w:r>
      <w:r w:rsidRPr="005F3610">
        <w:rPr>
          <w:rFonts w:ascii="Book Antiqua" w:hAnsi="Book Antiqua"/>
          <w:bCs/>
          <w:sz w:val="22"/>
          <w:szCs w:val="22"/>
        </w:rPr>
        <w:t>a obchodného práva. Predkladatelia sú preto presvedčení, že vzhľadom na existenciu inej majetkovej hodnoty nielen v oblasti právneho, ale aj praktického života, je potrebné ju chrániť tiež na trestnoprávnej úrovni.</w:t>
      </w:r>
    </w:p>
    <w:p w:rsidR="003853DD" w:rsidRPr="005F3610" w:rsidP="003853D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853DD" w:rsidRPr="005F3610" w:rsidP="003853D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5F3610">
        <w:rPr>
          <w:rFonts w:ascii="Book Antiqua" w:hAnsi="Book Antiqua"/>
          <w:b/>
          <w:sz w:val="22"/>
          <w:szCs w:val="22"/>
        </w:rPr>
        <w:t>K Čl. II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3610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 to od  1. </w:t>
      </w:r>
      <w:r w:rsidRPr="005F3610" w:rsidR="00C97C32">
        <w:rPr>
          <w:rFonts w:ascii="Book Antiqua" w:hAnsi="Book Antiqua"/>
          <w:sz w:val="22"/>
          <w:szCs w:val="22"/>
        </w:rPr>
        <w:t>januára</w:t>
      </w:r>
      <w:r w:rsidRPr="005F3610">
        <w:rPr>
          <w:rFonts w:ascii="Book Antiqua" w:hAnsi="Book Antiqua"/>
          <w:sz w:val="22"/>
          <w:szCs w:val="22"/>
        </w:rPr>
        <w:t xml:space="preserve"> 201</w:t>
      </w:r>
      <w:r w:rsidRPr="005F3610" w:rsidR="00C97C32">
        <w:rPr>
          <w:rFonts w:ascii="Book Antiqua" w:hAnsi="Book Antiqua"/>
          <w:sz w:val="22"/>
          <w:szCs w:val="22"/>
        </w:rPr>
        <w:t>6</w:t>
      </w:r>
      <w:r w:rsidRPr="005F3610">
        <w:rPr>
          <w:rFonts w:ascii="Book Antiqua" w:hAnsi="Book Antiqua"/>
          <w:sz w:val="22"/>
          <w:szCs w:val="22"/>
        </w:rPr>
        <w:t>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7E72B8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DF3E82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56657C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aps/>
          <w:spacing w:val="30"/>
          <w:sz w:val="22"/>
          <w:szCs w:val="22"/>
        </w:rPr>
        <w:t>DOLOŽKA ZLUČITEĽNOSTI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sz w:val="22"/>
          <w:szCs w:val="22"/>
        </w:rPr>
        <w:t>návrhu zákona</w:t>
      </w:r>
      <w:r w:rsidRPr="005F3610">
        <w:rPr>
          <w:rFonts w:ascii="Georgia" w:hAnsi="Georgia"/>
          <w:sz w:val="22"/>
          <w:szCs w:val="22"/>
        </w:rPr>
        <w:t xml:space="preserve"> </w:t>
      </w:r>
      <w:r w:rsidRPr="005F3610">
        <w:rPr>
          <w:rFonts w:ascii="Georgia" w:hAnsi="Georgia"/>
          <w:b/>
          <w:bCs/>
          <w:sz w:val="22"/>
          <w:szCs w:val="22"/>
        </w:rPr>
        <w:t>s právom Európskej únie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sz w:val="22"/>
          <w:szCs w:val="22"/>
        </w:rPr>
        <w:t> 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sz w:val="22"/>
          <w:szCs w:val="22"/>
        </w:rPr>
        <w:t>1. Navrhovateľ zákona:</w:t>
      </w:r>
      <w:r w:rsidRPr="005F3610">
        <w:rPr>
          <w:rFonts w:ascii="Georgia" w:hAnsi="Georgia"/>
          <w:sz w:val="22"/>
          <w:szCs w:val="22"/>
        </w:rPr>
        <w:t xml:space="preserve"> poslanci Národnej rady Slovenskej republiky Miroslav Kadúc a Eva Horváthová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sz w:val="22"/>
          <w:szCs w:val="22"/>
        </w:rPr>
        <w:t>2. Názov návrhu zákona:</w:t>
      </w:r>
      <w:r w:rsidRPr="005F3610">
        <w:rPr>
          <w:rFonts w:ascii="Georgia" w:hAnsi="Georgia"/>
          <w:sz w:val="22"/>
          <w:szCs w:val="22"/>
        </w:rPr>
        <w:t xml:space="preserve"> návrh zákona, </w:t>
      </w:r>
      <w:r w:rsidRPr="005F3610">
        <w:rPr>
          <w:rFonts w:ascii="Georgia" w:hAnsi="Georgia" w:cs="Verdana"/>
          <w:sz w:val="22"/>
          <w:szCs w:val="22"/>
        </w:rPr>
        <w:t>ktorým sa mení a dopĺňa zákon č. 300/2005 Z. z. Trestný zákon</w:t>
      </w:r>
      <w:r w:rsidRPr="005F3610">
        <w:rPr>
          <w:rFonts w:ascii="Georgia" w:hAnsi="Georgia"/>
          <w:sz w:val="22"/>
          <w:szCs w:val="22"/>
        </w:rPr>
        <w:t xml:space="preserve"> v znení neskorších predpisov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b/>
          <w:bCs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5F3610">
        <w:rPr>
          <w:rFonts w:ascii="Georgia" w:hAnsi="Georgia"/>
          <w:b/>
          <w:bCs/>
          <w:sz w:val="22"/>
          <w:szCs w:val="22"/>
        </w:rPr>
        <w:t>3. Predmet návrhu zákona:</w:t>
      </w:r>
    </w:p>
    <w:p w:rsidR="003853DD" w:rsidRPr="005F3610" w:rsidP="003853D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Georgia" w:hAnsi="Georgia"/>
          <w:bCs/>
          <w:sz w:val="22"/>
          <w:szCs w:val="22"/>
        </w:rPr>
      </w:pPr>
      <w:r w:rsidRPr="005F3610">
        <w:rPr>
          <w:rFonts w:ascii="Georgia" w:hAnsi="Georgia"/>
          <w:bCs/>
          <w:sz w:val="22"/>
          <w:szCs w:val="22"/>
        </w:rPr>
        <w:t>nie je upravený v primárnom práve Európskej únie</w:t>
      </w:r>
      <w:r w:rsidRPr="005F3610">
        <w:rPr>
          <w:rFonts w:ascii="Georgia" w:hAnsi="Georgia"/>
          <w:color w:val="000000"/>
          <w:sz w:val="22"/>
          <w:szCs w:val="22"/>
        </w:rPr>
        <w:t>,</w:t>
      </w:r>
    </w:p>
    <w:p w:rsidR="003853DD" w:rsidRPr="005F3610" w:rsidP="003853D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Georgia" w:hAnsi="Georgia"/>
          <w:bCs/>
          <w:sz w:val="22"/>
          <w:szCs w:val="22"/>
        </w:rPr>
      </w:pPr>
      <w:r w:rsidRPr="005F3610">
        <w:rPr>
          <w:rFonts w:ascii="Georgia" w:hAnsi="Georgia"/>
          <w:bCs/>
          <w:sz w:val="22"/>
          <w:szCs w:val="22"/>
        </w:rPr>
        <w:t xml:space="preserve">nie je upravený v sekundárnom práve Európskej únie, </w:t>
      </w:r>
    </w:p>
    <w:p w:rsidR="003853DD" w:rsidRPr="005F3610" w:rsidP="003853D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Georgia" w:hAnsi="Georgia"/>
          <w:bCs/>
          <w:sz w:val="22"/>
          <w:szCs w:val="22"/>
        </w:rPr>
      </w:pPr>
      <w:r w:rsidRPr="005F3610">
        <w:rPr>
          <w:rFonts w:ascii="Georgia" w:hAnsi="Georgia"/>
          <w:bCs/>
          <w:sz w:val="22"/>
          <w:szCs w:val="22"/>
        </w:rPr>
        <w:t>nie je upravený v judikatúre Súdneho dvora Európskej únie.</w:t>
      </w:r>
      <w:r w:rsidRPr="005F3610">
        <w:rPr>
          <w:rFonts w:ascii="Georgia" w:hAnsi="Georgia"/>
          <w:sz w:val="22"/>
          <w:szCs w:val="22"/>
        </w:rPr>
        <w:t> </w:t>
      </w:r>
    </w:p>
    <w:p w:rsidR="003853DD" w:rsidRPr="005F3610" w:rsidP="003853DD">
      <w:pPr>
        <w:bidi w:val="0"/>
        <w:spacing w:before="120" w:line="276" w:lineRule="auto"/>
        <w:jc w:val="both"/>
        <w:rPr>
          <w:rFonts w:ascii="Georgia" w:hAnsi="Georgia"/>
          <w:b/>
          <w:sz w:val="22"/>
          <w:szCs w:val="22"/>
        </w:rPr>
      </w:pPr>
    </w:p>
    <w:p w:rsidR="003853DD" w:rsidRPr="005F3610" w:rsidP="003853DD">
      <w:pPr>
        <w:bidi w:val="0"/>
        <w:spacing w:before="120" w:line="276" w:lineRule="auto"/>
        <w:jc w:val="both"/>
        <w:rPr>
          <w:rFonts w:ascii="Georgia" w:hAnsi="Georgia"/>
          <w:b/>
          <w:sz w:val="22"/>
          <w:szCs w:val="22"/>
        </w:rPr>
      </w:pPr>
      <w:r w:rsidRPr="005F3610">
        <w:rPr>
          <w:rFonts w:ascii="Georgia" w:hAnsi="Georgi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bidi w:val="0"/>
        <w:spacing w:before="120" w:line="276" w:lineRule="auto"/>
        <w:jc w:val="both"/>
        <w:rPr>
          <w:rFonts w:ascii="Georgia" w:hAnsi="Georgia"/>
          <w:sz w:val="22"/>
          <w:szCs w:val="22"/>
        </w:rPr>
      </w:pPr>
    </w:p>
    <w:p w:rsidR="003853DD" w:rsidRPr="005F3610" w:rsidP="003853DD">
      <w:pPr>
        <w:bidi w:val="0"/>
        <w:spacing w:before="120" w:line="276" w:lineRule="auto"/>
        <w:ind w:left="341"/>
        <w:jc w:val="both"/>
        <w:rPr>
          <w:rFonts w:ascii="Georgia" w:hAnsi="Georgia"/>
          <w:color w:val="00000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DF3E82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DF3E82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vybraných vplyvov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color w:val="000000"/>
          <w:sz w:val="22"/>
          <w:szCs w:val="22"/>
        </w:rPr>
        <w:t> 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 xml:space="preserve">A.1. Názov materiálu: </w:t>
      </w:r>
      <w:r w:rsidRPr="005F3610">
        <w:rPr>
          <w:rFonts w:ascii="Georgia" w:hAnsi="Georgia"/>
          <w:sz w:val="22"/>
          <w:szCs w:val="22"/>
        </w:rPr>
        <w:t xml:space="preserve">návrh zákona, </w:t>
      </w:r>
      <w:r w:rsidRPr="005F3610">
        <w:rPr>
          <w:rFonts w:ascii="Georgia" w:hAnsi="Georgia" w:cs="Verdana"/>
          <w:sz w:val="22"/>
          <w:szCs w:val="22"/>
        </w:rPr>
        <w:t>ktorým sa mení a dopĺňa zákon č. 300/2005 Z. z. Trestný zákon</w:t>
      </w:r>
      <w:r w:rsidRPr="005F3610">
        <w:rPr>
          <w:rFonts w:ascii="Georgia" w:hAnsi="Georgia"/>
          <w:sz w:val="22"/>
          <w:szCs w:val="22"/>
        </w:rPr>
        <w:t xml:space="preserve"> v znení neskorších predpisov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        Termín začatia a ukončenia PPK:</w:t>
      </w:r>
      <w:r w:rsidRPr="005F3610">
        <w:rPr>
          <w:rFonts w:ascii="Georgia" w:hAnsi="Georgia"/>
          <w:color w:val="000000"/>
          <w:sz w:val="22"/>
          <w:szCs w:val="22"/>
        </w:rPr>
        <w:t xml:space="preserve"> </w:t>
      </w:r>
      <w:r w:rsidRPr="005F3610">
        <w:rPr>
          <w:rFonts w:ascii="Georgia" w:hAnsi="Georgia"/>
          <w:i/>
          <w:iCs/>
          <w:color w:val="000000"/>
          <w:sz w:val="22"/>
          <w:szCs w:val="22"/>
        </w:rPr>
        <w:t>bezpredmetné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22"/>
        <w:gridCol w:w="1191"/>
        <w:gridCol w:w="1180"/>
        <w:gridCol w:w="1195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5F3610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5F3610">
              <w:rPr>
                <w:rFonts w:ascii="Georgia" w:hAnsi="Georgia"/>
                <w:color w:val="000000"/>
                <w:sz w:val="22"/>
                <w:szCs w:val="22"/>
              </w:rPr>
              <w:t> </w:t>
            </w:r>
          </w:p>
        </w:tc>
      </w:tr>
    </w:tbl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color w:val="000000"/>
          <w:sz w:val="22"/>
          <w:szCs w:val="22"/>
        </w:rPr>
        <w:t> 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A.3. Poznámky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i/>
          <w:iCs/>
          <w:color w:val="000000"/>
          <w:sz w:val="22"/>
          <w:szCs w:val="22"/>
        </w:rPr>
      </w:pPr>
      <w:r w:rsidRPr="005F3610">
        <w:rPr>
          <w:rFonts w:ascii="Georgia" w:hAnsi="Georgia"/>
          <w:i/>
          <w:iCs/>
          <w:color w:val="000000"/>
          <w:sz w:val="22"/>
          <w:szCs w:val="22"/>
        </w:rPr>
        <w:t>bezpredmetné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i/>
          <w:iCs/>
          <w:color w:val="000000"/>
          <w:sz w:val="22"/>
          <w:szCs w:val="22"/>
        </w:rPr>
        <w:t xml:space="preserve">     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A.4. Alternatívne riešenia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i/>
          <w:iCs/>
          <w:color w:val="000000"/>
          <w:sz w:val="22"/>
          <w:szCs w:val="22"/>
        </w:rPr>
        <w:t>bezpredmetné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 </w:t>
      </w:r>
    </w:p>
    <w:p w:rsidR="003853DD" w:rsidRPr="005F3610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b/>
          <w:bCs/>
          <w:color w:val="000000"/>
          <w:sz w:val="22"/>
          <w:szCs w:val="22"/>
        </w:rPr>
        <w:t>A.5. Stanovisko gestorov</w:t>
      </w:r>
    </w:p>
    <w:p w:rsidR="003853DD" w:rsidRPr="007E72B8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5F3610">
        <w:rPr>
          <w:rFonts w:ascii="Georgia" w:hAnsi="Georgi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3853DD" w:rsidRPr="007E72B8" w:rsidP="003853DD">
      <w:pPr>
        <w:bidi w:val="0"/>
        <w:spacing w:before="120" w:line="276" w:lineRule="auto"/>
        <w:rPr>
          <w:rFonts w:ascii="Georgia" w:hAnsi="Georgia"/>
          <w:sz w:val="22"/>
          <w:szCs w:val="22"/>
        </w:rPr>
      </w:pPr>
    </w:p>
    <w:p w:rsidR="002E0E7A" w:rsidRPr="007E72B8">
      <w:pPr>
        <w:bidi w:val="0"/>
        <w:rPr>
          <w:rFonts w:ascii="Georgia" w:hAnsi="Georgia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7A" w:rsidP="002E0E7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853DD">
      <w:rPr>
        <w:rStyle w:val="PageNumber"/>
        <w:rFonts w:ascii="Times New Roman" w:hAnsi="Times New Roman"/>
      </w:rPr>
      <w:fldChar w:fldCharType="begin"/>
    </w:r>
    <w:r w:rsidR="003853DD">
      <w:rPr>
        <w:rStyle w:val="PageNumber"/>
        <w:rFonts w:ascii="Times New Roman" w:hAnsi="Times New Roman"/>
      </w:rPr>
      <w:instrText xml:space="preserve">PAGE  </w:instrText>
    </w:r>
    <w:r w:rsidR="003853DD">
      <w:rPr>
        <w:rStyle w:val="PageNumber"/>
        <w:rFonts w:ascii="Times New Roman" w:hAnsi="Times New Roman"/>
      </w:rPr>
      <w:fldChar w:fldCharType="separate"/>
    </w:r>
    <w:r w:rsidR="003853DD">
      <w:rPr>
        <w:rStyle w:val="PageNumber"/>
        <w:rFonts w:ascii="Times New Roman" w:hAnsi="Times New Roman"/>
      </w:rPr>
      <w:fldChar w:fldCharType="end"/>
    </w:r>
  </w:p>
  <w:p w:rsidR="002E0E7A" w:rsidP="002E0E7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7A" w:rsidP="002E0E7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853DD">
      <w:rPr>
        <w:rStyle w:val="PageNumber"/>
        <w:rFonts w:ascii="Times New Roman" w:hAnsi="Times New Roman"/>
      </w:rPr>
      <w:fldChar w:fldCharType="begin"/>
    </w:r>
    <w:r w:rsidR="003853DD">
      <w:rPr>
        <w:rStyle w:val="PageNumber"/>
        <w:rFonts w:ascii="Times New Roman" w:hAnsi="Times New Roman"/>
      </w:rPr>
      <w:instrText xml:space="preserve">PAGE  </w:instrText>
    </w:r>
    <w:r w:rsidR="003853DD">
      <w:rPr>
        <w:rStyle w:val="PageNumber"/>
        <w:rFonts w:ascii="Times New Roman" w:hAnsi="Times New Roman"/>
      </w:rPr>
      <w:fldChar w:fldCharType="separate"/>
    </w:r>
    <w:r w:rsidR="009E6658">
      <w:rPr>
        <w:rStyle w:val="PageNumber"/>
        <w:rFonts w:ascii="Times New Roman" w:hAnsi="Times New Roman"/>
        <w:noProof/>
      </w:rPr>
      <w:t>5</w:t>
    </w:r>
    <w:r w:rsidR="003853DD">
      <w:rPr>
        <w:rStyle w:val="PageNumber"/>
        <w:rFonts w:ascii="Times New Roman" w:hAnsi="Times New Roman"/>
      </w:rPr>
      <w:fldChar w:fldCharType="end"/>
    </w:r>
  </w:p>
  <w:p w:rsidR="002E0E7A" w:rsidP="002E0E7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53DD"/>
    <w:rsid w:val="000558E7"/>
    <w:rsid w:val="00061C46"/>
    <w:rsid w:val="000C3E0B"/>
    <w:rsid w:val="001126E3"/>
    <w:rsid w:val="00154D28"/>
    <w:rsid w:val="0016221C"/>
    <w:rsid w:val="001C2D6D"/>
    <w:rsid w:val="00215047"/>
    <w:rsid w:val="002445D4"/>
    <w:rsid w:val="002E0E7A"/>
    <w:rsid w:val="002E4C85"/>
    <w:rsid w:val="00336C55"/>
    <w:rsid w:val="00341161"/>
    <w:rsid w:val="00372337"/>
    <w:rsid w:val="003853DD"/>
    <w:rsid w:val="003929E0"/>
    <w:rsid w:val="00487988"/>
    <w:rsid w:val="004A7D58"/>
    <w:rsid w:val="00501555"/>
    <w:rsid w:val="0056657C"/>
    <w:rsid w:val="005F3610"/>
    <w:rsid w:val="006D119F"/>
    <w:rsid w:val="006E6AB2"/>
    <w:rsid w:val="006E6CAF"/>
    <w:rsid w:val="00701C7F"/>
    <w:rsid w:val="0077232E"/>
    <w:rsid w:val="007A7976"/>
    <w:rsid w:val="007B773E"/>
    <w:rsid w:val="007E72B8"/>
    <w:rsid w:val="00863ECB"/>
    <w:rsid w:val="0093344C"/>
    <w:rsid w:val="0097412F"/>
    <w:rsid w:val="009C7D11"/>
    <w:rsid w:val="009E6658"/>
    <w:rsid w:val="009F09CD"/>
    <w:rsid w:val="00BC7461"/>
    <w:rsid w:val="00C4651F"/>
    <w:rsid w:val="00C97C32"/>
    <w:rsid w:val="00CB04D6"/>
    <w:rsid w:val="00D466FA"/>
    <w:rsid w:val="00D65C11"/>
    <w:rsid w:val="00DF3E82"/>
    <w:rsid w:val="00E06D5E"/>
    <w:rsid w:val="00ED02FF"/>
    <w:rsid w:val="00F134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853DD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853DD"/>
    <w:rPr>
      <w:rFonts w:ascii="Arial" w:hAnsi="Arial" w:cs="Times New Roman"/>
      <w:b/>
      <w:kern w:val="0"/>
      <w:sz w:val="24"/>
      <w:rtl w:val="0"/>
      <w:cs w:val="0"/>
      <w:lang w:val="cs-CZ" w:eastAsia="sk-SK"/>
    </w:rPr>
  </w:style>
  <w:style w:type="paragraph" w:styleId="Footer">
    <w:name w:val="footer"/>
    <w:basedOn w:val="Normal"/>
    <w:link w:val="PtaChar"/>
    <w:uiPriority w:val="99"/>
    <w:rsid w:val="003853D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853DD"/>
    <w:rPr>
      <w:rFonts w:ascii="Times New Roman" w:hAnsi="Times New Roman" w:cs="Times New Roman"/>
      <w:kern w:val="0"/>
      <w:sz w:val="24"/>
      <w:rtl w:val="0"/>
      <w:cs w:val="0"/>
      <w:lang w:val="x-none" w:eastAsia="sk-SK"/>
    </w:rPr>
  </w:style>
  <w:style w:type="character" w:styleId="Emphasis">
    <w:name w:val="Emphasis"/>
    <w:aliases w:val="Book Antiqua"/>
    <w:basedOn w:val="DefaultParagraphFont"/>
    <w:uiPriority w:val="20"/>
    <w:qFormat/>
    <w:rsid w:val="00372337"/>
    <w:rPr>
      <w:rFonts w:ascii="Book Antiqua" w:hAnsi="Book Antiqua" w:cs="Times New Roman"/>
      <w:b/>
      <w:caps/>
      <w:sz w:val="20"/>
      <w:vertAlign w:val="baseline"/>
      <w:rtl w:val="0"/>
      <w:cs w:val="0"/>
    </w:rPr>
  </w:style>
  <w:style w:type="character" w:styleId="PageNumber">
    <w:name w:val="page number"/>
    <w:basedOn w:val="DefaultParagraphFont"/>
    <w:uiPriority w:val="99"/>
    <w:rsid w:val="003853DD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3853D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5</Pages>
  <Words>967</Words>
  <Characters>5803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klubOLaNO</cp:lastModifiedBy>
  <cp:revision>13</cp:revision>
  <dcterms:created xsi:type="dcterms:W3CDTF">2015-06-30T17:35:00Z</dcterms:created>
  <dcterms:modified xsi:type="dcterms:W3CDTF">2015-07-01T16:53:00Z</dcterms:modified>
</cp:coreProperties>
</file>