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2A62" w:rsidRPr="002E4C85" w:rsidP="00252C7B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E4C8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="00346C48">
        <w:rPr>
          <w:rFonts w:ascii="Book Antiqua" w:hAnsi="Book Antiqua"/>
          <w:sz w:val="22"/>
          <w:szCs w:val="22"/>
        </w:rPr>
        <w:t>z ... 2015</w:t>
      </w:r>
      <w:r w:rsidRPr="002E4C85">
        <w:rPr>
          <w:rFonts w:ascii="Book Antiqua" w:hAnsi="Book Antiqua"/>
          <w:sz w:val="22"/>
          <w:szCs w:val="22"/>
        </w:rPr>
        <w:t>,</w:t>
      </w: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586/2003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 w:rsidRPr="005509CA">
        <w:rPr>
          <w:rFonts w:ascii="Book Antiqua" w:hAnsi="Book Antiqua"/>
          <w:b/>
          <w:bCs/>
          <w:sz w:val="22"/>
          <w:szCs w:val="22"/>
        </w:rPr>
        <w:t>o advokácii a o zmene a doplnení zákona č. 455/1991 Zb. o živnostenskom podnikaní (živnostenský zákon) v znení neskorších predpisov</w:t>
      </w:r>
      <w:r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12A62" w:rsidRPr="002E4C85" w:rsidP="00252C7B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412A62" w:rsidRPr="002E4C85" w:rsidP="00252C7B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412A62" w:rsidRPr="002E4C85" w:rsidP="00252C7B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586/2003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 w:rsidRPr="005509CA">
        <w:rPr>
          <w:rFonts w:ascii="Book Antiqua" w:hAnsi="Book Antiqua" w:cs="Verdana"/>
          <w:sz w:val="22"/>
          <w:szCs w:val="22"/>
        </w:rPr>
        <w:t>o advokácii a o zmene a do</w:t>
      </w:r>
      <w:r w:rsidR="002C1041">
        <w:rPr>
          <w:rFonts w:ascii="Book Antiqua" w:hAnsi="Book Antiqua" w:cs="Verdana"/>
          <w:sz w:val="22"/>
          <w:szCs w:val="22"/>
        </w:rPr>
        <w:t>plnení zákona č. 455/1991 Zb. o </w:t>
      </w:r>
      <w:r w:rsidRPr="005509CA">
        <w:rPr>
          <w:rFonts w:ascii="Book Antiqua" w:hAnsi="Book Antiqua" w:cs="Verdana"/>
          <w:sz w:val="22"/>
          <w:szCs w:val="22"/>
        </w:rPr>
        <w:t>živnostenskom podnikaní (živnostenský zákon) v znení neskorších predpisov</w:t>
      </w:r>
      <w:r w:rsidRPr="002E4C85">
        <w:rPr>
          <w:rFonts w:ascii="Book Antiqua" w:hAnsi="Book Antiqua" w:cs="Verdana"/>
          <w:sz w:val="22"/>
          <w:szCs w:val="22"/>
        </w:rPr>
        <w:t xml:space="preserve"> v znení zákona č. </w:t>
      </w:r>
      <w:r>
        <w:rPr>
          <w:rFonts w:ascii="Book Antiqua" w:hAnsi="Book Antiqua" w:cs="Verdana"/>
          <w:sz w:val="22"/>
          <w:szCs w:val="22"/>
        </w:rPr>
        <w:t>8/2005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327/2005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331/2007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451/2008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304/2009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136/2010</w:t>
      </w:r>
      <w:r w:rsidR="002C1041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332/2011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335/2012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a zákona č. </w:t>
      </w:r>
      <w:r>
        <w:rPr>
          <w:rFonts w:ascii="Book Antiqua" w:hAnsi="Book Antiqua" w:cs="Verdana"/>
          <w:sz w:val="22"/>
          <w:szCs w:val="22"/>
        </w:rPr>
        <w:t>339/2013</w:t>
      </w:r>
      <w:r w:rsidRPr="002E4C85">
        <w:rPr>
          <w:rFonts w:ascii="Book Antiqua" w:hAnsi="Book Antiqua" w:cs="Verdana"/>
          <w:sz w:val="22"/>
          <w:szCs w:val="22"/>
        </w:rPr>
        <w:t xml:space="preserve"> Z.</w:t>
      </w:r>
      <w:r w:rsidR="00930013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 xml:space="preserve">z. 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Pr="002E4C85">
        <w:rPr>
          <w:rFonts w:ascii="Book Antiqua" w:hAnsi="Book Antiqua" w:cs="Verdana"/>
          <w:sz w:val="22"/>
          <w:szCs w:val="22"/>
        </w:rPr>
        <w:t>takto:</w:t>
      </w:r>
    </w:p>
    <w:p w:rsidR="00412A62" w:rsidRPr="002E4C85" w:rsidP="00252C7B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8515D4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>
        <w:rPr>
          <w:rFonts w:ascii="Book Antiqua" w:hAnsi="Book Antiqua" w:cs="Verdana"/>
          <w:sz w:val="22"/>
          <w:szCs w:val="22"/>
        </w:rPr>
        <w:t>V §3 ods. 1 písm. c) znie:</w:t>
      </w:r>
    </w:p>
    <w:p w:rsidR="002C1041" w:rsidP="00252C7B">
      <w:pPr>
        <w:pStyle w:val="ListParagraph"/>
        <w:bidi w:val="0"/>
        <w:spacing w:before="24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887E36" w:rsidR="008515D4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</w:rPr>
        <w:t>c)</w:t>
        <w:tab/>
      </w:r>
      <w:r w:rsidR="008515D4">
        <w:rPr>
          <w:rFonts w:ascii="Book Antiqua" w:hAnsi="Book Antiqua"/>
          <w:sz w:val="22"/>
          <w:szCs w:val="22"/>
        </w:rPr>
        <w:t xml:space="preserve">získal </w:t>
      </w:r>
      <w:r w:rsidRPr="008515D4" w:rsidR="008515D4">
        <w:rPr>
          <w:rFonts w:ascii="Book Antiqua" w:hAnsi="Book Antiqua"/>
          <w:sz w:val="22"/>
          <w:szCs w:val="22"/>
        </w:rPr>
        <w:t>najmenej trojročnú prax ako advokátsky koncipient s</w:t>
      </w:r>
      <w:r>
        <w:rPr>
          <w:rFonts w:ascii="Book Antiqua" w:hAnsi="Book Antiqua"/>
          <w:sz w:val="22"/>
          <w:szCs w:val="22"/>
        </w:rPr>
        <w:t> </w:t>
      </w:r>
      <w:r w:rsidRPr="008515D4" w:rsidR="008515D4">
        <w:rPr>
          <w:rFonts w:ascii="Book Antiqua" w:hAnsi="Book Antiqua"/>
          <w:sz w:val="22"/>
          <w:szCs w:val="22"/>
        </w:rPr>
        <w:t>minimálnymi</w:t>
      </w:r>
      <w:r>
        <w:rPr>
          <w:rFonts w:ascii="Book Antiqua" w:hAnsi="Book Antiqua"/>
          <w:sz w:val="22"/>
          <w:szCs w:val="22"/>
        </w:rPr>
        <w:t xml:space="preserve"> </w:t>
      </w:r>
      <w:r w:rsidRPr="008515D4" w:rsidR="008515D4">
        <w:rPr>
          <w:rFonts w:ascii="Book Antiqua" w:hAnsi="Book Antiqua"/>
          <w:sz w:val="22"/>
          <w:szCs w:val="22"/>
        </w:rPr>
        <w:t>obsahovými nárokmi podľa §62a</w:t>
      </w:r>
      <w:r w:rsidRPr="008515D4" w:rsidR="008515D4">
        <w:rPr>
          <w:rFonts w:ascii="Book Antiqua" w:hAnsi="Book Antiqua" w:cs="Segoe UI"/>
          <w:sz w:val="22"/>
          <w:szCs w:val="22"/>
          <w:shd w:val="clear" w:color="auto" w:fill="FFFFFF"/>
        </w:rPr>
        <w:t>; priebeh praxe sa</w:t>
      </w:r>
      <w:r w:rsidR="008515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preukazuje výkazom praxe,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2C1041" w:rsidRPr="002C1041" w:rsidP="00252C7B">
      <w:pPr>
        <w:pStyle w:val="ListParagraph"/>
        <w:bidi w:val="0"/>
        <w:spacing w:line="276" w:lineRule="auto"/>
        <w:ind w:left="1418" w:hanging="632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412A62" w:rsidRPr="00A0077D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 w:rsidRPr="00A0077D">
        <w:rPr>
          <w:rFonts w:ascii="Book Antiqua" w:hAnsi="Book Antiqua" w:cs="Verdana"/>
          <w:sz w:val="22"/>
          <w:szCs w:val="22"/>
        </w:rPr>
        <w:t>V § 6 odsek 2 znie</w:t>
      </w:r>
      <w:r w:rsidRPr="00A0077D">
        <w:rPr>
          <w:rFonts w:ascii="Book Antiqua" w:hAnsi="Book Antiqua"/>
          <w:sz w:val="22"/>
          <w:szCs w:val="22"/>
        </w:rPr>
        <w:t>:</w:t>
      </w:r>
    </w:p>
    <w:p w:rsidR="00412A62" w:rsidP="00252C7B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="00A43B8B">
        <w:rPr>
          <w:rFonts w:ascii="Book Antiqua" w:hAnsi="Book Antiqua"/>
          <w:sz w:val="22"/>
          <w:szCs w:val="22"/>
        </w:rPr>
        <w:t>„(2)</w:t>
      </w:r>
      <w:r w:rsidRPr="00887E36">
        <w:rPr>
          <w:rFonts w:ascii="Book Antiqua" w:hAnsi="Book Antiqua"/>
          <w:sz w:val="22"/>
          <w:szCs w:val="22"/>
        </w:rPr>
        <w:tab/>
        <w:t xml:space="preserve">Komora započíta do praxe advokátskeho koncipienta prax sudcu, prokurátora, </w:t>
      </w:r>
      <w:r w:rsidRPr="00887E36" w:rsidR="00887E36">
        <w:rPr>
          <w:rFonts w:ascii="Book Antiqua" w:hAnsi="Book Antiqua"/>
          <w:sz w:val="22"/>
          <w:szCs w:val="22"/>
        </w:rPr>
        <w:t xml:space="preserve">asistenta sudcu Najvyššieho súdu Slovenskej republiky, </w:t>
      </w:r>
      <w:r w:rsidRPr="00887E36">
        <w:rPr>
          <w:rFonts w:ascii="Book Antiqua" w:hAnsi="Book Antiqua"/>
          <w:sz w:val="22"/>
          <w:szCs w:val="22"/>
        </w:rPr>
        <w:t>vyššieho súdneho úradníka</w:t>
      </w:r>
      <w:r w:rsidR="00BA3F70">
        <w:rPr>
          <w:rFonts w:ascii="Book Antiqua" w:hAnsi="Book Antiqua"/>
          <w:sz w:val="22"/>
          <w:szCs w:val="22"/>
        </w:rPr>
        <w:t xml:space="preserve">, </w:t>
      </w:r>
      <w:r w:rsidR="0081061B">
        <w:rPr>
          <w:rFonts w:ascii="Book Antiqua" w:hAnsi="Book Antiqua"/>
          <w:sz w:val="22"/>
          <w:szCs w:val="22"/>
        </w:rPr>
        <w:t xml:space="preserve">justičného čakateľa, </w:t>
      </w:r>
      <w:r w:rsidR="00BA3F70">
        <w:rPr>
          <w:rFonts w:ascii="Book Antiqua" w:hAnsi="Book Antiqua"/>
          <w:sz w:val="22"/>
          <w:szCs w:val="22"/>
        </w:rPr>
        <w:t xml:space="preserve">právneho čakateľa prokuratúry </w:t>
      </w:r>
      <w:r w:rsidRPr="00E21548">
        <w:rPr>
          <w:rFonts w:ascii="Book Antiqua" w:hAnsi="Book Antiqua"/>
          <w:sz w:val="22"/>
          <w:szCs w:val="22"/>
        </w:rPr>
        <w:t>a</w:t>
      </w:r>
      <w:r w:rsidR="005A7AF9">
        <w:rPr>
          <w:rFonts w:ascii="Book Antiqua" w:hAnsi="Book Antiqua"/>
          <w:sz w:val="22"/>
          <w:szCs w:val="22"/>
        </w:rPr>
        <w:t> notársku prax</w:t>
      </w:r>
      <w:r w:rsidRPr="00E21548">
        <w:rPr>
          <w:rFonts w:ascii="Book Antiqua" w:hAnsi="Book Antiqua"/>
          <w:sz w:val="22"/>
          <w:szCs w:val="22"/>
        </w:rPr>
        <w:t>.</w:t>
      </w:r>
      <w:r w:rsidRPr="007B6517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Komora môže do praxe</w:t>
      </w:r>
      <w:r w:rsidR="001C243C">
        <w:rPr>
          <w:rFonts w:ascii="Book Antiqua" w:hAnsi="Book Antiqua"/>
          <w:sz w:val="22"/>
          <w:szCs w:val="22"/>
        </w:rPr>
        <w:t xml:space="preserve"> advokátskeho koncipienta</w:t>
      </w:r>
      <w:r w:rsidRPr="007B6517" w:rsidR="001C243C">
        <w:rPr>
          <w:rFonts w:ascii="Book Antiqua" w:hAnsi="Book Antiqua"/>
          <w:sz w:val="22"/>
          <w:szCs w:val="22"/>
        </w:rPr>
        <w:t xml:space="preserve"> započítať </w:t>
      </w:r>
      <w:r w:rsidR="001C243C">
        <w:rPr>
          <w:rFonts w:ascii="Book Antiqua" w:hAnsi="Book Antiqua"/>
          <w:sz w:val="22"/>
          <w:szCs w:val="22"/>
        </w:rPr>
        <w:t xml:space="preserve">v rozsahu maximálne </w:t>
      </w:r>
      <w:r w:rsidR="008515D4">
        <w:rPr>
          <w:rFonts w:ascii="Book Antiqua" w:hAnsi="Book Antiqua"/>
          <w:sz w:val="22"/>
          <w:szCs w:val="22"/>
        </w:rPr>
        <w:t>dvoch</w:t>
      </w:r>
      <w:r w:rsidR="001C243C">
        <w:rPr>
          <w:rFonts w:ascii="Book Antiqua" w:hAnsi="Book Antiqua"/>
          <w:sz w:val="22"/>
          <w:szCs w:val="22"/>
        </w:rPr>
        <w:t xml:space="preserve"> rokov </w:t>
      </w:r>
      <w:r w:rsidRPr="007B6517" w:rsidR="001C243C">
        <w:rPr>
          <w:rFonts w:ascii="Book Antiqua" w:hAnsi="Book Antiqua"/>
          <w:sz w:val="22"/>
          <w:szCs w:val="22"/>
        </w:rPr>
        <w:t xml:space="preserve">aj inú právnu prax, </w:t>
      </w:r>
      <w:r w:rsidR="001C243C">
        <w:rPr>
          <w:rFonts w:ascii="Book Antiqua" w:hAnsi="Book Antiqua"/>
          <w:sz w:val="22"/>
          <w:szCs w:val="22"/>
        </w:rPr>
        <w:t xml:space="preserve">ak ňou advokátsky koncipient </w:t>
      </w:r>
      <w:r w:rsidRPr="00E21548" w:rsidR="001C243C">
        <w:rPr>
          <w:rFonts w:ascii="Book Antiqua" w:hAnsi="Book Antiqua"/>
          <w:sz w:val="22"/>
          <w:szCs w:val="22"/>
        </w:rPr>
        <w:t xml:space="preserve">získal skúsenosti potrebné na výkon </w:t>
      </w:r>
      <w:r w:rsidR="001C243C">
        <w:rPr>
          <w:rFonts w:ascii="Book Antiqua" w:hAnsi="Book Antiqua"/>
          <w:sz w:val="22"/>
          <w:szCs w:val="22"/>
        </w:rPr>
        <w:t>činnosti advokáta</w:t>
      </w:r>
      <w:r w:rsidR="00BA3F70">
        <w:rPr>
          <w:rFonts w:ascii="Book Antiqua" w:hAnsi="Book Antiqua"/>
          <w:sz w:val="22"/>
          <w:szCs w:val="22"/>
        </w:rPr>
        <w:t>;</w:t>
      </w:r>
      <w:r w:rsidRPr="007B6517" w:rsidR="001C243C">
        <w:rPr>
          <w:rFonts w:ascii="Book Antiqua" w:hAnsi="Book Antiqua"/>
          <w:sz w:val="22"/>
          <w:szCs w:val="22"/>
        </w:rPr>
        <w:t xml:space="preserve"> </w:t>
      </w:r>
      <w:r w:rsidR="00BA3F70">
        <w:rPr>
          <w:rFonts w:ascii="Book Antiqua" w:hAnsi="Book Antiqua"/>
          <w:sz w:val="22"/>
          <w:szCs w:val="22"/>
        </w:rPr>
        <w:t>p</w:t>
      </w:r>
      <w:r w:rsidRPr="007B6517" w:rsidR="001C243C">
        <w:rPr>
          <w:rFonts w:ascii="Book Antiqua" w:hAnsi="Book Antiqua"/>
          <w:sz w:val="22"/>
          <w:szCs w:val="22"/>
        </w:rPr>
        <w:t>odmienky započítania inej právnej praxe</w:t>
      </w:r>
      <w:r w:rsidR="001C243C">
        <w:rPr>
          <w:rFonts w:ascii="Book Antiqua" w:hAnsi="Book Antiqua"/>
          <w:sz w:val="22"/>
          <w:szCs w:val="22"/>
        </w:rPr>
        <w:t xml:space="preserve"> </w:t>
      </w:r>
      <w:r w:rsidRPr="007B6517" w:rsidR="001C243C">
        <w:rPr>
          <w:rFonts w:ascii="Book Antiqua" w:hAnsi="Book Antiqua"/>
          <w:sz w:val="22"/>
          <w:szCs w:val="22"/>
        </w:rPr>
        <w:t>do praxe advokátskeho koncipienta určí predpis komory.</w:t>
      </w:r>
      <w:r w:rsidRPr="002E4C85" w:rsidR="001C243C">
        <w:rPr>
          <w:rFonts w:ascii="Book Antiqua" w:hAnsi="Book Antiqua"/>
          <w:sz w:val="22"/>
          <w:szCs w:val="22"/>
        </w:rPr>
        <w:t>“</w:t>
      </w:r>
      <w:r w:rsidRPr="002E4C85">
        <w:rPr>
          <w:rFonts w:ascii="Book Antiqua" w:hAnsi="Book Antiqua"/>
          <w:sz w:val="22"/>
          <w:szCs w:val="22"/>
        </w:rPr>
        <w:t>.</w:t>
      </w:r>
    </w:p>
    <w:p w:rsidR="002C1041" w:rsidP="00252C7B">
      <w:pPr>
        <w:bidi w:val="0"/>
        <w:spacing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</w:p>
    <w:p w:rsidR="00412A62" w:rsidRPr="0081061B" w:rsidP="00252C7B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1061B">
        <w:rPr>
          <w:rFonts w:ascii="Book Antiqua" w:hAnsi="Book Antiqua"/>
          <w:sz w:val="22"/>
          <w:szCs w:val="22"/>
        </w:rPr>
        <w:t>Za § 82b sa vkladá nový § 82c, ktorý vrátane nadpisu znie:</w:t>
      </w:r>
    </w:p>
    <w:p w:rsidR="005A771D" w:rsidRPr="0081061B" w:rsidP="00252C7B">
      <w:pPr>
        <w:pStyle w:val="ListParagraph"/>
        <w:bidi w:val="0"/>
        <w:spacing w:line="276" w:lineRule="auto"/>
        <w:ind w:left="786"/>
        <w:jc w:val="center"/>
        <w:rPr>
          <w:rFonts w:ascii="Book Antiqua" w:hAnsi="Book Antiqua"/>
          <w:sz w:val="22"/>
          <w:szCs w:val="22"/>
        </w:rPr>
      </w:pPr>
    </w:p>
    <w:p w:rsidR="00412A62" w:rsidRPr="002C1041" w:rsidP="00252C7B">
      <w:pPr>
        <w:pStyle w:val="ListParagraph"/>
        <w:bidi w:val="0"/>
        <w:spacing w:before="120" w:line="276" w:lineRule="auto"/>
        <w:ind w:left="786"/>
        <w:jc w:val="center"/>
        <w:rPr>
          <w:rFonts w:ascii="Book Antiqua" w:hAnsi="Book Antiqua"/>
          <w:b/>
          <w:sz w:val="22"/>
          <w:szCs w:val="22"/>
        </w:rPr>
      </w:pPr>
      <w:r w:rsidRPr="00340FC4">
        <w:rPr>
          <w:rFonts w:ascii="Book Antiqua" w:hAnsi="Book Antiqua"/>
          <w:sz w:val="22"/>
          <w:szCs w:val="22"/>
        </w:rPr>
        <w:t>„</w:t>
      </w:r>
      <w:r w:rsidRPr="002C1041">
        <w:rPr>
          <w:rFonts w:ascii="Book Antiqua" w:hAnsi="Book Antiqua"/>
          <w:b/>
          <w:sz w:val="22"/>
          <w:szCs w:val="22"/>
        </w:rPr>
        <w:t>§ 82c</w:t>
      </w:r>
      <w:r w:rsidRPr="002C1041" w:rsidR="008515D4">
        <w:rPr>
          <w:rFonts w:ascii="Book Antiqua" w:hAnsi="Book Antiqua"/>
          <w:b/>
          <w:sz w:val="22"/>
          <w:szCs w:val="22"/>
        </w:rPr>
        <w:t xml:space="preserve"> </w:t>
      </w:r>
      <w:r w:rsidRPr="002C1041" w:rsidR="0081061B">
        <w:rPr>
          <w:rFonts w:ascii="Book Antiqua" w:hAnsi="Book Antiqua"/>
          <w:b/>
          <w:sz w:val="22"/>
          <w:szCs w:val="22"/>
        </w:rPr>
        <w:t>Prechodné ustanovenia</w:t>
      </w:r>
      <w:r w:rsidRPr="002C1041">
        <w:rPr>
          <w:rFonts w:ascii="Book Antiqua" w:hAnsi="Book Antiqua"/>
          <w:b/>
          <w:sz w:val="22"/>
          <w:szCs w:val="22"/>
        </w:rPr>
        <w:t xml:space="preserve"> k úpravám účinným od 1. </w:t>
      </w:r>
      <w:r w:rsidRPr="002C1041" w:rsidR="0096105E">
        <w:rPr>
          <w:rFonts w:ascii="Book Antiqua" w:hAnsi="Book Antiqua"/>
          <w:b/>
          <w:sz w:val="22"/>
          <w:szCs w:val="22"/>
        </w:rPr>
        <w:t>januára</w:t>
      </w:r>
      <w:r w:rsidRPr="002C1041">
        <w:rPr>
          <w:rFonts w:ascii="Book Antiqua" w:hAnsi="Book Antiqua"/>
          <w:b/>
          <w:sz w:val="22"/>
          <w:szCs w:val="22"/>
        </w:rPr>
        <w:t xml:space="preserve"> 201</w:t>
      </w:r>
      <w:r w:rsidRPr="002C1041" w:rsidR="008515D4">
        <w:rPr>
          <w:rFonts w:ascii="Book Antiqua" w:hAnsi="Book Antiqua"/>
          <w:b/>
          <w:sz w:val="22"/>
          <w:szCs w:val="22"/>
        </w:rPr>
        <w:t>6</w:t>
      </w:r>
    </w:p>
    <w:p w:rsidR="008515D4" w:rsidRPr="00340FC4" w:rsidP="00252C7B">
      <w:pPr>
        <w:pStyle w:val="ListParagraph"/>
        <w:bidi w:val="0"/>
        <w:spacing w:line="276" w:lineRule="auto"/>
        <w:ind w:left="788"/>
        <w:jc w:val="both"/>
        <w:rPr>
          <w:rFonts w:ascii="Book Antiqua" w:hAnsi="Book Antiqua"/>
          <w:sz w:val="22"/>
          <w:szCs w:val="22"/>
        </w:rPr>
      </w:pPr>
    </w:p>
    <w:p w:rsidR="00340FC4" w:rsidRPr="00340FC4" w:rsidP="00252C7B">
      <w:pPr>
        <w:pStyle w:val="ListParagraph"/>
        <w:numPr>
          <w:numId w:val="2"/>
        </w:numPr>
        <w:bidi w:val="0"/>
        <w:spacing w:after="24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Advokátsky koncipient zapísaný do zoznamu advokátskych k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oncipientov do 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31. decembra 2015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vykoná prax advokáts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keho koncipienta v trvaní podľa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predpisu účinného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od 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 xml:space="preserve">1. 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januára 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201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6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8515D4" w:rsidRPr="00340FC4" w:rsidP="00252C7B">
      <w:pPr>
        <w:pStyle w:val="ListParagraph"/>
        <w:numPr>
          <w:numId w:val="2"/>
        </w:numPr>
        <w:bidi w:val="0"/>
        <w:spacing w:after="240"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Na žiadosti advokátskych koncipientov o započí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tanie inej právnej praxe, ktoré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boli doručené komore do 31. decembra 2015</w:t>
      </w:r>
      <w:r w:rsidR="002C1041">
        <w:rPr>
          <w:rFonts w:ascii="Book Antiqua" w:hAnsi="Book Antiqua" w:cs="Segoe UI"/>
          <w:sz w:val="22"/>
          <w:szCs w:val="22"/>
          <w:shd w:val="clear" w:color="auto" w:fill="FFFFFF"/>
        </w:rPr>
        <w:t>, sa vzťahuje predpis účinný do </w:t>
      </w:r>
      <w:r w:rsidRPr="00340FC4">
        <w:rPr>
          <w:rFonts w:ascii="Book Antiqua" w:hAnsi="Book Antiqua" w:cs="Segoe UI"/>
          <w:sz w:val="22"/>
          <w:szCs w:val="22"/>
          <w:shd w:val="clear" w:color="auto" w:fill="FFFFFF"/>
        </w:rPr>
        <w:t>31. decembra 2015.</w:t>
      </w:r>
    </w:p>
    <w:p w:rsidR="00412A62" w:rsidRPr="00340FC4" w:rsidP="00252C7B">
      <w:pPr>
        <w:pStyle w:val="ListParagraph"/>
        <w:numPr>
          <w:numId w:val="2"/>
        </w:numPr>
        <w:bidi w:val="0"/>
        <w:spacing w:line="276" w:lineRule="auto"/>
        <w:ind w:left="1418" w:hanging="425"/>
        <w:jc w:val="both"/>
        <w:rPr>
          <w:rFonts w:ascii="Book Antiqua" w:hAnsi="Book Antiqua"/>
          <w:sz w:val="22"/>
          <w:szCs w:val="22"/>
        </w:rPr>
      </w:pPr>
      <w:r w:rsidRPr="00340FC4" w:rsidR="00777CD5">
        <w:rPr>
          <w:rFonts w:ascii="Book Antiqua" w:hAnsi="Book Antiqua"/>
          <w:sz w:val="22"/>
          <w:szCs w:val="22"/>
        </w:rPr>
        <w:t>Prax</w:t>
      </w:r>
      <w:r w:rsidRPr="00340FC4" w:rsidR="0081061B">
        <w:rPr>
          <w:rFonts w:ascii="Book Antiqua" w:hAnsi="Book Antiqua"/>
          <w:sz w:val="22"/>
          <w:szCs w:val="22"/>
        </w:rPr>
        <w:t xml:space="preserve"> podľa § 6 odsek 2 prvá veta </w:t>
      </w:r>
      <w:r w:rsidRPr="00340FC4" w:rsidR="00534D87">
        <w:rPr>
          <w:rFonts w:ascii="Book Antiqua" w:hAnsi="Book Antiqua"/>
          <w:sz w:val="22"/>
          <w:szCs w:val="22"/>
        </w:rPr>
        <w:t>k</w:t>
      </w:r>
      <w:r w:rsidRPr="00340FC4" w:rsidR="00777CD5">
        <w:rPr>
          <w:rFonts w:ascii="Book Antiqua" w:hAnsi="Book Antiqua"/>
          <w:sz w:val="22"/>
          <w:szCs w:val="22"/>
        </w:rPr>
        <w:t>omora započíta aj do praxe a</w:t>
      </w:r>
      <w:r w:rsidRPr="00340FC4">
        <w:rPr>
          <w:rFonts w:ascii="Book Antiqua" w:hAnsi="Book Antiqua"/>
          <w:sz w:val="22"/>
          <w:szCs w:val="22"/>
        </w:rPr>
        <w:t>dvokátsk</w:t>
      </w:r>
      <w:r w:rsidRPr="00340FC4" w:rsidR="00777CD5">
        <w:rPr>
          <w:rFonts w:ascii="Book Antiqua" w:hAnsi="Book Antiqua"/>
          <w:sz w:val="22"/>
          <w:szCs w:val="22"/>
        </w:rPr>
        <w:t>eho</w:t>
      </w:r>
      <w:r w:rsidRPr="00340FC4">
        <w:rPr>
          <w:rFonts w:ascii="Book Antiqua" w:hAnsi="Book Antiqua"/>
          <w:sz w:val="22"/>
          <w:szCs w:val="22"/>
        </w:rPr>
        <w:t xml:space="preserve"> koncipient</w:t>
      </w:r>
      <w:r w:rsidRPr="00340FC4" w:rsidR="00777CD5">
        <w:rPr>
          <w:rFonts w:ascii="Book Antiqua" w:hAnsi="Book Antiqua"/>
          <w:sz w:val="22"/>
          <w:szCs w:val="22"/>
        </w:rPr>
        <w:t>a</w:t>
      </w:r>
      <w:r w:rsidRPr="00340FC4">
        <w:rPr>
          <w:rFonts w:ascii="Book Antiqua" w:hAnsi="Book Antiqua"/>
          <w:sz w:val="22"/>
          <w:szCs w:val="22"/>
        </w:rPr>
        <w:t xml:space="preserve"> zapísan</w:t>
      </w:r>
      <w:r w:rsidRPr="00340FC4" w:rsidR="00777CD5">
        <w:rPr>
          <w:rFonts w:ascii="Book Antiqua" w:hAnsi="Book Antiqua"/>
          <w:sz w:val="22"/>
          <w:szCs w:val="22"/>
        </w:rPr>
        <w:t>ého</w:t>
      </w:r>
      <w:r w:rsidRPr="00340FC4">
        <w:rPr>
          <w:rFonts w:ascii="Book Antiqua" w:hAnsi="Book Antiqua"/>
          <w:sz w:val="22"/>
          <w:szCs w:val="22"/>
        </w:rPr>
        <w:t xml:space="preserve"> do zoznamu a</w:t>
      </w:r>
      <w:r w:rsidR="00A43B8B">
        <w:rPr>
          <w:rFonts w:ascii="Book Antiqua" w:hAnsi="Book Antiqua"/>
          <w:sz w:val="22"/>
          <w:szCs w:val="22"/>
        </w:rPr>
        <w:t>dvokátskych koncipientov do 31. </w:t>
      </w:r>
      <w:r w:rsidRPr="00340FC4" w:rsidR="0096105E">
        <w:rPr>
          <w:rFonts w:ascii="Book Antiqua" w:hAnsi="Book Antiqua"/>
          <w:sz w:val="22"/>
          <w:szCs w:val="22"/>
        </w:rPr>
        <w:t>dec</w:t>
      </w:r>
      <w:r w:rsidRPr="00340FC4">
        <w:rPr>
          <w:rFonts w:ascii="Book Antiqua" w:hAnsi="Book Antiqua"/>
          <w:sz w:val="22"/>
          <w:szCs w:val="22"/>
        </w:rPr>
        <w:t>embra 201</w:t>
      </w:r>
      <w:r w:rsidRPr="00340FC4" w:rsidR="008515D4">
        <w:rPr>
          <w:rFonts w:ascii="Book Antiqua" w:hAnsi="Book Antiqua"/>
          <w:sz w:val="22"/>
          <w:szCs w:val="22"/>
        </w:rPr>
        <w:t>5</w:t>
      </w:r>
      <w:r w:rsidRPr="00340FC4">
        <w:rPr>
          <w:rFonts w:ascii="Book Antiqua" w:hAnsi="Book Antiqua"/>
          <w:sz w:val="22"/>
          <w:szCs w:val="22"/>
        </w:rPr>
        <w:t>.“.</w:t>
      </w:r>
    </w:p>
    <w:p w:rsidR="00412A62" w:rsidRPr="005A771D" w:rsidP="00252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12A62" w:rsidRPr="005A771D" w:rsidP="00252C7B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A771D">
        <w:rPr>
          <w:rFonts w:ascii="Book Antiqua" w:hAnsi="Book Antiqua"/>
          <w:b/>
          <w:bCs/>
          <w:sz w:val="22"/>
          <w:szCs w:val="22"/>
        </w:rPr>
        <w:t>Čl. II</w:t>
      </w:r>
    </w:p>
    <w:p w:rsidR="00412A62" w:rsidRPr="005A771D" w:rsidP="00252C7B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 w:cs="Times New Roman"/>
          <w:sz w:val="22"/>
          <w:szCs w:val="22"/>
        </w:rPr>
      </w:pPr>
      <w:r w:rsidRPr="005A771D">
        <w:rPr>
          <w:rFonts w:ascii="Book Antiqua" w:hAnsi="Book Antiqua" w:cs="Times New Roman"/>
          <w:sz w:val="22"/>
          <w:szCs w:val="22"/>
        </w:rPr>
        <w:t xml:space="preserve">Tento zákon nadobúda účinnosť 1. </w:t>
      </w:r>
      <w:r w:rsidRPr="005A771D" w:rsidR="0096105E">
        <w:rPr>
          <w:rFonts w:ascii="Book Antiqua" w:hAnsi="Book Antiqua" w:cs="Times New Roman"/>
          <w:sz w:val="22"/>
          <w:szCs w:val="22"/>
        </w:rPr>
        <w:t>januára</w:t>
      </w:r>
      <w:r w:rsidRPr="005A771D">
        <w:rPr>
          <w:rFonts w:ascii="Book Antiqua" w:hAnsi="Book Antiqua" w:cs="Times New Roman"/>
          <w:sz w:val="22"/>
          <w:szCs w:val="22"/>
        </w:rPr>
        <w:t xml:space="preserve"> 201</w:t>
      </w:r>
      <w:r w:rsidRPr="005A771D" w:rsidR="005A771D">
        <w:rPr>
          <w:rFonts w:ascii="Book Antiqua" w:hAnsi="Book Antiqua" w:cs="Times New Roman"/>
          <w:sz w:val="22"/>
          <w:szCs w:val="22"/>
        </w:rPr>
        <w:t>6</w:t>
      </w:r>
      <w:r w:rsidRPr="005A771D">
        <w:rPr>
          <w:rFonts w:ascii="Book Antiqua" w:hAnsi="Book Antiqua" w:cs="Times New Roman"/>
          <w:sz w:val="22"/>
          <w:szCs w:val="22"/>
        </w:rPr>
        <w:t>.</w:t>
      </w:r>
    </w:p>
    <w:p w:rsidR="00412A62" w:rsidP="00252C7B">
      <w:pPr>
        <w:bidi w:val="0"/>
        <w:spacing w:line="276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76C"/>
    <w:multiLevelType w:val="hybridMultilevel"/>
    <w:tmpl w:val="D1FEBA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49ED3A4D"/>
    <w:multiLevelType w:val="hybridMultilevel"/>
    <w:tmpl w:val="72045E88"/>
    <w:lvl w:ilvl="0">
      <w:start w:val="1"/>
      <w:numFmt w:val="decimal"/>
      <w:lvlText w:val="(%1)"/>
      <w:lvlJc w:val="left"/>
      <w:pPr>
        <w:ind w:left="114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12A62"/>
    <w:rsid w:val="00043F74"/>
    <w:rsid w:val="00105154"/>
    <w:rsid w:val="0016221C"/>
    <w:rsid w:val="001A0072"/>
    <w:rsid w:val="001C243C"/>
    <w:rsid w:val="00252C7B"/>
    <w:rsid w:val="002C1041"/>
    <w:rsid w:val="002E4C85"/>
    <w:rsid w:val="002F4E9A"/>
    <w:rsid w:val="00340FC4"/>
    <w:rsid w:val="00346C48"/>
    <w:rsid w:val="00372337"/>
    <w:rsid w:val="003929E0"/>
    <w:rsid w:val="0040455C"/>
    <w:rsid w:val="00412A62"/>
    <w:rsid w:val="004609A7"/>
    <w:rsid w:val="00487988"/>
    <w:rsid w:val="00534D87"/>
    <w:rsid w:val="005509CA"/>
    <w:rsid w:val="005A771D"/>
    <w:rsid w:val="005A7AF9"/>
    <w:rsid w:val="005C7B9D"/>
    <w:rsid w:val="006960EA"/>
    <w:rsid w:val="006A09E9"/>
    <w:rsid w:val="006D7293"/>
    <w:rsid w:val="006D72AC"/>
    <w:rsid w:val="00777CD5"/>
    <w:rsid w:val="007B6517"/>
    <w:rsid w:val="0081061B"/>
    <w:rsid w:val="008515D4"/>
    <w:rsid w:val="00887E36"/>
    <w:rsid w:val="00930013"/>
    <w:rsid w:val="0096105E"/>
    <w:rsid w:val="009A15F4"/>
    <w:rsid w:val="00A0077D"/>
    <w:rsid w:val="00A43B8B"/>
    <w:rsid w:val="00B61AD1"/>
    <w:rsid w:val="00BA3F70"/>
    <w:rsid w:val="00BC7461"/>
    <w:rsid w:val="00C4651F"/>
    <w:rsid w:val="00C65CAC"/>
    <w:rsid w:val="00D54618"/>
    <w:rsid w:val="00D6385A"/>
    <w:rsid w:val="00DA665D"/>
    <w:rsid w:val="00E21548"/>
    <w:rsid w:val="00F01AB2"/>
    <w:rsid w:val="00F134A5"/>
    <w:rsid w:val="00F606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6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basedOn w:val="DefaultParagraphFont"/>
    <w:uiPriority w:val="20"/>
    <w:qFormat/>
    <w:rsid w:val="00372337"/>
    <w:rPr>
      <w:rFonts w:ascii="Book Antiqua" w:hAnsi="Book Antiqua" w:cs="Times New Roman"/>
      <w:b/>
      <w:caps/>
      <w:sz w:val="20"/>
      <w:vertAlign w:val="baselin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12A6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12A62"/>
    <w:rPr>
      <w:rFonts w:ascii="Verdana" w:hAnsi="Verdana" w:cs="Times New Roman"/>
      <w:kern w:val="0"/>
      <w:sz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12A62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A7AF9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5A7AF9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5A7AF9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A7AF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A7AF9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7AF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7AF9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350</Words>
  <Characters>1877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Miroslav_Kaduc</cp:lastModifiedBy>
  <cp:revision>3</cp:revision>
  <dcterms:created xsi:type="dcterms:W3CDTF">2015-07-01T18:28:00Z</dcterms:created>
  <dcterms:modified xsi:type="dcterms:W3CDTF">2015-07-01T18:29:00Z</dcterms:modified>
</cp:coreProperties>
</file>