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2B92" w:rsidRPr="00D747AF" w:rsidP="002C2B92">
      <w:pPr>
        <w:tabs>
          <w:tab w:val="left" w:pos="3261"/>
        </w:tabs>
        <w:bidi w:val="0"/>
        <w:spacing w:beforeAutospacing="1" w:after="12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bookmarkStart w:id="0" w:name="f_5517389"/>
      <w:bookmarkEnd w:id="0"/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C2B92" w:rsidRPr="00C8217A" w:rsidP="002C2B92">
      <w:pPr>
        <w:bidi w:val="0"/>
        <w:spacing w:beforeAutospacing="1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8217A">
        <w:rPr>
          <w:rFonts w:ascii="Times New Roman" w:hAnsi="Times New Roman"/>
          <w:b/>
          <w:bCs/>
          <w:sz w:val="24"/>
          <w:szCs w:val="24"/>
          <w:lang w:eastAsia="sk-SK"/>
        </w:rPr>
        <w:t>z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 30. júna</w:t>
      </w:r>
      <w:r w:rsidRPr="00C8217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2015,</w:t>
      </w:r>
    </w:p>
    <w:p w:rsidR="002C2B92" w:rsidRPr="00D747AF" w:rsidP="002C2B92">
      <w:pPr>
        <w:bidi w:val="0"/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/>
          <w:sz w:val="24"/>
          <w:szCs w:val="24"/>
          <w:lang w:eastAsia="sk-SK"/>
        </w:rPr>
        <w:t xml:space="preserve">ktorým sa mení a dopĺňa zákon č. 175/1999 Z. z. </w:t>
      </w:r>
      <w:r w:rsidRPr="00D747AF">
        <w:rPr>
          <w:rFonts w:ascii="Times New Roman" w:hAnsi="Times New Roman"/>
          <w:b/>
          <w:bCs/>
          <w:sz w:val="24"/>
          <w:szCs w:val="24"/>
          <w:lang w:eastAsia="sk-SK"/>
        </w:rPr>
        <w:t>o niektorých opatreniach týkajúcich                sa prípravy významných investícií a o doplnení niektorých zákonov v znení neskorších predpisov a ktorým sa mení a dopĺňa zákon č. 50/1976 Zb. o územnom plánovaní                      a stavebnom poriadku (stavebný zákon) v znení neskorších predpisov</w:t>
      </w:r>
    </w:p>
    <w:p w:rsidR="002C2B92" w:rsidRPr="00D747AF" w:rsidP="002C2B92">
      <w:pPr>
        <w:bidi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>Národná rada Slovenskej republiky sa uzniesla na tomto zákone:</w:t>
      </w:r>
    </w:p>
    <w:p w:rsidR="002C2B92" w:rsidP="002C2B92">
      <w:pPr>
        <w:bidi w:val="0"/>
        <w:spacing w:after="12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RPr="00D747AF" w:rsidP="002C2B92">
      <w:pPr>
        <w:bidi w:val="0"/>
        <w:spacing w:after="12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/>
          <w:bCs/>
          <w:sz w:val="24"/>
          <w:szCs w:val="24"/>
          <w:lang w:eastAsia="sk-SK"/>
        </w:rPr>
        <w:t>Čl. I</w:t>
      </w:r>
    </w:p>
    <w:p w:rsidR="002C2B92" w:rsidRPr="00D747AF" w:rsidP="002C2B92">
      <w:pPr>
        <w:bidi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bookmarkStart w:id="1" w:name="f_5075789"/>
      <w:bookmarkEnd w:id="1"/>
      <w:r w:rsidRPr="00D747AF">
        <w:rPr>
          <w:rFonts w:ascii="Times New Roman" w:hAnsi="Times New Roman"/>
          <w:bCs/>
          <w:sz w:val="24"/>
          <w:szCs w:val="24"/>
          <w:lang w:eastAsia="cs-CZ"/>
        </w:rPr>
        <w:t xml:space="preserve">              </w:t>
      </w:r>
      <w:r w:rsidRPr="00D747AF">
        <w:rPr>
          <w:rFonts w:ascii="Times New Roman" w:hAnsi="Times New Roman"/>
          <w:sz w:val="24"/>
          <w:szCs w:val="24"/>
          <w:lang w:eastAsia="sk-SK"/>
        </w:rPr>
        <w:t>Zákon č. 175/1999 Z. z. o niektorých opatreniach týkajúcich sa prípravy významných investícií a o doplnení niektorých zákonov v znení zákona č. 133/2004 Z. z., zákona                           č.  542/2004 Z. z., zákona č. 466/2005 Z. z. a zákona č. 219/2013 Z. z. sa mení a dopĺňa takto</w:t>
      </w:r>
      <w:r w:rsidRPr="00D747AF">
        <w:rPr>
          <w:rFonts w:ascii="Times New Roman" w:hAnsi="Times New Roman"/>
          <w:bCs/>
          <w:sz w:val="24"/>
          <w:szCs w:val="24"/>
          <w:lang w:eastAsia="cs-CZ"/>
        </w:rPr>
        <w:t>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 xml:space="preserve">1. 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V § 1 odsek 3 znie:  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„(3) Významnou investíciou je aj stavba, ktorej výstavbu bude zabezpečovať </w:t>
      </w:r>
    </w:p>
    <w:p w:rsidR="002C2B92" w:rsidRPr="00D747AF" w:rsidP="002C2B92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D747AF">
        <w:rPr>
          <w:rFonts w:ascii="Times New Roman" w:hAnsi="Times New Roman"/>
          <w:sz w:val="24"/>
          <w:szCs w:val="24"/>
        </w:rPr>
        <w:t>podnik, ak</w:t>
      </w:r>
      <w:r w:rsidRPr="00D747AF">
        <w:rPr>
          <w:rFonts w:ascii="Times New Roman" w:hAnsi="Times New Roman"/>
          <w:sz w:val="24"/>
          <w:szCs w:val="24"/>
        </w:rPr>
        <w:t xml:space="preserve"> </w:t>
      </w:r>
      <w:r w:rsidRPr="00D747AF">
        <w:rPr>
          <w:rFonts w:ascii="Times New Roman" w:hAnsi="Times New Roman"/>
          <w:sz w:val="24"/>
          <w:szCs w:val="24"/>
        </w:rPr>
        <w:t>uskutočnenie tejto stavby je nevyhnutné na zabezpečenie prevádzkovania činnosti vo významnej investícii podľa odseku 2, s ktorou technicky, technologicky alebo logisticky súvisí a vláda o nej rozhodla, že jej uskutočnenie je vo verejnom záujme alebo</w:t>
      </w:r>
    </w:p>
    <w:p w:rsidR="002C2B92" w:rsidRPr="00D747AF" w:rsidP="002C2B92">
      <w:pPr>
        <w:widowControl w:val="0"/>
        <w:numPr>
          <w:numId w:val="5"/>
        </w:numPr>
        <w:autoSpaceDE w:val="0"/>
        <w:autoSpaceDN w:val="0"/>
        <w:bidi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D747AF">
        <w:rPr>
          <w:rFonts w:ascii="Times New Roman" w:hAnsi="Times New Roman"/>
          <w:sz w:val="24"/>
          <w:szCs w:val="24"/>
        </w:rPr>
        <w:t>podnik so 100% majetkovou účasťou štátu, ak uskutočnenie tejto stavby je nevyhnutné na zabezpečenie prípravy územia na realizáciu strategického parku a vláda o nej rozhodla,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747AF">
        <w:rPr>
          <w:rFonts w:ascii="Times New Roman" w:hAnsi="Times New Roman"/>
          <w:sz w:val="24"/>
          <w:szCs w:val="24"/>
        </w:rPr>
        <w:t xml:space="preserve"> že jej uskutočnenie je vo verejnom záujme.“.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2. § 1 sa dopĺňa odsekmi 11 a 12, ktoré znejú:</w:t>
      </w:r>
    </w:p>
    <w:p w:rsidR="002C2B92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„(11) Strategickým parkom sa rozumie súhrn</w:t>
      </w:r>
    </w:p>
    <w:p w:rsidR="002C2B92" w:rsidP="002C2B92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pozemkov nachádzajúcich sa v jednom katastrálnom území alebo vo viacerých bezprostredne susediacich katastrálnych územiach, ktorých celková výmera predstavuje najmenej 250 ha a </w:t>
      </w:r>
    </w:p>
    <w:p w:rsidR="002C2B92" w:rsidP="002C2B92">
      <w:pPr>
        <w:pStyle w:val="ListParagraph"/>
        <w:widowControl w:val="0"/>
        <w:numPr>
          <w:numId w:val="9"/>
        </w:numPr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stavieb na nich sa nachádzajúcich, ktoré sú potrebné na realizáciu investícií v oblasti priemyselnej výroby, služieb,</w:t>
      </w:r>
      <w:r w:rsidRPr="002C2B92">
        <w:rPr>
          <w:rFonts w:ascii="Times New Roman" w:hAnsi="Times New Roman"/>
          <w:sz w:val="24"/>
          <w:szCs w:val="24"/>
          <w:vertAlign w:val="superscript"/>
          <w:lang w:eastAsia="sk-SK"/>
        </w:rPr>
        <w:t>2a</w:t>
      </w:r>
      <w:r>
        <w:rPr>
          <w:rFonts w:ascii="Times New Roman" w:hAnsi="Times New Roman"/>
          <w:sz w:val="24"/>
          <w:szCs w:val="24"/>
          <w:lang w:eastAsia="sk-SK"/>
        </w:rPr>
        <w:t>) činností v oblasti výskumu a vývoja.</w:t>
      </w:r>
    </w:p>
    <w:p w:rsidR="002C2B92" w:rsidRPr="009E00BB" w:rsidP="002C2B92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107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(12) Prípravou územia sú činnosti nevyhnutné na zabezpečenie realizácie strategického parku, a to</w:t>
      </w:r>
    </w:p>
    <w:p w:rsidR="002C2B92" w:rsidRPr="00D747AF" w:rsidP="002C2B92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usporiadanie vlastníckych vzťahov, </w:t>
      </w:r>
    </w:p>
    <w:p w:rsidR="002C2B92" w:rsidRPr="00D747AF" w:rsidP="002C2B92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výstavba alebo pokračovanie výstavby pozemných komunikácií, </w:t>
      </w:r>
    </w:p>
    <w:p w:rsidR="002C2B92" w:rsidRPr="00D747AF" w:rsidP="002C2B92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výstavba alebo pokračovanie výstavby dráhy alebo jej súčasti,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</w:p>
    <w:p w:rsidR="002C2B92" w:rsidRPr="00D747AF" w:rsidP="002C2B92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výstavba alebo pokračovanie výstavby súvisiacich a doplnkových stavieb a zariadení,</w:t>
      </w:r>
    </w:p>
    <w:p w:rsidR="002C2B92" w:rsidRPr="00D747AF" w:rsidP="002C2B92">
      <w:pPr>
        <w:widowControl w:val="0"/>
        <w:numPr>
          <w:numId w:val="8"/>
        </w:numPr>
        <w:autoSpaceDE w:val="0"/>
        <w:autoSpaceDN w:val="0"/>
        <w:bidi w:val="0"/>
        <w:adjustRightInd w:val="0"/>
        <w:spacing w:after="12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iné obdobné prípravné činnosti.“.</w:t>
      </w:r>
    </w:p>
    <w:p w:rsidR="002C2B92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Poznámka pod čiarou k odkazu 2a znie:</w:t>
      </w:r>
    </w:p>
    <w:p w:rsidR="002C2B92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2C2B92">
        <w:rPr>
          <w:rFonts w:ascii="Times New Roman" w:hAnsi="Times New Roman"/>
          <w:sz w:val="24"/>
          <w:szCs w:val="24"/>
          <w:vertAlign w:val="superscript"/>
          <w:lang w:eastAsia="sk-SK"/>
        </w:rPr>
        <w:t>2a</w:t>
      </w:r>
      <w:r>
        <w:rPr>
          <w:rFonts w:ascii="Times New Roman" w:hAnsi="Times New Roman"/>
          <w:sz w:val="24"/>
          <w:szCs w:val="24"/>
          <w:lang w:eastAsia="sk-SK"/>
        </w:rPr>
        <w:t>) Čl. 57 Zmluvy o fungovaní Európskej únie.“.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3. V § 2 odsek 1 znie: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„(1) Zjednodušenie usporiadania vlastníckych vzťahov podľa tohto zákona sa týka iba pozemkov a stavieb na nich, ktoré sú nevyhnutne potrebné pre podnik na uskutočnenie stavby podľa § 1 ods. 2 alebo ods. 3 vrátane súvisiacich a doplnkových stavieb a zariadení (ďalej len „podnikový pozemok“).“.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4. V § 3 ods. 1  sa slová „§ 1 ods. 3 písm. a)“ nahrádzajú slovami „§ 1 ods. 3 písm. a) alebo                 písm. b)“. 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5. V § 3 ods. 3 písmeno e) znie: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„e) údaj o sume investičných nákladov, ak ide o stavbu podľa § 1 ods. 2.“.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6. § 3 sa dopĺňa odsekmi 5 až 7, ktoré znejú: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„(5) Na pozemok a stavby na ňom, na ktorom sa má realizovať významná investícia podľa             § 1 ods. 3, vzniká zo zákona predkupné právo štátu dňom schválenia návrhu na vydanie osvedčenia o významnej investícii vládou. Predkupné právo štátu sa zapíše do katastra nehnuteľností na návrh príslušného ministerstva. Predkupné právo štátu nie je iným právom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</w:t>
      </w:r>
      <w:r w:rsidRPr="00D747AF">
        <w:rPr>
          <w:rFonts w:ascii="Times New Roman" w:hAnsi="Times New Roman"/>
          <w:sz w:val="24"/>
          <w:szCs w:val="24"/>
          <w:lang w:eastAsia="sk-SK"/>
        </w:rPr>
        <w:t>k pozemkom a stavbám.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>1d</w:t>
      </w:r>
      <w:r w:rsidRPr="00D747AF">
        <w:rPr>
          <w:rFonts w:ascii="Times New Roman" w:hAnsi="Times New Roman"/>
          <w:sz w:val="24"/>
          <w:szCs w:val="24"/>
          <w:lang w:eastAsia="sk-SK"/>
        </w:rPr>
        <w:t>)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(6) Ak sa schválenie návrhu na vydanie osvedčenia o významnej investícii vládou týka len časti pozemku, predkupné právo štátu podľa odseku 5 sa do katastra nehnuteľností zapíše na návrh príslušného ministerstva spolu s geometrickým plánom.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(7) Predkupné právo štátu podľa odseku 5 zanikne, ak sa do dvoch rokov odo dňa schválenia návrhu na vydanie osvedčenia o významnej investícii vládou nevykoná alebo ak sa nezačne vyvlastňovacie konanie.“.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Poznámka pod čiarou k odkazu 1d znie:       </w:t>
      </w:r>
    </w:p>
    <w:p w:rsidR="002C2B92" w:rsidRPr="00D747AF" w:rsidP="002C2B92">
      <w:pPr>
        <w:bidi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„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>1d</w:t>
      </w:r>
      <w:r w:rsidRPr="00D747AF">
        <w:rPr>
          <w:rFonts w:ascii="Times New Roman" w:hAnsi="Times New Roman"/>
          <w:sz w:val="24"/>
          <w:szCs w:val="24"/>
          <w:lang w:eastAsia="sk-SK"/>
        </w:rPr>
        <w:t>) § 139 ods. 1 zákona č. 50/1976 Zb. v znení neskorších predpisov.“.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7. § 4 sa dopĺňa odsekmi 4 až 6, ktoré znejú: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 xml:space="preserve">„(4) Písomný návrh </w:t>
      </w:r>
      <w:r w:rsidRPr="00D747AF">
        <w:rPr>
          <w:rFonts w:ascii="Times New Roman" w:hAnsi="Times New Roman"/>
          <w:sz w:val="24"/>
          <w:szCs w:val="24"/>
          <w:lang w:eastAsia="sk-SK"/>
        </w:rPr>
        <w:t>podniku</w:t>
      </w:r>
      <w:r w:rsidRPr="00D747AF">
        <w:rPr>
          <w:rFonts w:ascii="Times New Roman" w:hAnsi="Times New Roman"/>
          <w:bCs/>
          <w:sz w:val="24"/>
          <w:szCs w:val="24"/>
          <w:lang w:eastAsia="sk-SK"/>
        </w:rPr>
        <w:t xml:space="preserve"> na </w:t>
      </w:r>
      <w:r w:rsidRPr="00D747AF">
        <w:rPr>
          <w:rFonts w:ascii="Times New Roman" w:hAnsi="Times New Roman"/>
          <w:sz w:val="24"/>
          <w:szCs w:val="24"/>
          <w:lang w:eastAsia="sk-SK"/>
        </w:rPr>
        <w:t>uzavretie dohody o prevode vlastníckeho práva                                     k podnikovému pozemku, ktorý obsahuje náležitosti podľa osobitného predpisu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>4a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) sa doručuje do vlastných rúk vlastníkovi nehnuteľnosti alebo jeho splnomocnencovi na preberanie zásielok, oprávnenému z vecného bremena alebo jeho splnomocnencovi na preberanie zásielok, a to prostredníctvom poštového podniku ako doporučená zásielka s doručenkou a poznámkou „do vlastných rúk“. Súčasťou písomného návrhu je upozornenie, že ak na návrh vlastník nehnuteľnosti alebo oprávnený z vecného bremena nereaguje písomne do 15 dní odo dňa doručenia, považuje sa návrh na uzavretie dohody za odmietnutý a bude možné konať podľa § 4a. </w:t>
      </w:r>
    </w:p>
    <w:p w:rsidR="002C2B92" w:rsidRPr="00460924" w:rsidP="002C2B92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(5) </w:t>
      </w:r>
      <w:r w:rsidRPr="00076E2B">
        <w:rPr>
          <w:rFonts w:ascii="Times New Roman" w:hAnsi="Times New Roman"/>
          <w:sz w:val="24"/>
          <w:szCs w:val="24"/>
          <w:lang w:eastAsia="sk-SK"/>
        </w:rPr>
        <w:t xml:space="preserve">Ak nebol adresát písomnosti, ktorá sa má doručiť do vlastných rúk, zastihnutý, hoci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076E2B">
        <w:rPr>
          <w:rFonts w:ascii="Times New Roman" w:hAnsi="Times New Roman"/>
          <w:sz w:val="24"/>
          <w:szCs w:val="24"/>
          <w:lang w:eastAsia="sk-SK"/>
        </w:rPr>
        <w:t xml:space="preserve">sa v mieste doručenia zdržiava, doručovateľ ho upovedomí, že písomnosť príde znovu doručiť v určený deň a hodinu. Ak nový pokus o doručenie zostane bezvýsledný, doručovateľ uloží písomnosť na pošte a adresáta o tom upovedomí. Ak si adresát nevyzdvihne písomnosť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</w:t>
      </w:r>
      <w:r w:rsidRPr="00076E2B">
        <w:rPr>
          <w:rFonts w:ascii="Times New Roman" w:hAnsi="Times New Roman"/>
          <w:sz w:val="24"/>
          <w:szCs w:val="24"/>
          <w:lang w:eastAsia="sk-SK"/>
        </w:rPr>
        <w:t>do troch dní od uloženia, posledný deň tejto lehoty sa považuje za deň doručenia, aj keď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</w:t>
      </w:r>
      <w:r w:rsidRPr="00076E2B">
        <w:rPr>
          <w:rFonts w:ascii="Times New Roman" w:hAnsi="Times New Roman"/>
          <w:sz w:val="24"/>
          <w:szCs w:val="24"/>
          <w:lang w:eastAsia="sk-SK"/>
        </w:rPr>
        <w:t xml:space="preserve"> sa adresát o uložení nedozvedel. Ak nemožno doručiť písomnosť právnickej osobe na adresu, ktorú uviedla alebo je známa, ani na adresu jej sídla uvedenú v obchodnom registri alebo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</w:t>
      </w:r>
      <w:r w:rsidRPr="00076E2B">
        <w:rPr>
          <w:rFonts w:ascii="Times New Roman" w:hAnsi="Times New Roman"/>
          <w:sz w:val="24"/>
          <w:szCs w:val="24"/>
          <w:lang w:eastAsia="sk-SK"/>
        </w:rPr>
        <w:t xml:space="preserve"> v inom registri, v ktorom je zapísaná, a jej iná adresa nie je podniku známa, písomnosť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  <w:r w:rsidRPr="00076E2B">
        <w:rPr>
          <w:rFonts w:ascii="Times New Roman" w:hAnsi="Times New Roman"/>
          <w:sz w:val="24"/>
          <w:szCs w:val="24"/>
          <w:lang w:eastAsia="sk-SK"/>
        </w:rPr>
        <w:t xml:space="preserve">sa považuje po troch dňoch od vrátenia nedoručenej zásielky podniku za doručenú,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</w:t>
      </w:r>
      <w:r w:rsidRPr="00076E2B">
        <w:rPr>
          <w:rFonts w:ascii="Times New Roman" w:hAnsi="Times New Roman"/>
          <w:sz w:val="24"/>
          <w:szCs w:val="24"/>
          <w:lang w:eastAsia="sk-SK"/>
        </w:rPr>
        <w:t>a to aj vtedy, ak ten, kto je oprávnený konať za právnickú osobu, sa o tom nedozvie.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 (6) Ak vlastník nehnuteľnosti alebo oprávnený z vecného bremena príjme návrh na uzavretie dohody zo strany podniku, podnik znáša náklady spojené s jej uzavretím a náklady súvisiace s vkladom do katastra nehnuteľností, najmä odmenu notára a správne poplatky.“. </w:t>
      </w:r>
    </w:p>
    <w:p w:rsidR="002C2B92" w:rsidRPr="00D747AF" w:rsidP="002C2B92">
      <w:pPr>
        <w:bidi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Poznámka pod čiarou k odkazu 4a znie:</w:t>
      </w:r>
    </w:p>
    <w:p w:rsidR="002C2B92" w:rsidRPr="00D747AF" w:rsidP="002C2B92">
      <w:pPr>
        <w:bidi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>4a</w:t>
      </w:r>
      <w:r w:rsidRPr="00D747AF">
        <w:rPr>
          <w:rFonts w:ascii="Times New Roman" w:hAnsi="Times New Roman"/>
          <w:sz w:val="24"/>
          <w:szCs w:val="24"/>
          <w:lang w:eastAsia="sk-SK"/>
        </w:rPr>
        <w:t>) § 112 ods. 3 a 4 zákona č. 50/1976 Zb.“.</w:t>
      </w:r>
    </w:p>
    <w:p w:rsidR="002C2B92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8. Za § 4 sa vkladá § 4a, ktorý vrátane nadpisu znie:</w:t>
      </w:r>
    </w:p>
    <w:p w:rsidR="002C2B92" w:rsidRPr="00D747AF" w:rsidP="002C2B92">
      <w:pPr>
        <w:bidi w:val="0"/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br/>
        <w:t>„§ 4a</w:t>
      </w:r>
    </w:p>
    <w:p w:rsidR="002C2B92" w:rsidRPr="00D747AF" w:rsidP="002C2B92">
      <w:pPr>
        <w:bidi w:val="0"/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>Prechod vlastníctva</w:t>
      </w:r>
    </w:p>
    <w:p w:rsidR="002C2B92" w:rsidRPr="00D747AF" w:rsidP="002C2B92">
      <w:pPr>
        <w:bidi w:val="0"/>
        <w:spacing w:after="0" w:line="240" w:lineRule="auto"/>
        <w:jc w:val="center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RPr="00D747AF" w:rsidP="002C2B92">
      <w:pPr>
        <w:numPr>
          <w:numId w:val="2"/>
        </w:numPr>
        <w:bidi w:val="0"/>
        <w:spacing w:after="120" w:line="240" w:lineRule="auto"/>
        <w:ind w:left="357" w:hanging="357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Na účel realizácie významnej investície možno za náhradu pozemok alebo stavbu vyvlastniť alebo vlastnícke právo k  pozemku alebo stavbe obmedziť, ak je to vo verejnom záujme a nie je možné nadobudnúť právo k  pozemku alebo stavbe dohodou. Ak tento zákon neustanovuje inak, vzťahuje sa na vyvlastnenie všeobecný predpis o vyvlastňovaní.</w:t>
      </w:r>
      <w:r w:rsidRPr="00D747AF">
        <w:rPr>
          <w:rFonts w:ascii="Times New Roman" w:hAnsi="Times New Roman"/>
        </w:rPr>
        <w:t xml:space="preserve"> </w:t>
      </w:r>
      <w:r w:rsidRPr="00D747AF">
        <w:rPr>
          <w:rFonts w:ascii="Times New Roman" w:hAnsi="Times New Roman"/>
          <w:sz w:val="24"/>
          <w:szCs w:val="24"/>
        </w:rPr>
        <w:t xml:space="preserve">Ak ku dňu začatia vyvlastňovacieho konania nie je schválený územný plán obce, alebo ak v schválenom územnom pláne obce alebo v územnom rozhodnutí nie je územie určené na umiestnenie a realizáciu významnej investície, podkladom na vydanie rozhodnutia o vyvlastnení je osvedčenie podľa § 3. </w:t>
      </w:r>
    </w:p>
    <w:p w:rsidR="002C2B92" w:rsidRPr="00D747AF" w:rsidP="002C2B92">
      <w:pPr>
        <w:tabs>
          <w:tab w:val="left" w:pos="398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 xml:space="preserve">(2) Bezvýslednosť </w:t>
      </w:r>
      <w:r w:rsidRPr="00D747AF">
        <w:rPr>
          <w:rFonts w:ascii="Times New Roman" w:hAnsi="Times New Roman"/>
          <w:sz w:val="24"/>
          <w:szCs w:val="24"/>
          <w:lang w:eastAsia="sk-SK"/>
        </w:rPr>
        <w:t>pokusu nadobudnúť právo k nehnuteľnosti dohodou podľa § 4 ods. 4 až 6 sa preukazuje písomným</w:t>
      </w:r>
    </w:p>
    <w:p w:rsidR="002C2B92" w:rsidRPr="00D747AF" w:rsidP="002C2B92">
      <w:pPr>
        <w:numPr>
          <w:numId w:val="3"/>
        </w:numPr>
        <w:tabs>
          <w:tab w:val="left" w:pos="426"/>
        </w:tabs>
        <w:bidi w:val="0"/>
        <w:spacing w:after="0" w:line="240" w:lineRule="auto"/>
        <w:ind w:left="426" w:hanging="426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>odmietnutím návrhu na uzavretie dohody vlastníkom nehnuteľnosti alebo oprávneným z vecného bremena alebo</w:t>
      </w:r>
    </w:p>
    <w:p w:rsidR="002C2B92" w:rsidRPr="00D747AF" w:rsidP="002C2B92">
      <w:pPr>
        <w:numPr>
          <w:numId w:val="3"/>
        </w:numPr>
        <w:tabs>
          <w:tab w:val="left" w:pos="993"/>
        </w:tabs>
        <w:bidi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 xml:space="preserve">potvrdením o zaslaní a o doručení návrhu na uzavretie dohody vlastníkovi nehnuteľnosti, alebo oprávnenému z vecného bremena, najmä doručenkou, ak vlastník nehnuteľnosti alebo oprávnený z vecného bremena neodpovedal v lehote 15 dní odo dňa doručenia návrhu na uzavretie dohody. </w:t>
      </w:r>
    </w:p>
    <w:p w:rsidR="002C2B92" w:rsidRPr="00D747AF" w:rsidP="002C2B92">
      <w:pPr>
        <w:tabs>
          <w:tab w:val="left" w:pos="398"/>
        </w:tabs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(3) Splnenie podmienky podľa odseku 2 sa nevyžaduje, ak je </w:t>
      </w:r>
    </w:p>
    <w:p w:rsidR="002C2B92" w:rsidRPr="00D747AF" w:rsidP="002C2B92">
      <w:pPr>
        <w:numPr>
          <w:numId w:val="4"/>
        </w:numPr>
        <w:tabs>
          <w:tab w:val="left" w:pos="-5670"/>
        </w:tabs>
        <w:bidi w:val="0"/>
        <w:spacing w:after="0" w:line="240" w:lineRule="auto"/>
        <w:ind w:left="426" w:hanging="426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>vlastník nehnuteľnosti, alebo oprávnený z vecného bremena neznámy alebo ak nie je známy jeho pobyt,</w:t>
      </w:r>
    </w:p>
    <w:p w:rsidR="002C2B92" w:rsidRPr="00D747AF" w:rsidP="002C2B92">
      <w:pPr>
        <w:numPr>
          <w:numId w:val="4"/>
        </w:numPr>
        <w:tabs>
          <w:tab w:val="left" w:pos="-5670"/>
        </w:tabs>
        <w:bidi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>vlastník nehnuteľnosti, alebo oprávnený z vecného bremena obmedzený v zmluvnej voľnosti zákonmi, rozhodnutím súdu alebo rozhodnutím iného orgánu verejnej moci, ktorým sa mu zakazuje previesť vlastnícke právo k pozemku alebo ku stavbe na iného alebo</w:t>
      </w:r>
    </w:p>
    <w:p w:rsidR="002C2B92" w:rsidRPr="00D747AF" w:rsidP="002C2B92">
      <w:pPr>
        <w:numPr>
          <w:numId w:val="4"/>
        </w:numPr>
        <w:tabs>
          <w:tab w:val="left" w:pos="-5670"/>
        </w:tabs>
        <w:bidi w:val="0"/>
        <w:spacing w:after="120" w:line="240" w:lineRule="auto"/>
        <w:ind w:left="425" w:hanging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hodnovernosť údajov </w:t>
      </w:r>
      <w:r w:rsidRPr="00D747AF">
        <w:rPr>
          <w:rFonts w:ascii="Times New Roman" w:hAnsi="Times New Roman"/>
          <w:sz w:val="24"/>
          <w:szCs w:val="24"/>
        </w:rPr>
        <w:t>v katastri nehnuteľností spochybnená podľa osobitného                     predpisu.</w:t>
      </w:r>
      <w:r>
        <w:rPr>
          <w:rFonts w:ascii="Times New Roman" w:hAnsi="Times New Roman"/>
          <w:sz w:val="24"/>
          <w:szCs w:val="24"/>
          <w:vertAlign w:val="superscript"/>
        </w:rPr>
        <w:t>4b</w:t>
      </w:r>
      <w:r w:rsidRPr="00D747AF">
        <w:rPr>
          <w:rFonts w:ascii="Times New Roman" w:hAnsi="Times New Roman"/>
          <w:sz w:val="24"/>
          <w:szCs w:val="24"/>
        </w:rPr>
        <w:t>)</w:t>
      </w:r>
    </w:p>
    <w:p w:rsidR="002C2B92" w:rsidRPr="00D747AF" w:rsidP="002C2B92">
      <w:pPr>
        <w:tabs>
          <w:tab w:val="left" w:pos="-5670"/>
        </w:tabs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(4) Ak vo vyvlastňovacom konaní nedôjde medzi účastníkmi k dohode o sume  náhrady za vyvlastnenie, správny orgán v rozhodnutí o vyvlastnení určí náhradu za vyvlastnenie v sume zodpovedajúcej všeobecnej hodnote určenej na základe znaleckého posudku. S požiadavkou na vyššiu náhradu za vyvlastnenie odkáže vyvlastneného bez prerušenia konania na súd. Požiadavku na vyššiu náhradu voči podniku možno uplatniť na súde v lehote jedného roka odo dňa právoplatnosti rozhodnutia o vyvlastnení, inak toto právo zanikne.“. </w:t>
      </w:r>
    </w:p>
    <w:p w:rsidR="002C2B92" w:rsidRPr="00D747AF" w:rsidP="002C2B92">
      <w:pPr>
        <w:tabs>
          <w:tab w:val="left" w:pos="-567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Poznámka pod čiarou k odkazu </w:t>
      </w:r>
      <w:r>
        <w:rPr>
          <w:rFonts w:ascii="Times New Roman" w:hAnsi="Times New Roman"/>
          <w:sz w:val="24"/>
          <w:szCs w:val="24"/>
          <w:lang w:eastAsia="sk-SK"/>
        </w:rPr>
        <w:t>4b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 znie:       </w:t>
      </w:r>
    </w:p>
    <w:p w:rsidR="002C2B92" w:rsidRPr="00D747AF" w:rsidP="002C2B92">
      <w:pPr>
        <w:tabs>
          <w:tab w:val="left" w:pos="-567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„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4b</w:t>
      </w:r>
      <w:r w:rsidRPr="00D747AF">
        <w:rPr>
          <w:rFonts w:ascii="Times New Roman" w:hAnsi="Times New Roman"/>
          <w:sz w:val="24"/>
          <w:szCs w:val="24"/>
          <w:lang w:eastAsia="sk-SK"/>
        </w:rPr>
        <w:t>) § 70 zákona Národnej rady Slovenskej republiky č. 162/1995 Z. z.</w:t>
      </w:r>
      <w:r w:rsidRPr="00D747AF">
        <w:t xml:space="preserve"> 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o katastri nehnuteľností a o zápise vlastníckych a iných práv k nehnuteľnostiam (katastrálny zákon)                             v znení neskorších predpisov.”. </w:t>
      </w:r>
    </w:p>
    <w:p w:rsidR="002C2B92" w:rsidRPr="00D747AF" w:rsidP="002C2B92">
      <w:pPr>
        <w:tabs>
          <w:tab w:val="left" w:pos="-567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9. V § 5 sa slová „§ 1 ods. 2 písm. c)“ nahrádzajú slovami „§ 1 ods. 2 písm. c) alebo ods. 3“.</w:t>
      </w:r>
    </w:p>
    <w:p w:rsidR="002C2B92" w:rsidRPr="00D747AF" w:rsidP="002C2B92">
      <w:pPr>
        <w:bidi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RPr="00D747AF" w:rsidP="002C2B92">
      <w:pPr>
        <w:bidi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>10. Za § 6a sa vkladá § 6b, ktorý vrátane nadpisu znie:</w:t>
      </w:r>
    </w:p>
    <w:p w:rsidR="002C2B92" w:rsidRPr="00D747AF" w:rsidP="002C2B92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>„§ 6b</w:t>
      </w:r>
    </w:p>
    <w:p w:rsidR="002C2B92" w:rsidRPr="00D747AF" w:rsidP="002C2B92">
      <w:pPr>
        <w:bidi w:val="0"/>
        <w:spacing w:after="24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 xml:space="preserve">Prechodné ustanovenia </w:t>
      </w:r>
    </w:p>
    <w:p w:rsidR="002C2B92" w:rsidRPr="00D747AF" w:rsidP="002C2B92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>Osvedčenia vydané pred účinnosťou tohto zákona zostávajú v platnosti podľa doterajších predpisov.</w:t>
      </w:r>
    </w:p>
    <w:p w:rsidR="002C2B92" w:rsidRPr="00D747AF" w:rsidP="002C2B92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 xml:space="preserve"> Konania začaté a právoplatne neskončené pred  účinnosťou tohto zákona sa dokončia podľa doterajších predpisov.</w:t>
      </w:r>
    </w:p>
    <w:p w:rsidR="002C2B92" w:rsidRPr="00D747AF" w:rsidP="002C2B92">
      <w:pPr>
        <w:numPr>
          <w:numId w:val="6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 xml:space="preserve">Na významnú investíciu, na ktorú bolo vydané osvedčenie o významnej investícii pred účinnosťou tohto zákona, sa použijú doterajšie predpisy.“.  </w:t>
      </w:r>
    </w:p>
    <w:p w:rsidR="002C2B92" w:rsidP="002C2B92">
      <w:pPr>
        <w:bidi w:val="0"/>
        <w:spacing w:after="12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C2B92" w:rsidRPr="00D747AF" w:rsidP="002C2B92">
      <w:pPr>
        <w:bidi w:val="0"/>
        <w:spacing w:after="12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>Čl. II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Zákon č. 50/1976 Zb. o územnom plánovaní a stavebnom poriadku (stavebný zákon)                   v znení </w:t>
      </w:r>
      <w:r>
        <w:rPr>
          <w:rFonts w:ascii="Times New Roman" w:hAnsi="Times New Roman"/>
          <w:sz w:val="24"/>
          <w:szCs w:val="24"/>
          <w:lang w:eastAsia="sk-SK"/>
        </w:rPr>
        <w:t xml:space="preserve">zákona č. 139/1982 Zb., </w:t>
      </w:r>
      <w:r w:rsidRPr="00D747AF">
        <w:rPr>
          <w:rFonts w:ascii="Times New Roman" w:hAnsi="Times New Roman"/>
          <w:sz w:val="24"/>
          <w:szCs w:val="24"/>
          <w:lang w:eastAsia="sk-SK"/>
        </w:rPr>
        <w:t>zákona č. 103/1990 Zb., zákona č. 262/1992 Zb., zákona Národnej rady Slovenskej republiky č. 136/1995 Z. z., zákona Národnej rady Slovenskej republiky č.  199/1995 Z. z., nálezu Ústavného súdu Slovenskej republiky č. 286/1996 Z. z., zákona  č. 229/1997 Z. z., zákona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č. 175/1999 Z. z., zákona č. 237/2000 Z. z., zákona č. 416/2001 Z. z., zákona č. 553/2001 Z. z., nálezu Ústavného súdu Slovenskej republiky č. 217/2002 Z. z., zákona č. 103/2003 Z. z., zákona č. 245/2003 Z. z., zákona č. 417/2003 Z. z. 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z., zákona č. 408/2011 Z. z., zákona č. 300/2012 Z. z., zákona č. 180/2013 Z. z., zákona č. 219/2013 Z. z., </w:t>
      </w:r>
      <w:r>
        <w:rPr>
          <w:rFonts w:ascii="Times New Roman" w:hAnsi="Times New Roman"/>
          <w:sz w:val="24"/>
          <w:szCs w:val="24"/>
          <w:lang w:eastAsia="sk-SK"/>
        </w:rPr>
        <w:t xml:space="preserve">zákona č. 368/2013 Z. z., </w:t>
      </w:r>
      <w:r w:rsidRPr="00D747AF">
        <w:rPr>
          <w:rFonts w:ascii="Times New Roman" w:hAnsi="Times New Roman"/>
          <w:sz w:val="24"/>
          <w:szCs w:val="24"/>
          <w:lang w:eastAsia="sk-SK"/>
        </w:rPr>
        <w:t>zákona č. 293/2014 Z.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/>
          <w:sz w:val="24"/>
          <w:szCs w:val="24"/>
          <w:lang w:eastAsia="sk-SK"/>
        </w:rPr>
        <w:t>a zákona č. 314/2014 Z. z. sa mení a dopĺňa takto:</w:t>
      </w:r>
    </w:p>
    <w:p w:rsidR="002C2B92" w:rsidRPr="00D747AF" w:rsidP="002C2B92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C2B92" w:rsidRPr="00D747AF" w:rsidP="002C2B92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right="-432"/>
        <w:contextualSpacing/>
        <w:jc w:val="both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>V § 58 ods. 2  sa  za prvú vetu vkladá nová druhá veta, ktorá znie: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line="240" w:lineRule="auto"/>
        <w:ind w:left="360"/>
        <w:contextualSpacing/>
        <w:jc w:val="both"/>
        <w:rPr>
          <w:rFonts w:ascii="Times New Roman" w:hAnsi="Times New Roman" w:cs="Mangal"/>
          <w:iCs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</w:rPr>
        <w:t>„</w:t>
      </w:r>
      <w:r w:rsidRPr="00D747AF">
        <w:rPr>
          <w:rFonts w:ascii="Times New Roman" w:hAnsi="Times New Roman" w:cs="Mangal"/>
          <w:iCs/>
          <w:sz w:val="24"/>
          <w:szCs w:val="24"/>
          <w:lang w:eastAsia="sk-SK"/>
        </w:rPr>
        <w:t xml:space="preserve">Stavebník </w:t>
      </w:r>
      <w:r w:rsidRPr="00D747AF">
        <w:rPr>
          <w:rFonts w:ascii="Times New Roman" w:hAnsi="Times New Roman" w:cs="Mangal"/>
          <w:iCs/>
          <w:sz w:val="24"/>
          <w:szCs w:val="24"/>
        </w:rPr>
        <w:t>významnej investície, diaľnice,  rýchlostnej cesty alebo železničnej dráhy</w:t>
      </w:r>
      <w:r w:rsidRPr="00D747AF">
        <w:rPr>
          <w:rFonts w:ascii="Times New Roman" w:hAnsi="Times New Roman" w:cs="Mangal"/>
          <w:iCs/>
          <w:sz w:val="24"/>
          <w:szCs w:val="24"/>
          <w:lang w:eastAsia="sk-SK"/>
        </w:rPr>
        <w:t xml:space="preserve"> preukazuje, že je vlastníkom pozemku alebo že má k pozemku iné právo podľa </w:t>
      </w:r>
      <w:r>
        <w:rPr>
          <w:rFonts w:ascii="Times New Roman" w:hAnsi="Times New Roman" w:cs="Mangal"/>
          <w:iCs/>
          <w:sz w:val="24"/>
          <w:szCs w:val="24"/>
          <w:lang w:eastAsia="sk-SK"/>
        </w:rPr>
        <w:t xml:space="preserve">                            </w:t>
      </w:r>
      <w:r w:rsidRPr="00D747AF">
        <w:rPr>
          <w:rFonts w:ascii="Times New Roman" w:hAnsi="Times New Roman" w:cs="Mangal"/>
          <w:iCs/>
          <w:sz w:val="24"/>
          <w:szCs w:val="24"/>
          <w:lang w:eastAsia="sk-SK"/>
        </w:rPr>
        <w:t>§ 139 ods. 1 pred vydaním stavebného povolenia.“.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line="240" w:lineRule="auto"/>
        <w:ind w:left="360" w:right="-432"/>
        <w:contextualSpacing/>
        <w:jc w:val="both"/>
        <w:rPr>
          <w:rFonts w:ascii="Times New Roman" w:hAnsi="Times New Roman"/>
          <w:sz w:val="24"/>
          <w:szCs w:val="24"/>
        </w:rPr>
      </w:pPr>
    </w:p>
    <w:p w:rsidR="002C2B92" w:rsidRPr="00D747AF" w:rsidP="002C2B92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747AF">
        <w:rPr>
          <w:rFonts w:ascii="Times New Roman" w:hAnsi="Times New Roman"/>
          <w:sz w:val="24"/>
          <w:szCs w:val="24"/>
        </w:rPr>
        <w:t>V § 110 ods. 2 prvej vete sa na konci bodka nahrádza čiarkou a pripájajú sa tieto slová: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 „ak osobitný predpis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>10jba</w:t>
      </w:r>
      <w:r w:rsidRPr="00D747AF">
        <w:rPr>
          <w:rFonts w:ascii="Times New Roman" w:hAnsi="Times New Roman"/>
          <w:sz w:val="24"/>
          <w:szCs w:val="24"/>
          <w:lang w:eastAsia="sk-SK"/>
        </w:rPr>
        <w:t>) neustanovuje inak.“.“.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Poznámka pod čiarou k odkazu 10jba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747AF">
        <w:rPr>
          <w:rFonts w:ascii="Times New Roman" w:hAnsi="Times New Roman"/>
          <w:sz w:val="24"/>
          <w:szCs w:val="24"/>
          <w:lang w:eastAsia="sk-SK"/>
        </w:rPr>
        <w:t>znie: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>„</w:t>
      </w:r>
      <w:r w:rsidRPr="00D747AF">
        <w:rPr>
          <w:rFonts w:ascii="Times New Roman" w:hAnsi="Times New Roman"/>
          <w:sz w:val="24"/>
          <w:szCs w:val="24"/>
          <w:vertAlign w:val="superscript"/>
          <w:lang w:eastAsia="sk-SK"/>
        </w:rPr>
        <w:t>10jba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) § 4a ods. 1 zákona č. 175/1999 Z. z. o niektorých opatreniach týkajúcich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</w:t>
      </w:r>
      <w:r w:rsidRPr="00D747AF">
        <w:rPr>
          <w:rFonts w:ascii="Times New Roman" w:hAnsi="Times New Roman"/>
          <w:sz w:val="24"/>
          <w:szCs w:val="24"/>
          <w:lang w:eastAsia="sk-SK"/>
        </w:rPr>
        <w:t xml:space="preserve">sa významných investícií a o zmene a doplnení niektorých zákonov v znení zákona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                 </w:t>
      </w:r>
      <w:r w:rsidRPr="00D747AF">
        <w:rPr>
          <w:rFonts w:ascii="Times New Roman" w:hAnsi="Times New Roman"/>
          <w:sz w:val="24"/>
          <w:szCs w:val="24"/>
          <w:lang w:eastAsia="sk-SK"/>
        </w:rPr>
        <w:t>č. ...../2015 Z. z.”.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u-HU" w:eastAsia="sk-SK"/>
        </w:rPr>
      </w:pPr>
    </w:p>
    <w:p w:rsidR="002C2B92" w:rsidRPr="00D747AF" w:rsidP="002C2B92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D747AF">
        <w:rPr>
          <w:rFonts w:ascii="Times New Roman" w:hAnsi="Times New Roman"/>
          <w:sz w:val="24"/>
          <w:szCs w:val="24"/>
        </w:rPr>
        <w:t>Za § 142d sa vkladá § 142e, ktorý vrátane nadpisu znie: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„§ 142e 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Prechodné ustanovenie 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t xml:space="preserve">Vyvlastňovacie konania začaté a právoplatne neskončené pred účinnosťou tohto zákona, </w:t>
      </w:r>
      <w:r>
        <w:rPr>
          <w:rFonts w:ascii="Times New Roman" w:hAnsi="Times New Roman"/>
          <w:sz w:val="24"/>
          <w:szCs w:val="24"/>
          <w:lang w:eastAsia="sk-SK"/>
        </w:rPr>
        <w:t xml:space="preserve">                   </w:t>
      </w:r>
      <w:r w:rsidRPr="00D747AF">
        <w:rPr>
          <w:rFonts w:ascii="Times New Roman" w:hAnsi="Times New Roman"/>
          <w:sz w:val="24"/>
          <w:szCs w:val="24"/>
          <w:lang w:eastAsia="sk-SK"/>
        </w:rPr>
        <w:t>sa dokončia podľa doterajších predpisov.“.</w:t>
      </w:r>
    </w:p>
    <w:p w:rsidR="002C2B92" w:rsidRPr="00D747AF" w:rsidP="002C2B92">
      <w:pPr>
        <w:widowControl w:val="0"/>
        <w:autoSpaceDE w:val="0"/>
        <w:autoSpaceDN w:val="0"/>
        <w:bidi w:val="0"/>
        <w:adjustRightInd w:val="0"/>
        <w:spacing w:after="0" w:line="240" w:lineRule="auto"/>
        <w:ind w:right="-432"/>
        <w:rPr>
          <w:rFonts w:ascii="Times New Roman" w:hAnsi="Times New Roman"/>
          <w:sz w:val="24"/>
          <w:szCs w:val="24"/>
          <w:lang w:eastAsia="sk-SK"/>
        </w:rPr>
      </w:pPr>
    </w:p>
    <w:p w:rsidR="002C2B92" w:rsidRPr="00D747AF" w:rsidP="002C2B92">
      <w:pPr>
        <w:bidi w:val="0"/>
        <w:spacing w:after="12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D747AF">
        <w:rPr>
          <w:rFonts w:ascii="Times New Roman" w:hAnsi="Times New Roman"/>
          <w:sz w:val="24"/>
          <w:szCs w:val="24"/>
          <w:lang w:eastAsia="sk-SK"/>
        </w:rPr>
        <w:br/>
      </w:r>
      <w:r w:rsidRPr="00D747AF">
        <w:rPr>
          <w:rFonts w:ascii="Times New Roman" w:hAnsi="Times New Roman"/>
          <w:bCs/>
          <w:sz w:val="24"/>
          <w:szCs w:val="24"/>
          <w:lang w:eastAsia="sk-SK"/>
        </w:rPr>
        <w:t>Čl. III</w:t>
      </w:r>
    </w:p>
    <w:p w:rsidR="002C2B92" w:rsidRPr="00D747AF" w:rsidP="002C2B92">
      <w:pPr>
        <w:bidi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747AF">
        <w:rPr>
          <w:rFonts w:ascii="Times New Roman" w:hAnsi="Times New Roman"/>
          <w:bCs/>
          <w:sz w:val="24"/>
          <w:szCs w:val="24"/>
          <w:lang w:eastAsia="sk-SK"/>
        </w:rPr>
        <w:t>Tento zákon nadobúda účinnosť dňom vyhlásenia.</w:t>
      </w:r>
    </w:p>
    <w:p w:rsidR="002C2B92" w:rsidP="002C2B9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bookmarkStart w:id="2" w:name="f_5075992"/>
      <w:bookmarkStart w:id="3" w:name="f_5075998"/>
      <w:bookmarkStart w:id="4" w:name="f_5076025"/>
      <w:bookmarkStart w:id="5" w:name="f_5076026"/>
      <w:bookmarkStart w:id="6" w:name="f_5076027"/>
      <w:bookmarkStart w:id="7" w:name="f_5076028"/>
      <w:bookmarkStart w:id="8" w:name="f_5076029"/>
      <w:bookmarkStart w:id="9" w:name="f_5076030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C2B92" w:rsidP="002C2B9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P="002C2B9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RPr="00CB7CB6" w:rsidP="002C2B92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B7CB6">
        <w:rPr>
          <w:rFonts w:ascii="Times New Roman" w:hAnsi="Times New Roman"/>
          <w:sz w:val="24"/>
          <w:szCs w:val="24"/>
        </w:rPr>
        <w:t>prezident Slovenskej republiky</w:t>
      </w: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B7CB6">
        <w:rPr>
          <w:rFonts w:ascii="Times New Roman" w:hAnsi="Times New Roman"/>
          <w:sz w:val="24"/>
          <w:szCs w:val="24"/>
        </w:rPr>
        <w:t>predseda Národnej rady Slovenskej republiky</w:t>
      </w: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rPr>
          <w:rFonts w:ascii="Times New Roman" w:hAnsi="Times New Roman"/>
          <w:sz w:val="24"/>
          <w:szCs w:val="24"/>
        </w:rPr>
      </w:pPr>
    </w:p>
    <w:p w:rsidR="002C2B92" w:rsidRPr="00CB7CB6" w:rsidP="002C2B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B7CB6">
        <w:rPr>
          <w:rFonts w:ascii="Times New Roman" w:hAnsi="Times New Roman"/>
          <w:sz w:val="24"/>
          <w:szCs w:val="24"/>
        </w:rPr>
        <w:t>predseda vlády Slovenskej republiky</w:t>
      </w:r>
    </w:p>
    <w:p w:rsidR="002C2B92" w:rsidP="002C2B92">
      <w:pPr>
        <w:bidi w:val="0"/>
        <w:spacing w:after="0" w:line="240" w:lineRule="auto"/>
      </w:pPr>
    </w:p>
    <w:p w:rsidR="00AB388D">
      <w:pPr>
        <w:bidi w:val="0"/>
      </w:pPr>
    </w:p>
    <w:sectPr w:rsidSect="00CB7CB6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>
    <w:pPr>
      <w:pStyle w:val="Footer"/>
      <w:framePr w:vAnchor="text" w:hAnchor="margin" w:xAlign="right"/>
      <w:bidi w:val="0"/>
      <w:rPr>
        <w:rStyle w:val="PageNumber"/>
      </w:rPr>
    </w:pPr>
    <w:r w:rsidR="001A2E89">
      <w:rPr>
        <w:rStyle w:val="PageNumber"/>
      </w:rPr>
      <w:fldChar w:fldCharType="begin"/>
    </w:r>
    <w:r w:rsidR="001A2E89">
      <w:rPr>
        <w:rStyle w:val="PageNumber"/>
      </w:rPr>
      <w:instrText xml:space="preserve">PAGE  </w:instrText>
    </w:r>
    <w:r w:rsidR="001A2E89">
      <w:rPr>
        <w:rStyle w:val="PageNumber"/>
      </w:rPr>
      <w:fldChar w:fldCharType="separate"/>
    </w:r>
    <w:r w:rsidR="001A2E89">
      <w:rPr>
        <w:rStyle w:val="PageNumber"/>
      </w:rPr>
      <w:fldChar w:fldCharType="end"/>
    </w:r>
  </w:p>
  <w:p w:rsidR="0077732C">
    <w:pPr>
      <w:pStyle w:val="Footer"/>
      <w:bidi w:val="0"/>
      <w:ind w:right="360"/>
    </w:pPr>
  </w:p>
  <w:p w:rsidR="0077732C">
    <w:pPr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B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2C2B92">
      <w:rPr>
        <w:noProof/>
      </w:rPr>
      <w:t>5</w:t>
    </w:r>
    <w:r>
      <w:fldChar w:fldCharType="end"/>
    </w:r>
  </w:p>
  <w:p w:rsidR="0077732C">
    <w:pPr>
      <w:pStyle w:val="Footer"/>
      <w:bidi w:val="0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>
    <w:pPr>
      <w:pStyle w:val="Header"/>
      <w:bidi w:val="0"/>
      <w:jc w:val="right"/>
    </w:pPr>
  </w:p>
  <w:p w:rsidR="0077732C">
    <w:pPr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2C" w:rsidP="00706884">
    <w:pPr>
      <w:pStyle w:val="Header"/>
      <w:bidi w:val="0"/>
      <w:jc w:val="right"/>
    </w:pPr>
  </w:p>
  <w:p w:rsidR="0077732C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F9B"/>
    <w:multiLevelType w:val="hybridMultilevel"/>
    <w:tmpl w:val="2D86D4D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C637648"/>
    <w:multiLevelType w:val="hybridMultilevel"/>
    <w:tmpl w:val="A536A1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A0C3C"/>
    <w:multiLevelType w:val="hybridMultilevel"/>
    <w:tmpl w:val="336649BE"/>
    <w:lvl w:ilvl="0">
      <w:start w:val="1"/>
      <w:numFmt w:val="lowerLetter"/>
      <w:lvlText w:val="%1)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3">
    <w:nsid w:val="3A756AC2"/>
    <w:multiLevelType w:val="hybridMultilevel"/>
    <w:tmpl w:val="E56CDBA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43F72EC2"/>
    <w:multiLevelType w:val="hybridMultilevel"/>
    <w:tmpl w:val="1368C8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A1D4123"/>
    <w:multiLevelType w:val="hybridMultilevel"/>
    <w:tmpl w:val="F20659C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185" w:hanging="46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B907908"/>
    <w:multiLevelType w:val="hybridMultilevel"/>
    <w:tmpl w:val="75502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674A5954"/>
    <w:multiLevelType w:val="hybridMultilevel"/>
    <w:tmpl w:val="9FE6B82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AB36D46"/>
    <w:multiLevelType w:val="hybridMultilevel"/>
    <w:tmpl w:val="4A8A0B6A"/>
    <w:lvl w:ilvl="0">
      <w:start w:val="1"/>
      <w:numFmt w:val="lowerLetter"/>
      <w:lvlText w:val="%1)"/>
      <w:lvlJc w:val="left"/>
      <w:pPr>
        <w:ind w:left="10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2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2B92"/>
    <w:rsid w:val="00076E2B"/>
    <w:rsid w:val="001A2E89"/>
    <w:rsid w:val="002C2B92"/>
    <w:rsid w:val="00460924"/>
    <w:rsid w:val="00706884"/>
    <w:rsid w:val="0077732C"/>
    <w:rsid w:val="009E00BB"/>
    <w:rsid w:val="00AB388D"/>
    <w:rsid w:val="00C8217A"/>
    <w:rsid w:val="00CB7CB6"/>
    <w:rsid w:val="00D747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9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2C2B9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C2B92"/>
    <w:rPr>
      <w:rFonts w:eastAsia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C2B9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C2B92"/>
    <w:rPr>
      <w:rFonts w:eastAsia="Times New Roman" w:cs="Times New Roman"/>
      <w:rtl w:val="0"/>
      <w:cs w:val="0"/>
    </w:rPr>
  </w:style>
  <w:style w:type="character" w:styleId="PageNumber">
    <w:name w:val="page number"/>
    <w:basedOn w:val="DefaultParagraphFont"/>
    <w:uiPriority w:val="99"/>
    <w:rsid w:val="002C2B92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2C2B9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C2B9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2B9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1685</Words>
  <Characters>9611</Characters>
  <Application>Microsoft Office Word</Application>
  <DocSecurity>0</DocSecurity>
  <Lines>0</Lines>
  <Paragraphs>0</Paragraphs>
  <ScaleCrop>false</ScaleCrop>
  <Company/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1</cp:revision>
  <dcterms:created xsi:type="dcterms:W3CDTF">2015-06-30T10:24:00Z</dcterms:created>
  <dcterms:modified xsi:type="dcterms:W3CDTF">2015-06-30T10:25:00Z</dcterms:modified>
</cp:coreProperties>
</file>