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C93752">
      <w:pPr>
        <w:pStyle w:val="Title"/>
      </w:pPr>
      <w:r>
        <w:t>NÁRODNÁ RADA SLOVENSKEJ REPUBLIKY</w:t>
      </w:r>
    </w:p>
    <w:p w:rsidR="00233A93" w:rsidP="00C93752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 w:rsidP="00C93752">
      <w:r>
        <w:t>___________________________________________________________________________</w:t>
      </w:r>
    </w:p>
    <w:p w:rsidR="00233A93" w:rsidP="00C93752">
      <w:pPr>
        <w:rPr>
          <w:b/>
          <w:sz w:val="28"/>
        </w:rPr>
      </w:pPr>
    </w:p>
    <w:p w:rsidR="00233A93" w:rsidP="00C93752">
      <w:r>
        <w:t>K číslu :</w:t>
      </w:r>
      <w:r w:rsidR="00BF3C60">
        <w:t xml:space="preserve"> </w:t>
      </w:r>
      <w:r w:rsidR="00B41EA1">
        <w:t>79</w:t>
      </w:r>
      <w:r w:rsidR="00510918">
        <w:t>4</w:t>
      </w:r>
      <w:r w:rsidR="003D6EDC">
        <w:t>/</w:t>
      </w:r>
      <w:r w:rsidR="009F1034">
        <w:t>20</w:t>
      </w:r>
      <w:r w:rsidR="00CD2A22">
        <w:t>1</w:t>
      </w:r>
      <w:r w:rsidR="00510918">
        <w:t>5</w:t>
      </w:r>
      <w:r>
        <w:tab/>
        <w:tab/>
        <w:tab/>
        <w:tab/>
      </w:r>
    </w:p>
    <w:p w:rsidR="00233A93" w:rsidP="00C93752"/>
    <w:p w:rsidR="00D57D3E" w:rsidP="00C93752"/>
    <w:p w:rsidR="009A2FE0" w:rsidP="00C93752"/>
    <w:p w:rsidR="00C93752" w:rsidP="00C93752"/>
    <w:p w:rsidR="00C93752" w:rsidP="00C93752"/>
    <w:p w:rsidR="00233A93" w:rsidP="00C93752">
      <w:pPr>
        <w:jc w:val="center"/>
        <w:rPr>
          <w:b/>
          <w:bCs/>
          <w:sz w:val="28"/>
        </w:rPr>
      </w:pPr>
      <w:r w:rsidR="00510918">
        <w:rPr>
          <w:b/>
          <w:bCs/>
          <w:sz w:val="28"/>
        </w:rPr>
        <w:t>1497</w:t>
      </w:r>
      <w:r>
        <w:rPr>
          <w:b/>
          <w:bCs/>
          <w:sz w:val="28"/>
        </w:rPr>
        <w:t>a</w:t>
      </w:r>
    </w:p>
    <w:p w:rsidR="00D35084" w:rsidP="00C93752">
      <w:pPr>
        <w:jc w:val="center"/>
        <w:rPr>
          <w:b/>
          <w:bCs/>
          <w:sz w:val="28"/>
        </w:rPr>
      </w:pPr>
    </w:p>
    <w:p w:rsidR="00233A93" w:rsidP="00C93752">
      <w:pPr>
        <w:pStyle w:val="Heading1"/>
      </w:pPr>
      <w:r>
        <w:t xml:space="preserve">S p o l o č n á    s p r á v a </w:t>
      </w:r>
    </w:p>
    <w:p w:rsidR="00BF3C60" w:rsidP="00C93752"/>
    <w:p w:rsidR="00233A93" w:rsidRPr="00510918" w:rsidP="00C93752">
      <w:pPr>
        <w:jc w:val="both"/>
        <w:rPr>
          <w:color w:val="FF0000"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</w:t>
      </w:r>
      <w:r w:rsidRPr="00987E97">
        <w:rPr>
          <w:b/>
        </w:rPr>
        <w:t>rokovania</w:t>
      </w:r>
      <w:r w:rsidRPr="00987E97" w:rsidR="00F53C66">
        <w:rPr>
          <w:b/>
        </w:rPr>
        <w:t xml:space="preserve"> </w:t>
      </w:r>
      <w:r w:rsidRPr="00510918" w:rsidR="00510918">
        <w:rPr>
          <w:b/>
        </w:rPr>
        <w:t>vládneho návrhu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510918">
        <w:rPr>
          <w:color w:val="FF0000"/>
        </w:rPr>
        <w:t xml:space="preserve">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C93752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 w:rsidP="00C93752">
      <w:pPr>
        <w:rPr>
          <w:b/>
        </w:rPr>
      </w:pPr>
    </w:p>
    <w:p w:rsidR="00233A93" w:rsidP="00C93752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 w:rsidP="00C93752">
      <w:pPr>
        <w:jc w:val="both"/>
      </w:pPr>
      <w:r w:rsidR="00233A93">
        <w:tab/>
        <w:tab/>
        <w:tab/>
        <w:tab/>
        <w:tab/>
      </w:r>
    </w:p>
    <w:p w:rsidR="008346BC" w:rsidP="00C93752">
      <w:pPr>
        <w:jc w:val="both"/>
      </w:pPr>
    </w:p>
    <w:p w:rsidR="00233A93" w:rsidP="00C9375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C93752">
      <w:pPr>
        <w:jc w:val="center"/>
        <w:rPr>
          <w:b/>
          <w:bCs/>
        </w:rPr>
      </w:pPr>
    </w:p>
    <w:p w:rsidR="00233A93" w:rsidRPr="00C742A8" w:rsidP="00C93752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510918">
        <w:t xml:space="preserve"> 1709 </w:t>
      </w:r>
      <w:r w:rsidRPr="0091798A">
        <w:t>z</w:t>
      </w:r>
      <w:r w:rsidR="009A2FE0">
        <w:t>o</w:t>
      </w:r>
      <w:r w:rsidRPr="0091798A" w:rsidR="00893F40">
        <w:t xml:space="preserve"> </w:t>
      </w:r>
      <w:r w:rsidR="009A2FE0">
        <w:t>6</w:t>
      </w:r>
      <w:r w:rsidRPr="0091798A">
        <w:t xml:space="preserve">. </w:t>
      </w:r>
      <w:r w:rsidR="00510918">
        <w:t>mája</w:t>
      </w:r>
      <w:r w:rsidR="00CD2A22">
        <w:t xml:space="preserve"> </w:t>
      </w:r>
      <w:r w:rsidRPr="0091798A">
        <w:t>20</w:t>
      </w:r>
      <w:r w:rsidR="00CD2A22">
        <w:t>1</w:t>
      </w:r>
      <w:r w:rsidR="00510918">
        <w:t>5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510918" w:rsidR="00510918">
        <w:t>vládny návrh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510918">
        <w:rPr>
          <w:b/>
        </w:rPr>
        <w:t xml:space="preserve"> </w:t>
      </w:r>
      <w:r w:rsidRPr="00DF21AE">
        <w:t>týmto výborom Národnej rady Slovenskej republiky:</w:t>
      </w:r>
    </w:p>
    <w:p w:rsidR="0017621D" w:rsidP="00C93752">
      <w:pPr>
        <w:pStyle w:val="BodyText2"/>
        <w:jc w:val="left"/>
      </w:pPr>
    </w:p>
    <w:p w:rsidR="00233A93" w:rsidP="00C93752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9E38EE">
        <w:t> </w:t>
      </w:r>
      <w:r>
        <w:t>rozpočet</w:t>
      </w:r>
      <w:r w:rsidR="009E38EE">
        <w:t>,</w:t>
      </w:r>
      <w:r>
        <w:t xml:space="preserve"> </w:t>
      </w:r>
    </w:p>
    <w:p w:rsidR="00233A93" w:rsidP="00C93752">
      <w:pPr>
        <w:pStyle w:val="BodyText2"/>
        <w:numPr>
          <w:ilvl w:val="0"/>
          <w:numId w:val="1"/>
        </w:numPr>
      </w:pPr>
      <w:r>
        <w:t>Ústavnoprávnemu výboru Národnej rady Sloven</w:t>
      </w:r>
      <w:r>
        <w:t>skej republiky</w:t>
      </w:r>
      <w:r w:rsidR="009E38EE">
        <w:t>,</w:t>
      </w:r>
    </w:p>
    <w:p w:rsidR="00D35084" w:rsidP="00C93752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510918">
        <w:t>verejnú správu a regionálny rozvoj.</w:t>
      </w:r>
    </w:p>
    <w:p w:rsidR="00D219D3" w:rsidP="00510918">
      <w:pPr>
        <w:pStyle w:val="BodyText2"/>
        <w:ind w:left="705"/>
      </w:pPr>
    </w:p>
    <w:p w:rsidR="009A2FE0" w:rsidP="00C93752">
      <w:pPr>
        <w:pStyle w:val="BodyText2"/>
        <w:ind w:left="705"/>
      </w:pPr>
    </w:p>
    <w:p w:rsidR="00233A93" w:rsidP="00C93752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C93752">
      <w:pPr>
        <w:pStyle w:val="BodyText2"/>
        <w:jc w:val="center"/>
        <w:rPr>
          <w:b/>
          <w:sz w:val="28"/>
        </w:rPr>
      </w:pPr>
    </w:p>
    <w:p w:rsidR="00233A93" w:rsidP="00C93752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510918" w:rsidR="00510918">
        <w:t>vládnom návrhu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510918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C93752" w:rsidP="00C93752">
      <w:pPr>
        <w:pStyle w:val="BodyText2"/>
        <w:ind w:firstLine="3"/>
        <w:jc w:val="center"/>
        <w:rPr>
          <w:b/>
        </w:rPr>
      </w:pPr>
    </w:p>
    <w:p w:rsidR="00B41EA1" w:rsidP="00C93752">
      <w:pPr>
        <w:pStyle w:val="BodyText2"/>
        <w:ind w:firstLine="3"/>
        <w:jc w:val="center"/>
        <w:rPr>
          <w:b/>
        </w:rPr>
      </w:pPr>
    </w:p>
    <w:p w:rsidR="00233A93" w:rsidP="00C93752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C93752">
      <w:pPr>
        <w:pStyle w:val="BodyText2"/>
        <w:ind w:left="705"/>
        <w:jc w:val="center"/>
        <w:rPr>
          <w:b/>
        </w:rPr>
      </w:pPr>
    </w:p>
    <w:p w:rsidR="00233A93" w:rsidP="00C93752">
      <w:pPr>
        <w:pStyle w:val="BodyText2"/>
        <w:ind w:firstLine="720"/>
      </w:pPr>
      <w:r>
        <w:t xml:space="preserve">K predmetnému </w:t>
      </w:r>
      <w:r w:rsidR="00EF184C">
        <w:t xml:space="preserve">vládnemu </w:t>
      </w:r>
      <w:r>
        <w:t xml:space="preserve">návrhu zákona zaujali </w:t>
      </w:r>
      <w:r>
        <w:t>výbory Národnej rady Slovenskej republiky tieto stanoviská:</w:t>
      </w:r>
    </w:p>
    <w:p w:rsidR="00E24C65" w:rsidP="00C93752">
      <w:pPr>
        <w:pStyle w:val="BodyText2"/>
        <w:ind w:firstLine="720"/>
      </w:pPr>
    </w:p>
    <w:p w:rsidR="00301D8C" w:rsidP="00C93752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C93752">
      <w:pPr>
        <w:pStyle w:val="BodyText2"/>
        <w:ind w:left="720"/>
        <w:rPr>
          <w:b/>
          <w:bCs/>
        </w:rPr>
      </w:pPr>
    </w:p>
    <w:p w:rsidR="0085353E" w:rsidP="00C93752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510918">
        <w:t xml:space="preserve"> </w:t>
      </w:r>
      <w:r w:rsidR="009C77BC">
        <w:t>431</w:t>
      </w:r>
      <w:r>
        <w:t xml:space="preserve"> zo dňa </w:t>
      </w:r>
      <w:r w:rsidR="00510918">
        <w:t>9</w:t>
      </w:r>
      <w:r>
        <w:t xml:space="preserve">. </w:t>
      </w:r>
      <w:r w:rsidR="00510918">
        <w:t>j</w:t>
      </w:r>
      <w:r w:rsidR="00510918">
        <w:t>úna</w:t>
      </w:r>
      <w:r w:rsidR="009124B6">
        <w:t xml:space="preserve"> </w:t>
      </w:r>
      <w:r w:rsidR="00C23D38">
        <w:t>201</w:t>
      </w:r>
      <w:r w:rsidR="00510918">
        <w:t>5</w:t>
      </w:r>
      <w:r>
        <w:t>)</w:t>
      </w:r>
    </w:p>
    <w:p w:rsidR="00C23D38" w:rsidP="00C93752">
      <w:pPr>
        <w:pStyle w:val="BodyText2"/>
        <w:ind w:left="1065"/>
      </w:pPr>
    </w:p>
    <w:p w:rsidR="0063094F" w:rsidP="00C93752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A867C6">
        <w:t xml:space="preserve">606 </w:t>
      </w:r>
      <w:r>
        <w:t xml:space="preserve">zo dňa </w:t>
      </w:r>
      <w:r w:rsidR="00B41EA1">
        <w:t>9</w:t>
      </w:r>
      <w:r>
        <w:t xml:space="preserve">. </w:t>
      </w:r>
      <w:r w:rsidR="00510918">
        <w:t>júna</w:t>
      </w:r>
      <w:r w:rsidR="00C23D38">
        <w:t xml:space="preserve"> 201</w:t>
      </w:r>
      <w:r w:rsidR="00510918">
        <w:t>5</w:t>
      </w:r>
      <w:r w:rsidR="00C23D38">
        <w:t>)</w:t>
      </w:r>
    </w:p>
    <w:p w:rsidR="00D35084" w:rsidP="00C93752">
      <w:pPr>
        <w:pStyle w:val="BodyText2"/>
      </w:pPr>
    </w:p>
    <w:p w:rsidR="00BC63F8" w:rsidP="00B41EA1">
      <w:pPr>
        <w:pStyle w:val="BodyText2"/>
        <w:numPr>
          <w:ilvl w:val="0"/>
          <w:numId w:val="3"/>
        </w:numPr>
      </w:pPr>
      <w:r w:rsidRPr="00645D6A" w:rsidR="00D35084">
        <w:t xml:space="preserve">Výbor Národnej rady Slovenskej republiky pre </w:t>
      </w:r>
      <w:r w:rsidR="00510918">
        <w:t>verejnú správu a regionálny rozvoj</w:t>
      </w:r>
      <w:r w:rsidR="003216C8">
        <w:t xml:space="preserve"> o návrhu zákona </w:t>
      </w:r>
      <w:r w:rsidRPr="003216C8" w:rsidR="003216C8">
        <w:rPr>
          <w:b/>
        </w:rPr>
        <w:t>nerokoval</w:t>
      </w:r>
      <w:r w:rsidR="003216C8">
        <w:t>, nakoľko podľa § 52 zákona NR SR č. 350/1996 Z. z</w:t>
      </w:r>
      <w:r w:rsidR="003216C8">
        <w:t xml:space="preserve">. o rokovacom poriadku Národnej rady Slovenskej republiky v znení neskorších predpisov </w:t>
      </w:r>
      <w:r w:rsidRPr="003216C8" w:rsidR="003216C8">
        <w:rPr>
          <w:b/>
        </w:rPr>
        <w:t>nebol uznášaniaschopný</w:t>
      </w:r>
      <w:r w:rsidR="003216C8">
        <w:t xml:space="preserve">. </w:t>
      </w:r>
    </w:p>
    <w:p w:rsidR="00D219D3" w:rsidP="00C93752">
      <w:pPr>
        <w:pStyle w:val="BodyText2"/>
        <w:ind w:left="1065"/>
      </w:pPr>
    </w:p>
    <w:p w:rsidR="00301E94" w:rsidP="00C93752">
      <w:pPr>
        <w:pStyle w:val="BodyText2"/>
        <w:ind w:left="1065"/>
        <w:jc w:val="center"/>
        <w:rPr>
          <w:b/>
        </w:rPr>
      </w:pPr>
    </w:p>
    <w:p w:rsidR="00233A93" w:rsidP="00C93752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233A93" w:rsidP="00C93752">
      <w:pPr>
        <w:pStyle w:val="BodyText2"/>
        <w:ind w:left="1065"/>
        <w:jc w:val="center"/>
        <w:rPr>
          <w:b/>
        </w:rPr>
      </w:pPr>
    </w:p>
    <w:p w:rsidR="00233A93" w:rsidP="00C93752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</w:t>
      </w:r>
      <w:r w:rsidR="00D3131A">
        <w:t>h</w:t>
      </w:r>
      <w:r w:rsidR="00F53C66">
        <w:t>y</w:t>
      </w:r>
      <w:r w:rsidR="00736608">
        <w:t>:</w:t>
      </w:r>
    </w:p>
    <w:p w:rsidR="009C77BC" w:rsidP="009C77BC">
      <w:pPr>
        <w:jc w:val="both"/>
        <w:rPr>
          <w:b/>
        </w:rPr>
      </w:pPr>
    </w:p>
    <w:p w:rsidR="009C77BC" w:rsidRPr="004613A7" w:rsidP="009C77BC">
      <w:pPr>
        <w:numPr>
          <w:ilvl w:val="0"/>
          <w:numId w:val="39"/>
        </w:numPr>
        <w:jc w:val="both"/>
        <w:rPr>
          <w:b/>
        </w:rPr>
      </w:pPr>
      <w:r w:rsidRPr="004613A7">
        <w:rPr>
          <w:b/>
        </w:rPr>
        <w:t>K</w:t>
      </w:r>
      <w:r>
        <w:rPr>
          <w:b/>
        </w:rPr>
        <w:t> </w:t>
      </w:r>
      <w:r w:rsidRPr="004613A7">
        <w:rPr>
          <w:b/>
        </w:rPr>
        <w:t>názvu</w:t>
      </w:r>
      <w:r>
        <w:rPr>
          <w:b/>
        </w:rPr>
        <w:t xml:space="preserve"> vládneho návrhu</w:t>
      </w:r>
      <w:r w:rsidRPr="004613A7">
        <w:rPr>
          <w:b/>
        </w:rPr>
        <w:t xml:space="preserve"> zákona</w:t>
      </w:r>
    </w:p>
    <w:p w:rsidR="009C77BC" w:rsidP="009C77BC">
      <w:pPr>
        <w:ind w:left="708"/>
        <w:jc w:val="both"/>
      </w:pPr>
      <w:r>
        <w:t xml:space="preserve">V názve vládneho návrhu zákona sa slová „mení a dopĺňa </w:t>
      </w:r>
      <w:r w:rsidRPr="004613A7">
        <w:t>zákon č. 583/2004 Z. z. o rozpočtových pravidlách územnej samosprávy a o zmene a doplnení niektorých zákonov v znení neskorších predpisov</w:t>
      </w:r>
      <w:r>
        <w:t>“ nahrádzajú slovami „menia a dopĺňajú niektoré zákony“.</w:t>
      </w:r>
    </w:p>
    <w:p w:rsidR="009C77BC" w:rsidP="009C77BC">
      <w:pPr>
        <w:jc w:val="both"/>
      </w:pPr>
    </w:p>
    <w:p w:rsidR="009C77BC" w:rsidP="009C77BC">
      <w:pPr>
        <w:ind w:left="2832"/>
        <w:jc w:val="both"/>
        <w:rPr>
          <w:iCs/>
        </w:rPr>
      </w:pPr>
      <w:r>
        <w:rPr>
          <w:iCs/>
        </w:rPr>
        <w:t xml:space="preserve">V nadväznosti na doplnenie nového článku je potrebné zmeniť názov vládneho návrhu zákona. </w:t>
      </w:r>
    </w:p>
    <w:p w:rsidR="009C77BC" w:rsidP="009C77BC">
      <w:pPr>
        <w:jc w:val="both"/>
        <w:rPr>
          <w:b/>
        </w:rPr>
      </w:pPr>
    </w:p>
    <w:p w:rsidR="009C77BC" w:rsidRPr="00327C8B" w:rsidP="009C77BC">
      <w:pPr>
        <w:ind w:left="2124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9C77BC" w:rsidRPr="0088416B" w:rsidP="009C77BC">
      <w:pPr>
        <w:ind w:left="2124" w:firstLine="708"/>
        <w:jc w:val="both"/>
      </w:pPr>
      <w:r w:rsidRPr="0088416B">
        <w:rPr>
          <w:b/>
        </w:rPr>
        <w:t>Gestorský výbor odporúča schváliť</w:t>
      </w:r>
      <w:r w:rsidR="00B30354">
        <w:rPr>
          <w:b/>
        </w:rPr>
        <w:t>.</w:t>
      </w:r>
    </w:p>
    <w:p w:rsidR="009C77BC" w:rsidP="009C77BC">
      <w:pPr>
        <w:jc w:val="both"/>
      </w:pPr>
    </w:p>
    <w:p w:rsidR="009C77BC" w:rsidRPr="00A867C6" w:rsidP="009C77BC">
      <w:pPr>
        <w:numPr>
          <w:ilvl w:val="0"/>
          <w:numId w:val="39"/>
        </w:numPr>
        <w:rPr>
          <w:b/>
        </w:rPr>
      </w:pPr>
      <w:r w:rsidRPr="00A867C6" w:rsidR="00A867C6">
        <w:rPr>
          <w:b/>
        </w:rPr>
        <w:t xml:space="preserve">K </w:t>
      </w:r>
      <w:r w:rsidR="00A867C6">
        <w:rPr>
          <w:b/>
        </w:rPr>
        <w:t>č</w:t>
      </w:r>
      <w:r w:rsidRPr="00A867C6" w:rsidR="00A867C6">
        <w:rPr>
          <w:b/>
        </w:rPr>
        <w:t>l. I</w:t>
      </w:r>
      <w:r w:rsidR="00A867C6">
        <w:rPr>
          <w:b/>
        </w:rPr>
        <w:t xml:space="preserve"> sa </w:t>
      </w:r>
      <w:r w:rsidRPr="00A867C6" w:rsidR="00A867C6">
        <w:rPr>
          <w:b/>
        </w:rPr>
        <w:t>z</w:t>
      </w:r>
      <w:r w:rsidRPr="00A867C6">
        <w:rPr>
          <w:b/>
        </w:rPr>
        <w:t>a doterajší bod 2 vkladajú nové body 3 a 4, ktoré znejú:</w:t>
      </w:r>
    </w:p>
    <w:p w:rsidR="009C77BC" w:rsidRPr="009C77BC" w:rsidP="009C77BC">
      <w:pPr>
        <w:pStyle w:val="BodyText"/>
        <w:tabs>
          <w:tab w:val="left" w:pos="540"/>
        </w:tabs>
        <w:ind w:right="-2"/>
        <w:rPr>
          <w:b w:val="0"/>
          <w:iCs/>
        </w:rPr>
      </w:pPr>
      <w:r>
        <w:rPr>
          <w:b w:val="0"/>
        </w:rPr>
        <w:tab/>
        <w:tab/>
      </w:r>
      <w:r w:rsidRPr="009C77BC">
        <w:rPr>
          <w:b w:val="0"/>
        </w:rPr>
        <w:t xml:space="preserve">„3.  </w:t>
      </w:r>
      <w:r w:rsidRPr="009C77BC">
        <w:rPr>
          <w:b w:val="0"/>
          <w:iCs/>
        </w:rPr>
        <w:t>V § 9 sa odsek 1 dopĺňa písmenom n), ktoré znie:</w:t>
      </w:r>
    </w:p>
    <w:p w:rsidR="009C77BC" w:rsidRPr="009C77BC" w:rsidP="009C77BC">
      <w:pPr>
        <w:pStyle w:val="BodyText"/>
        <w:tabs>
          <w:tab w:val="left" w:pos="540"/>
        </w:tabs>
        <w:ind w:right="-2"/>
        <w:rPr>
          <w:b w:val="0"/>
          <w:iCs/>
        </w:rPr>
      </w:pPr>
      <w:r>
        <w:rPr>
          <w:b w:val="0"/>
          <w:iCs/>
        </w:rPr>
        <w:tab/>
        <w:tab/>
      </w:r>
      <w:r w:rsidRPr="009C77BC">
        <w:rPr>
          <w:b w:val="0"/>
          <w:iCs/>
        </w:rPr>
        <w:t>„n) Kancelárie Súdnej rady Slovenskej republiky.“.</w:t>
      </w:r>
    </w:p>
    <w:p w:rsidR="009C77BC" w:rsidRPr="009C77BC" w:rsidP="009C77BC">
      <w:pPr>
        <w:pStyle w:val="BodyText"/>
        <w:tabs>
          <w:tab w:val="left" w:pos="540"/>
        </w:tabs>
        <w:ind w:right="-2"/>
        <w:rPr>
          <w:b w:val="0"/>
          <w:iCs/>
        </w:rPr>
      </w:pPr>
    </w:p>
    <w:p w:rsidR="009C77BC" w:rsidRPr="009C77BC" w:rsidP="009C77BC">
      <w:pPr>
        <w:pStyle w:val="BodyText"/>
        <w:tabs>
          <w:tab w:val="left" w:pos="540"/>
        </w:tabs>
        <w:ind w:left="708" w:right="-2"/>
        <w:rPr>
          <w:b w:val="0"/>
          <w:iCs/>
        </w:rPr>
      </w:pPr>
      <w:r w:rsidRPr="009C77BC">
        <w:rPr>
          <w:b w:val="0"/>
          <w:iCs/>
        </w:rPr>
        <w:t>4. V § 9 ods. 5 prvej vete sa za slová „Najvyšší súd Slovenskej republiky“ vkladajú slová „a Kancelária Súdnej rady Slovenskej republiky“ a v druhej</w:t>
      </w:r>
      <w:r w:rsidRPr="009C77BC">
        <w:rPr>
          <w:b w:val="0"/>
          <w:iCs/>
        </w:rPr>
        <w:t xml:space="preserve"> vete sa za slová „Najvyššieho súdu Slovenskej republiky“ vkladajú slová „a kapitoly Kancelárie Súdnej rady Slovenskej republiky.“.“.</w:t>
      </w:r>
    </w:p>
    <w:p w:rsidR="009C77BC" w:rsidRPr="009C77BC" w:rsidP="009C77BC">
      <w:pPr>
        <w:pStyle w:val="BodyText"/>
        <w:tabs>
          <w:tab w:val="left" w:pos="540"/>
        </w:tabs>
        <w:ind w:right="-2"/>
        <w:rPr>
          <w:rFonts w:ascii="Arial Narrow" w:hAnsi="Arial Narrow"/>
          <w:b w:val="0"/>
          <w:iCs/>
        </w:rPr>
      </w:pPr>
    </w:p>
    <w:p w:rsidR="009C77BC" w:rsidRPr="009C77BC" w:rsidP="009C77BC">
      <w:pPr>
        <w:pStyle w:val="BodyText"/>
        <w:tabs>
          <w:tab w:val="left" w:pos="540"/>
        </w:tabs>
        <w:ind w:right="-2"/>
        <w:rPr>
          <w:b w:val="0"/>
        </w:rPr>
      </w:pPr>
      <w:r>
        <w:rPr>
          <w:b w:val="0"/>
        </w:rPr>
        <w:tab/>
        <w:tab/>
      </w:r>
      <w:r w:rsidRPr="009C77BC">
        <w:rPr>
          <w:b w:val="0"/>
        </w:rPr>
        <w:t>Doterajšie body 3 až 11 primerane prečíslujú.</w:t>
      </w:r>
    </w:p>
    <w:p w:rsidR="00A867C6" w:rsidP="00A867C6">
      <w:pPr>
        <w:ind w:left="360"/>
        <w:jc w:val="both"/>
      </w:pPr>
    </w:p>
    <w:p w:rsidR="00A867C6" w:rsidRPr="00A867C6" w:rsidP="00A867C6">
      <w:pPr>
        <w:pStyle w:val="BodyText"/>
        <w:tabs>
          <w:tab w:val="left" w:pos="540"/>
        </w:tabs>
        <w:ind w:left="708" w:right="-2"/>
        <w:rPr>
          <w:b w:val="0"/>
          <w:szCs w:val="20"/>
        </w:rPr>
      </w:pPr>
      <w:r w:rsidRPr="00A867C6">
        <w:rPr>
          <w:b w:val="0"/>
        </w:rPr>
        <w:t xml:space="preserve">Navrhovaná úprava nadobúda účinnosť 1. januára 2016, čo sa premietne do ustanovení o účinnosti.  </w:t>
      </w:r>
    </w:p>
    <w:p w:rsidR="009C77BC" w:rsidP="009C77BC">
      <w:pPr>
        <w:pStyle w:val="BodyText"/>
        <w:tabs>
          <w:tab w:val="left" w:pos="540"/>
        </w:tabs>
        <w:ind w:right="-2"/>
        <w:rPr>
          <w:b w:val="0"/>
        </w:rPr>
      </w:pPr>
    </w:p>
    <w:p w:rsidR="00A867C6" w:rsidRPr="009C77BC" w:rsidP="009C77BC">
      <w:pPr>
        <w:pStyle w:val="BodyText"/>
        <w:tabs>
          <w:tab w:val="left" w:pos="540"/>
        </w:tabs>
        <w:ind w:right="-2"/>
        <w:rPr>
          <w:b w:val="0"/>
        </w:rPr>
      </w:pPr>
    </w:p>
    <w:p w:rsidR="009C77BC" w:rsidRPr="009C77BC" w:rsidP="009C77BC">
      <w:pPr>
        <w:pStyle w:val="BodyText"/>
        <w:tabs>
          <w:tab w:val="left" w:pos="540"/>
        </w:tabs>
        <w:ind w:left="2832" w:right="-2"/>
        <w:rPr>
          <w:b w:val="0"/>
          <w:iCs/>
        </w:rPr>
      </w:pPr>
      <w:r w:rsidRPr="009C77BC">
        <w:rPr>
          <w:b w:val="0"/>
          <w:iCs/>
        </w:rPr>
        <w:t xml:space="preserve">Z dôvodu zmeny legislatívy a postavenia predsedu Súdnej rady Slovenskej republiky sa Kancelária Súdnej rady Slovenskej republiky ustanovuje samostatnou kapitolou štátneho rozpočtu. V nadväznosti na túto zmenu sa upravuje aj spôsob predkladania návrhu rozpočtu a návrhu štátneho záverečného účtu Kancelárie Súdnej rady Slovenskej republiky. </w:t>
      </w:r>
    </w:p>
    <w:p w:rsidR="009C77BC" w:rsidRPr="0063795D" w:rsidP="009C77BC">
      <w:pPr>
        <w:ind w:left="3540"/>
        <w:jc w:val="both"/>
      </w:pPr>
    </w:p>
    <w:p w:rsidR="009C77BC" w:rsidRPr="00327C8B" w:rsidP="009C77BC">
      <w:pPr>
        <w:ind w:left="2124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9C77BC" w:rsidRPr="0088416B" w:rsidP="009C77BC">
      <w:pPr>
        <w:ind w:left="2124" w:firstLine="708"/>
        <w:jc w:val="both"/>
      </w:pPr>
      <w:r w:rsidRPr="0088416B">
        <w:rPr>
          <w:b/>
        </w:rPr>
        <w:t>Gestorský výbor odporúča schváliť</w:t>
      </w:r>
      <w:r w:rsidR="00B30354">
        <w:rPr>
          <w:b/>
        </w:rPr>
        <w:t>.</w:t>
      </w:r>
    </w:p>
    <w:p w:rsidR="009C77BC" w:rsidP="009C77BC">
      <w:pPr>
        <w:jc w:val="both"/>
      </w:pPr>
    </w:p>
    <w:p w:rsidR="000C1A09" w:rsidRPr="002F0407" w:rsidP="009C77BC">
      <w:pPr>
        <w:jc w:val="both"/>
      </w:pPr>
    </w:p>
    <w:p w:rsidR="009C77BC" w:rsidRPr="009C77BC" w:rsidP="009C77BC">
      <w:pPr>
        <w:numPr>
          <w:ilvl w:val="0"/>
          <w:numId w:val="39"/>
        </w:numPr>
        <w:contextualSpacing/>
        <w:jc w:val="both"/>
        <w:rPr>
          <w:b/>
          <w:lang w:eastAsia="en-US"/>
        </w:rPr>
      </w:pPr>
      <w:r w:rsidRPr="009C77BC">
        <w:rPr>
          <w:b/>
          <w:lang w:val="x-none" w:eastAsia="en-US"/>
        </w:rPr>
        <w:t>K </w:t>
      </w:r>
      <w:r w:rsidR="00A867C6">
        <w:rPr>
          <w:b/>
          <w:lang w:eastAsia="en-US"/>
        </w:rPr>
        <w:t>č</w:t>
      </w:r>
      <w:r w:rsidRPr="009C77BC">
        <w:rPr>
          <w:b/>
          <w:lang w:val="x-none" w:eastAsia="en-US"/>
        </w:rPr>
        <w:t>l. I</w:t>
      </w:r>
      <w:r w:rsidRPr="009C77BC">
        <w:rPr>
          <w:b/>
          <w:lang w:eastAsia="en-US"/>
        </w:rPr>
        <w:t>I</w:t>
      </w:r>
      <w:r w:rsidRPr="009C77BC">
        <w:rPr>
          <w:b/>
          <w:lang w:val="x-none" w:eastAsia="en-US"/>
        </w:rPr>
        <w:t xml:space="preserve"> </w:t>
      </w:r>
      <w:r w:rsidRPr="009C77BC">
        <w:rPr>
          <w:b/>
          <w:lang w:eastAsia="en-US"/>
        </w:rPr>
        <w:t xml:space="preserve"> (</w:t>
      </w:r>
      <w:r w:rsidRPr="009C77BC">
        <w:rPr>
          <w:b/>
          <w:lang w:val="x-none" w:eastAsia="en-US"/>
        </w:rPr>
        <w:t>zákon č. 583/2004 Z. z. o rozpočtových pravidlách územnej samospráv</w:t>
      </w:r>
      <w:r w:rsidRPr="009C77BC">
        <w:rPr>
          <w:b/>
          <w:lang w:val="x-none" w:eastAsia="en-US"/>
        </w:rPr>
        <w:t>y</w:t>
      </w:r>
      <w:r w:rsidRPr="009C77BC">
        <w:rPr>
          <w:b/>
          <w:lang w:eastAsia="en-US"/>
        </w:rPr>
        <w:t>)</w:t>
      </w:r>
    </w:p>
    <w:p w:rsidR="009C77BC" w:rsidRPr="009C77BC" w:rsidP="009C77BC">
      <w:pPr>
        <w:ind w:firstLine="708"/>
        <w:jc w:val="both"/>
      </w:pPr>
      <w:r w:rsidRPr="009C77BC">
        <w:t>V čl. II sa z</w:t>
      </w:r>
      <w:r w:rsidRPr="009C77BC">
        <w:rPr>
          <w:bCs/>
        </w:rPr>
        <w:t xml:space="preserve">a doterajší bod 6 vkladá nový </w:t>
      </w:r>
      <w:r w:rsidRPr="009C77BC">
        <w:t>bod  7, ktorý  znie:</w:t>
      </w:r>
    </w:p>
    <w:p w:rsidR="009C77BC" w:rsidRPr="009C77BC" w:rsidP="009C77BC">
      <w:pPr>
        <w:ind w:left="708"/>
        <w:jc w:val="both"/>
        <w:rPr>
          <w:lang w:val="x-none" w:eastAsia="en-US"/>
        </w:rPr>
      </w:pPr>
      <w:r w:rsidRPr="009C77BC">
        <w:rPr>
          <w:rFonts w:eastAsia="Calibri"/>
          <w:bCs/>
          <w:szCs w:val="36"/>
          <w:lang w:eastAsia="en-US"/>
        </w:rPr>
        <w:t>„</w:t>
      </w:r>
      <w:r w:rsidRPr="009C77BC">
        <w:rPr>
          <w:lang w:val="x-none" w:eastAsia="en-US"/>
        </w:rPr>
        <w:t>7.  V  §  17 ods. 12  sa  na  konci pripájajú tieto vety: „Pokuta za prekročenie dlhu</w:t>
      </w:r>
      <w:r w:rsidRPr="009C77BC">
        <w:rPr>
          <w:vertAlign w:val="superscript"/>
          <w:lang w:val="x-none" w:eastAsia="en-US"/>
        </w:rPr>
        <w:t>23b</w:t>
      </w:r>
      <w:r w:rsidRPr="009C77BC">
        <w:rPr>
          <w:lang w:val="x-none" w:eastAsia="en-US"/>
        </w:rPr>
        <w:t>) sa ukladá z podielu celkovej sumy dlhu obce alebo vyššieho územného celku ku koncu príslušného rozpočtového roka na skutočných bežných príjmoch predchádzajúceho rozpočtového roka; do celkovej sumy dlhu obce alebo vyššieho územného celku podľa odsekov 7 a 8  sa nezapočítavajú záväzky z prijatia návratných zdrojov financovania podľa § 19 ods. 24 a záväzky obce v nútenej správe alebo vyššieho územného celku v nútenej správe. Ak sa medziročne podiel dlhu obce alebo vyššieho územného celku na skutočných bežných príjmoch predchádzajúceho rozpočtového roka zvýši, pokuta za prekročenie dlhu</w:t>
      </w:r>
      <w:r w:rsidRPr="009C77BC">
        <w:rPr>
          <w:vertAlign w:val="superscript"/>
          <w:lang w:val="x-none" w:eastAsia="en-US"/>
        </w:rPr>
        <w:t>23b</w:t>
      </w:r>
      <w:r w:rsidRPr="009C77BC">
        <w:rPr>
          <w:lang w:val="x-none" w:eastAsia="en-US"/>
        </w:rPr>
        <w:t>) sa uloží vo výške 5 % z tohto medziročného zvýšenia. Pokuta za prekročenie dlhu</w:t>
      </w:r>
      <w:r w:rsidRPr="009C77BC">
        <w:rPr>
          <w:vertAlign w:val="superscript"/>
          <w:lang w:val="x-none" w:eastAsia="en-US"/>
        </w:rPr>
        <w:t>23b</w:t>
      </w:r>
      <w:r w:rsidRPr="009C77BC">
        <w:rPr>
          <w:lang w:val="x-none" w:eastAsia="en-US"/>
        </w:rPr>
        <w:t>) sa neukladá, ak nepresiahne sumu 40 eur.“.</w:t>
      </w:r>
    </w:p>
    <w:p w:rsidR="009C77BC" w:rsidRPr="009C77BC" w:rsidP="009C77BC">
      <w:pPr>
        <w:jc w:val="both"/>
        <w:rPr>
          <w:rFonts w:ascii="Arial Narrow" w:eastAsia="Calibri" w:hAnsi="Arial Narrow"/>
          <w:sz w:val="22"/>
          <w:lang w:eastAsia="en-US"/>
        </w:rPr>
      </w:pPr>
    </w:p>
    <w:p w:rsidR="009C77BC" w:rsidRPr="009C77BC" w:rsidP="009C77BC">
      <w:pPr>
        <w:ind w:left="2832"/>
        <w:contextualSpacing/>
        <w:jc w:val="both"/>
        <w:rPr>
          <w:lang w:val="x-none" w:eastAsia="en-US"/>
        </w:rPr>
      </w:pPr>
      <w:r w:rsidRPr="009C77BC">
        <w:rPr>
          <w:lang w:eastAsia="en-US"/>
        </w:rPr>
        <w:t>V</w:t>
      </w:r>
      <w:r w:rsidRPr="009C77BC">
        <w:rPr>
          <w:lang w:val="x-none" w:eastAsia="en-US"/>
        </w:rPr>
        <w:t> nadväznosti na platnú úpravu ústavného zákona č. 493/2011 Z. z. o rozpočtovej zodpovednosti navrhuje</w:t>
      </w:r>
      <w:r w:rsidRPr="009C77BC">
        <w:rPr>
          <w:lang w:eastAsia="en-US"/>
        </w:rPr>
        <w:t>m</w:t>
      </w:r>
      <w:r w:rsidRPr="009C77BC">
        <w:rPr>
          <w:lang w:val="x-none" w:eastAsia="en-US"/>
        </w:rPr>
        <w:t xml:space="preserve"> doplnenie odseku 12 v § 17 vo vzťahu k ukladaniu pokút podľa čl. 6 ods. 3 ústavného zákona. </w:t>
      </w:r>
    </w:p>
    <w:p w:rsidR="009C77BC" w:rsidRPr="009C77BC" w:rsidP="009C77BC">
      <w:pPr>
        <w:ind w:left="2832"/>
        <w:contextualSpacing/>
        <w:jc w:val="both"/>
        <w:rPr>
          <w:lang w:val="x-none" w:eastAsia="en-US"/>
        </w:rPr>
      </w:pPr>
      <w:r w:rsidRPr="009C77BC">
        <w:rPr>
          <w:lang w:val="x-none" w:eastAsia="en-US"/>
        </w:rPr>
        <w:t xml:space="preserve">Výpočet výšky pokuty bude vychádzať z celkovej sumy dlhu obce alebo vyššieho územného celku na konci rozpočtového roka. </w:t>
      </w:r>
    </w:p>
    <w:p w:rsidR="009C77BC" w:rsidRPr="009C77BC" w:rsidP="009C77BC">
      <w:pPr>
        <w:tabs>
          <w:tab w:val="left" w:pos="2835"/>
        </w:tabs>
        <w:ind w:left="2832"/>
        <w:contextualSpacing/>
        <w:jc w:val="both"/>
        <w:rPr>
          <w:lang w:val="x-none" w:eastAsia="en-US"/>
        </w:rPr>
      </w:pPr>
      <w:r>
        <w:rPr>
          <w:lang w:eastAsia="en-US"/>
        </w:rPr>
        <w:tab/>
      </w:r>
      <w:r w:rsidRPr="009C77BC">
        <w:rPr>
          <w:lang w:val="x-none" w:eastAsia="en-US"/>
        </w:rPr>
        <w:t>Z celkovej sumy dlhu obce alebo vyššieho územného celku sa budú odpočítavať nielen záväzky vymedzené v odseku 8 súčasne platného znenia</w:t>
      </w:r>
      <w:r w:rsidRPr="009C77BC">
        <w:rPr>
          <w:lang w:eastAsia="en-US"/>
        </w:rPr>
        <w:t xml:space="preserve"> tohto zákona</w:t>
      </w:r>
      <w:r w:rsidRPr="009C77BC">
        <w:rPr>
          <w:lang w:val="x-none" w:eastAsia="en-US"/>
        </w:rPr>
        <w:t xml:space="preserve">, (t.j. záväzky z pôžičky poskytnutej z Audiovizuálneho fondu, záväzky z úveru poskytnutého zo Štátneho fondu rozvoja bývania a záväzky z návratných zdrojov financovania prijatých na predfinancovanie vymedzeného okruhu podpory spoločných programov Slovenskej republiky a Európskej únie), ale pre potreby ukladania pokút </w:t>
      </w:r>
      <w:r w:rsidRPr="009C77BC">
        <w:rPr>
          <w:lang w:eastAsia="en-US"/>
        </w:rPr>
        <w:t xml:space="preserve">podľa ústavného zákona </w:t>
      </w:r>
      <w:r w:rsidRPr="009C77BC">
        <w:rPr>
          <w:lang w:val="x-none" w:eastAsia="en-US"/>
        </w:rPr>
        <w:t xml:space="preserve">sa navrhuje ich rozšírenie aj o záväzky z prijatia návratných zdrojov financovania na splatenie záväzkov v nútenej správe prijaté za účelom jej ukončenia a záväzky obce alebo vyššieho územného celku, ktoré sú v nútenej správe. </w:t>
      </w:r>
    </w:p>
    <w:p w:rsidR="009C77BC" w:rsidRPr="009C77BC" w:rsidP="009C77BC">
      <w:pPr>
        <w:ind w:left="2832"/>
        <w:contextualSpacing/>
        <w:jc w:val="both"/>
        <w:rPr>
          <w:lang w:val="x-none" w:eastAsia="en-US"/>
        </w:rPr>
      </w:pPr>
      <w:r w:rsidRPr="009C77BC">
        <w:rPr>
          <w:lang w:val="x-none" w:eastAsia="en-US"/>
        </w:rPr>
        <w:t xml:space="preserve">Pokuta sa uloží opakovane v prípade, ak bude podiel celkovej sumy dlhu obce alebo vyššieho územného celku na skutočných bežných príjmoch predchádzajúceho rozpočtového roka v nasledujúcich rozpočtových rokov vyšší, ako ku koncu predchádzajúceho rozpočtového roka. V prípade medziročného nárastu podielu celkovej sumy dlhu na skutočných bežných príjmoch predchádzajúceho rozpočtového roka, bude výška ďalšej pokuty 5 % z tohto medziročného nárastu. </w:t>
      </w:r>
    </w:p>
    <w:p w:rsidR="009C77BC" w:rsidRPr="009C77BC" w:rsidP="009C77BC">
      <w:pPr>
        <w:ind w:left="2832"/>
        <w:contextualSpacing/>
        <w:jc w:val="both"/>
        <w:rPr>
          <w:b/>
          <w:color w:val="303030"/>
          <w:szCs w:val="22"/>
          <w:lang w:val="x-none" w:eastAsia="en-US"/>
        </w:rPr>
      </w:pPr>
      <w:r w:rsidRPr="009C77BC">
        <w:rPr>
          <w:lang w:eastAsia="en-US"/>
        </w:rPr>
        <w:t>P</w:t>
      </w:r>
      <w:r w:rsidRPr="009C77BC">
        <w:rPr>
          <w:lang w:val="x-none" w:eastAsia="en-US"/>
        </w:rPr>
        <w:t>okuta sa neuloží v prípade, ak jej výška nepresiahne sumu 40 eur obdobne ako pri ukladaní pokút podľa § 31 zákona č. 523/2004 Z. z. o rozpočtových pravidlách verejnej správy.</w:t>
      </w:r>
    </w:p>
    <w:p w:rsidR="009C77BC" w:rsidP="00C93752">
      <w:pPr>
        <w:rPr>
          <w:b/>
        </w:rPr>
      </w:pPr>
    </w:p>
    <w:p w:rsidR="0032454B" w:rsidP="009C77BC">
      <w:pPr>
        <w:ind w:left="2124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32454B" w:rsidP="009C77BC">
      <w:pPr>
        <w:ind w:left="2832"/>
        <w:jc w:val="both"/>
      </w:pPr>
      <w:r>
        <w:rPr>
          <w:b/>
        </w:rPr>
        <w:t>Gestorský výbor odporúča schváliť.</w:t>
      </w:r>
    </w:p>
    <w:p w:rsidR="009C77BC" w:rsidP="009C77BC">
      <w:pPr>
        <w:ind w:left="2832" w:firstLine="708"/>
        <w:jc w:val="both"/>
        <w:rPr>
          <w:b/>
        </w:rPr>
      </w:pPr>
    </w:p>
    <w:p w:rsidR="000C1A09" w:rsidP="009C77BC">
      <w:pPr>
        <w:ind w:left="2832" w:firstLine="708"/>
        <w:jc w:val="both"/>
        <w:rPr>
          <w:b/>
        </w:rPr>
      </w:pPr>
    </w:p>
    <w:p w:rsidR="000C1A09" w:rsidP="009C77BC">
      <w:pPr>
        <w:ind w:left="2832" w:firstLine="708"/>
        <w:jc w:val="both"/>
        <w:rPr>
          <w:b/>
        </w:rPr>
      </w:pPr>
    </w:p>
    <w:p w:rsidR="000C1A09" w:rsidP="009C77BC">
      <w:pPr>
        <w:ind w:left="2832" w:firstLine="708"/>
        <w:jc w:val="both"/>
        <w:rPr>
          <w:b/>
        </w:rPr>
      </w:pPr>
    </w:p>
    <w:p w:rsidR="000C1A09" w:rsidP="009C77BC">
      <w:pPr>
        <w:ind w:left="2832" w:firstLine="708"/>
        <w:jc w:val="both"/>
        <w:rPr>
          <w:b/>
        </w:rPr>
      </w:pPr>
    </w:p>
    <w:p w:rsidR="000C1A09" w:rsidRPr="002F0407" w:rsidP="000C1A09">
      <w:pPr>
        <w:numPr>
          <w:ilvl w:val="0"/>
          <w:numId w:val="39"/>
        </w:numPr>
        <w:jc w:val="both"/>
        <w:rPr>
          <w:b/>
        </w:rPr>
      </w:pPr>
      <w:r>
        <w:rPr>
          <w:b/>
        </w:rPr>
        <w:t xml:space="preserve">Za doterajší </w:t>
      </w:r>
      <w:r w:rsidRPr="002F0407">
        <w:rPr>
          <w:b/>
        </w:rPr>
        <w:t xml:space="preserve">čl. II </w:t>
      </w:r>
      <w:r>
        <w:rPr>
          <w:b/>
        </w:rPr>
        <w:t xml:space="preserve">sa vkladá </w:t>
      </w:r>
      <w:r w:rsidRPr="002F0407">
        <w:rPr>
          <w:b/>
        </w:rPr>
        <w:t>nový čl. III</w:t>
      </w:r>
      <w:r>
        <w:rPr>
          <w:b/>
        </w:rPr>
        <w:t>, ktorý znie</w:t>
      </w:r>
      <w:r w:rsidRPr="002F0407">
        <w:rPr>
          <w:b/>
        </w:rPr>
        <w:t>:</w:t>
      </w:r>
    </w:p>
    <w:p w:rsidR="000C1A09" w:rsidRPr="002F0407" w:rsidP="000C1A09">
      <w:pPr>
        <w:jc w:val="both"/>
        <w:rPr>
          <w:b/>
        </w:rPr>
      </w:pPr>
    </w:p>
    <w:p w:rsidR="000C1A09" w:rsidRPr="009C77BC" w:rsidP="000C1A09">
      <w:pPr>
        <w:jc w:val="center"/>
      </w:pPr>
      <w:r w:rsidRPr="009C77BC">
        <w:t>„Čl. III</w:t>
      </w:r>
    </w:p>
    <w:p w:rsidR="000C1A09" w:rsidRPr="008B2A09" w:rsidP="000C1A09">
      <w:pPr>
        <w:jc w:val="center"/>
        <w:rPr>
          <w:b/>
        </w:rPr>
      </w:pPr>
    </w:p>
    <w:p w:rsidR="000C1A09" w:rsidP="000C1A09">
      <w:pPr>
        <w:ind w:left="708"/>
        <w:jc w:val="both"/>
        <w:rPr>
          <w:iCs/>
        </w:rPr>
      </w:pPr>
      <w:r>
        <w:rPr>
          <w:iCs/>
        </w:rPr>
        <w:t>Zákon č. 185/2002</w:t>
      </w:r>
      <w:r w:rsidRPr="008B2A09">
        <w:rPr>
          <w:iCs/>
        </w:rPr>
        <w:t xml:space="preserve"> Z. z. o</w:t>
      </w:r>
      <w:r>
        <w:rPr>
          <w:iCs/>
        </w:rPr>
        <w:t xml:space="preserve"> </w:t>
      </w:r>
      <w:r w:rsidRPr="005F0194">
        <w:rPr>
          <w:iCs/>
        </w:rPr>
        <w:t>Súdnej rade Slovenskej republiky a o zmene a doplnení niektorých zákonov</w:t>
      </w:r>
      <w:r w:rsidRPr="008B2A09">
        <w:rPr>
          <w:iCs/>
        </w:rPr>
        <w:t xml:space="preserve"> </w:t>
      </w:r>
      <w:r>
        <w:rPr>
          <w:iCs/>
        </w:rPr>
        <w:t xml:space="preserve">v znení zákona č. </w:t>
      </w:r>
      <w:r w:rsidRPr="005F0194">
        <w:rPr>
          <w:iCs/>
        </w:rPr>
        <w:t>267/2003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426/2003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267/2003 Z.</w:t>
      </w:r>
      <w:r>
        <w:rPr>
          <w:iCs/>
        </w:rPr>
        <w:t xml:space="preserve"> </w:t>
      </w:r>
      <w:r w:rsidRPr="005F0194">
        <w:rPr>
          <w:iCs/>
        </w:rPr>
        <w:t xml:space="preserve">z., </w:t>
      </w:r>
      <w:r>
        <w:rPr>
          <w:iCs/>
        </w:rPr>
        <w:t xml:space="preserve">zákona č. </w:t>
      </w:r>
      <w:r w:rsidRPr="005F0194">
        <w:rPr>
          <w:iCs/>
        </w:rPr>
        <w:t>548/2003 Z.</w:t>
      </w:r>
      <w:r>
        <w:rPr>
          <w:iCs/>
        </w:rPr>
        <w:t xml:space="preserve"> z., zákona č. </w:t>
      </w:r>
      <w:r w:rsidRPr="005F0194">
        <w:rPr>
          <w:iCs/>
        </w:rPr>
        <w:t>458/2003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523/2004 Z</w:t>
      </w:r>
      <w:r>
        <w:rPr>
          <w:iCs/>
        </w:rPr>
        <w:t xml:space="preserve"> </w:t>
      </w:r>
      <w:r w:rsidRPr="005F0194">
        <w:rPr>
          <w:iCs/>
        </w:rPr>
        <w:t>.z.</w:t>
      </w:r>
      <w:r>
        <w:rPr>
          <w:iCs/>
        </w:rPr>
        <w:t xml:space="preserve">, zákona č. </w:t>
      </w:r>
      <w:r w:rsidRPr="005F0194">
        <w:rPr>
          <w:iCs/>
        </w:rPr>
        <w:t>597/2008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290/2009 Z.</w:t>
      </w:r>
      <w:r>
        <w:rPr>
          <w:iCs/>
        </w:rPr>
        <w:t xml:space="preserve"> </w:t>
      </w:r>
      <w:r w:rsidRPr="005F0194">
        <w:rPr>
          <w:iCs/>
        </w:rPr>
        <w:t>z.,</w:t>
      </w:r>
      <w:r>
        <w:rPr>
          <w:iCs/>
        </w:rPr>
        <w:t xml:space="preserve"> zákona č.</w:t>
      </w:r>
      <w:r w:rsidRPr="005F0194">
        <w:rPr>
          <w:iCs/>
        </w:rPr>
        <w:t xml:space="preserve"> 291/2009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400/2009 Z.</w:t>
      </w:r>
      <w:r>
        <w:rPr>
          <w:iCs/>
        </w:rPr>
        <w:t xml:space="preserve"> z., zákona č. </w:t>
      </w:r>
      <w:r w:rsidRPr="005F0194">
        <w:rPr>
          <w:iCs/>
        </w:rPr>
        <w:t>495/2010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467/2011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110/2012 </w:t>
      </w:r>
      <w:r w:rsidRPr="005F0194">
        <w:rPr>
          <w:iCs/>
        </w:rPr>
        <w:t>Z</w:t>
      </w:r>
      <w:r>
        <w:rPr>
          <w:iCs/>
        </w:rPr>
        <w:t xml:space="preserve">. z., zákona č. </w:t>
      </w:r>
      <w:r w:rsidRPr="005F0194">
        <w:rPr>
          <w:iCs/>
        </w:rPr>
        <w:t>195/2014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, zákona č. </w:t>
      </w:r>
      <w:r w:rsidRPr="005F0194">
        <w:rPr>
          <w:iCs/>
        </w:rPr>
        <w:t>261/2014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 a zákona č. </w:t>
      </w:r>
      <w:r w:rsidRPr="005F0194">
        <w:rPr>
          <w:iCs/>
        </w:rPr>
        <w:t>322/2014 Z.</w:t>
      </w:r>
      <w:r>
        <w:rPr>
          <w:iCs/>
        </w:rPr>
        <w:t xml:space="preserve"> </w:t>
      </w:r>
      <w:r w:rsidRPr="005F0194">
        <w:rPr>
          <w:iCs/>
        </w:rPr>
        <w:t>z.</w:t>
      </w:r>
      <w:r>
        <w:rPr>
          <w:iCs/>
        </w:rPr>
        <w:t xml:space="preserve"> sa mení takto:</w:t>
      </w:r>
    </w:p>
    <w:p w:rsidR="000C1A09" w:rsidRPr="005F0194" w:rsidP="000C1A09">
      <w:pPr>
        <w:jc w:val="both"/>
        <w:rPr>
          <w:iCs/>
        </w:rPr>
      </w:pPr>
    </w:p>
    <w:p w:rsidR="00A867C6" w:rsidRPr="00C63D86" w:rsidP="00A867C6">
      <w:pPr>
        <w:ind w:firstLine="708"/>
        <w:jc w:val="both"/>
      </w:pPr>
      <w:r w:rsidRPr="00C63D86">
        <w:t>V § 9 odsek 3 znie:</w:t>
      </w:r>
    </w:p>
    <w:p w:rsidR="00A867C6" w:rsidRPr="00C63D86" w:rsidP="00A867C6">
      <w:pPr>
        <w:ind w:firstLine="708"/>
        <w:jc w:val="both"/>
      </w:pPr>
      <w:r w:rsidRPr="00C63D86">
        <w:t>„(3) Kancelária  súdnej rady je rozpočtová organizácia.“.“.</w:t>
      </w:r>
    </w:p>
    <w:p w:rsidR="00A867C6" w:rsidRPr="00C63D86" w:rsidP="00A867C6">
      <w:pPr>
        <w:jc w:val="both"/>
      </w:pPr>
    </w:p>
    <w:p w:rsidR="00A867C6" w:rsidRPr="00C63D86" w:rsidP="00A867C6">
      <w:pPr>
        <w:ind w:firstLine="708"/>
        <w:jc w:val="both"/>
      </w:pPr>
      <w:r w:rsidRPr="00C63D86">
        <w:t xml:space="preserve">Nasledujúci článok sa primerane prečísluje. </w:t>
      </w:r>
    </w:p>
    <w:p w:rsidR="00A867C6" w:rsidRPr="00C63D86" w:rsidP="00A867C6">
      <w:pPr>
        <w:pStyle w:val="BodyText"/>
        <w:tabs>
          <w:tab w:val="left" w:pos="540"/>
        </w:tabs>
        <w:ind w:right="-2"/>
      </w:pPr>
    </w:p>
    <w:p w:rsidR="00A867C6" w:rsidRPr="00A867C6" w:rsidP="00A867C6">
      <w:pPr>
        <w:pStyle w:val="BodyText"/>
        <w:tabs>
          <w:tab w:val="left" w:pos="540"/>
        </w:tabs>
        <w:ind w:left="708" w:right="-2"/>
        <w:rPr>
          <w:b w:val="0"/>
        </w:rPr>
      </w:pPr>
      <w:r w:rsidRPr="00A867C6">
        <w:rPr>
          <w:b w:val="0"/>
        </w:rPr>
        <w:t xml:space="preserve">Navrhovaná úprava nadobúda účinnosť 1. januára 2016, čo sa premietne do ustanovení o účinnosti.  </w:t>
      </w:r>
    </w:p>
    <w:p w:rsidR="00A867C6" w:rsidP="00A867C6">
      <w:pPr>
        <w:ind w:left="3540"/>
        <w:jc w:val="both"/>
        <w:rPr>
          <w:iCs/>
        </w:rPr>
      </w:pPr>
    </w:p>
    <w:p w:rsidR="00A867C6" w:rsidP="00A867C6">
      <w:pPr>
        <w:ind w:left="2835"/>
        <w:jc w:val="both"/>
        <w:rPr>
          <w:iCs/>
        </w:rPr>
      </w:pPr>
      <w:r w:rsidRPr="00C63D86">
        <w:rPr>
          <w:iCs/>
        </w:rPr>
        <w:t>Ustanovenie Kancelárie Súdnej rady Slovenskej republiky ako samostatnej kapitoly štátneho rozpočtu sa premieta do znenia zákona o Súdnej rade Slovenskej</w:t>
      </w:r>
      <w:r>
        <w:rPr>
          <w:iCs/>
        </w:rPr>
        <w:t xml:space="preserve"> republiky.  </w:t>
      </w:r>
    </w:p>
    <w:p w:rsidR="00A867C6" w:rsidP="000C1A09">
      <w:pPr>
        <w:ind w:left="2124" w:firstLine="708"/>
        <w:jc w:val="both"/>
        <w:rPr>
          <w:b/>
        </w:rPr>
      </w:pPr>
    </w:p>
    <w:p w:rsidR="000C1A09" w:rsidRPr="00327C8B" w:rsidP="000C1A09">
      <w:pPr>
        <w:ind w:left="2124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0C1A09" w:rsidRPr="0088416B" w:rsidP="000C1A09">
      <w:pPr>
        <w:pStyle w:val="BodyText2"/>
        <w:ind w:left="2124" w:firstLine="708"/>
      </w:pPr>
      <w:r w:rsidRPr="0088416B">
        <w:rPr>
          <w:b/>
        </w:rPr>
        <w:t>Gestorský výbor odporúča schváliť</w:t>
      </w:r>
      <w:r w:rsidR="00B30354">
        <w:rPr>
          <w:b/>
        </w:rPr>
        <w:t>.</w:t>
      </w:r>
    </w:p>
    <w:p w:rsidR="009C77BC" w:rsidP="009C77BC">
      <w:pPr>
        <w:ind w:left="2832" w:firstLine="708"/>
        <w:jc w:val="both"/>
        <w:rPr>
          <w:b/>
        </w:rPr>
      </w:pPr>
    </w:p>
    <w:p w:rsidR="009B012A" w:rsidP="00C93752">
      <w:pPr>
        <w:pStyle w:val="BodyText2"/>
        <w:ind w:firstLine="708"/>
      </w:pPr>
    </w:p>
    <w:p w:rsidR="00445EE1" w:rsidP="00C93752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C93752">
      <w:pPr>
        <w:pStyle w:val="BodyText2"/>
      </w:pPr>
    </w:p>
    <w:p w:rsidR="009B012A" w:rsidP="009B012A">
      <w:pPr>
        <w:pStyle w:val="BodyText2"/>
        <w:ind w:firstLine="708"/>
      </w:pPr>
      <w:r>
        <w:t xml:space="preserve">O bodoch spoločnej správy č. </w:t>
      </w:r>
      <w:r w:rsidR="00B30354">
        <w:rPr>
          <w:b/>
        </w:rPr>
        <w:t>1,2,3,4</w:t>
      </w:r>
      <w:r>
        <w:t xml:space="preserve"> hlasovať spoločne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B012A" w:rsidP="009B012A">
      <w:pPr>
        <w:pStyle w:val="BodyText2"/>
        <w:ind w:firstLine="708"/>
      </w:pPr>
    </w:p>
    <w:p w:rsidR="001F5F55" w:rsidP="00C93752">
      <w:pPr>
        <w:pStyle w:val="BodyText2"/>
        <w:tabs>
          <w:tab w:val="left" w:pos="4065"/>
        </w:tabs>
        <w:ind w:firstLine="708"/>
      </w:pPr>
    </w:p>
    <w:p w:rsidR="00233A93" w:rsidP="00C93752">
      <w:pPr>
        <w:pStyle w:val="BodyText2"/>
        <w:jc w:val="center"/>
        <w:rPr>
          <w:b/>
        </w:rPr>
      </w:pPr>
      <w:r>
        <w:rPr>
          <w:b/>
        </w:rPr>
        <w:t>V.</w:t>
      </w:r>
    </w:p>
    <w:p w:rsidR="00D219D3" w:rsidP="00C93752">
      <w:pPr>
        <w:pStyle w:val="BodyText2"/>
        <w:jc w:val="center"/>
        <w:rPr>
          <w:b/>
        </w:rPr>
      </w:pPr>
    </w:p>
    <w:p w:rsidR="00233A93" w:rsidRPr="00791F4B" w:rsidP="00C93752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510918" w:rsidR="00510918">
        <w:t>vládn</w:t>
      </w:r>
      <w:r w:rsidR="00510918">
        <w:t>emu</w:t>
      </w:r>
      <w:r w:rsidRPr="00510918" w:rsidR="00510918">
        <w:t xml:space="preserve"> návrhu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510918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C93752">
      <w:pPr>
        <w:pStyle w:val="BodyText2"/>
        <w:ind w:firstLine="708"/>
      </w:pPr>
    </w:p>
    <w:p w:rsidR="00233A93" w:rsidP="00C93752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D35084" w:rsidP="00C93752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C93752">
      <w:pPr>
        <w:tabs>
          <w:tab w:val="left" w:pos="720"/>
        </w:tabs>
        <w:jc w:val="both"/>
        <w:rPr>
          <w:b/>
          <w:bCs/>
        </w:rPr>
      </w:pPr>
      <w:r w:rsidR="00EF184C">
        <w:rPr>
          <w:szCs w:val="20"/>
        </w:rPr>
        <w:tab/>
      </w:r>
      <w:r w:rsidRPr="00510918" w:rsidR="00510918">
        <w:t>vládn</w:t>
      </w:r>
      <w:r w:rsidR="00510918">
        <w:t>y návrh</w:t>
      </w:r>
      <w:r w:rsidRPr="00510918" w:rsidR="00510918">
        <w:t xml:space="preserve">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510918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9C77BC" w:rsidP="00C93752">
      <w:pPr>
        <w:tabs>
          <w:tab w:val="left" w:pos="720"/>
        </w:tabs>
        <w:rPr>
          <w:b/>
          <w:bCs/>
        </w:rPr>
      </w:pPr>
    </w:p>
    <w:p w:rsidR="00B30354" w:rsidP="00C93752">
      <w:pPr>
        <w:tabs>
          <w:tab w:val="left" w:pos="720"/>
        </w:tabs>
        <w:rPr>
          <w:b/>
          <w:bCs/>
        </w:rPr>
      </w:pPr>
    </w:p>
    <w:p w:rsidR="00B30354" w:rsidP="00C93752">
      <w:pPr>
        <w:tabs>
          <w:tab w:val="left" w:pos="720"/>
        </w:tabs>
        <w:rPr>
          <w:b/>
          <w:bCs/>
        </w:rPr>
      </w:pPr>
    </w:p>
    <w:p w:rsidR="00B30354" w:rsidP="00C93752">
      <w:pPr>
        <w:tabs>
          <w:tab w:val="left" w:pos="720"/>
        </w:tabs>
        <w:rPr>
          <w:b/>
          <w:bCs/>
        </w:rPr>
      </w:pPr>
    </w:p>
    <w:p w:rsidR="00B30354" w:rsidP="00C93752">
      <w:pPr>
        <w:tabs>
          <w:tab w:val="left" w:pos="720"/>
        </w:tabs>
        <w:rPr>
          <w:b/>
          <w:bCs/>
        </w:rPr>
      </w:pPr>
    </w:p>
    <w:p w:rsidR="00B30354" w:rsidP="00C93752">
      <w:pPr>
        <w:tabs>
          <w:tab w:val="left" w:pos="720"/>
        </w:tabs>
        <w:rPr>
          <w:b/>
          <w:bCs/>
        </w:rPr>
      </w:pPr>
    </w:p>
    <w:p w:rsidR="00233A93" w:rsidP="00C93752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510918" w:rsidR="00510918">
        <w:t>vládnom návrhu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</w:t>
      </w:r>
      <w:r w:rsidR="00510918">
        <w:t>a</w:t>
      </w:r>
      <w:r w:rsidRPr="00510918" w:rsidR="00510918">
        <w:t>)</w:t>
      </w:r>
      <w:r w:rsidR="00510918">
        <w:t xml:space="preserve"> </w:t>
      </w:r>
      <w:r>
        <w:t>bola schválená</w:t>
      </w:r>
      <w:r w:rsidR="00B30354">
        <w:t xml:space="preserve"> uznesením gestorského výboru č 441</w:t>
      </w:r>
      <w:r w:rsidR="009124B6">
        <w:t xml:space="preserve"> </w:t>
      </w:r>
      <w:r>
        <w:t>z</w:t>
      </w:r>
      <w:r w:rsidR="009B012A">
        <w:t>o</w:t>
      </w:r>
      <w:r w:rsidR="00E6496B">
        <w:t xml:space="preserve"> </w:t>
      </w:r>
      <w:r w:rsidR="000734C1">
        <w:t>1</w:t>
      </w:r>
      <w:r w:rsidR="009B012A">
        <w:t>6</w:t>
      </w:r>
      <w:r w:rsidR="002741E7">
        <w:t xml:space="preserve">. </w:t>
      </w:r>
      <w:r w:rsidR="00510918">
        <w:t>júna</w:t>
      </w:r>
      <w:r w:rsidR="00D365D2">
        <w:t xml:space="preserve"> 20</w:t>
      </w:r>
      <w:r w:rsidR="0020341D">
        <w:t>1</w:t>
      </w:r>
      <w:r w:rsidR="00510918">
        <w:t>5</w:t>
      </w:r>
      <w:r w:rsidR="0020341D">
        <w:t>. Výbor určil poslan</w:t>
      </w:r>
      <w:r w:rsidR="00D219D3">
        <w:t>ca</w:t>
      </w:r>
      <w:r w:rsidR="007F1816">
        <w:t xml:space="preserve"> </w:t>
      </w:r>
      <w:r w:rsidRPr="00510918" w:rsidR="00510918">
        <w:rPr>
          <w:b/>
        </w:rPr>
        <w:t>Milana Mojša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D35084" w:rsidP="00C93752">
      <w:pPr>
        <w:pStyle w:val="BodyText2"/>
      </w:pPr>
      <w:r w:rsidR="000106DD">
        <w:t xml:space="preserve"> </w:t>
      </w:r>
    </w:p>
    <w:p w:rsidR="00EF184C" w:rsidP="00C93752">
      <w:pPr>
        <w:pStyle w:val="BodyText2"/>
      </w:pPr>
    </w:p>
    <w:p w:rsidR="00233A93" w:rsidP="00C93752">
      <w:pPr>
        <w:pStyle w:val="BodyText2"/>
      </w:pPr>
      <w:r w:rsidR="00F35587">
        <w:t xml:space="preserve">Súčasne </w:t>
      </w:r>
      <w:r w:rsidR="00D219D3">
        <w:t>ho</w:t>
      </w:r>
      <w:r>
        <w:t xml:space="preserve"> poveril</w:t>
      </w:r>
    </w:p>
    <w:p w:rsidR="00D35084" w:rsidP="00C93752">
      <w:pPr>
        <w:pStyle w:val="BodyText2"/>
      </w:pPr>
    </w:p>
    <w:p w:rsidR="00233A93" w:rsidP="00C93752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C93752">
      <w:pPr>
        <w:pStyle w:val="BodyText3"/>
        <w:rPr>
          <w:lang w:val="sk-SK"/>
        </w:rPr>
      </w:pPr>
    </w:p>
    <w:p w:rsidR="00C00821" w:rsidP="00C93752">
      <w:pPr>
        <w:pStyle w:val="BodyText3"/>
        <w:numPr>
          <w:ilvl w:val="0"/>
          <w:numId w:val="34"/>
        </w:numPr>
        <w:rPr>
          <w:lang w:val="sk-SK"/>
        </w:rPr>
      </w:pPr>
      <w:r w:rsidRPr="00C00821"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>
        <w:rPr>
          <w:lang w:val="sk-SK"/>
        </w:rPr>
        <w:t xml:space="preserve">(§ 83 ods. 2 a ods. 4, § 84 ods. 2 a § 86 zákona č. 350/1996 Z. z.). </w:t>
      </w:r>
    </w:p>
    <w:p w:rsidR="00597395" w:rsidRPr="00C00821" w:rsidP="00C93752">
      <w:pPr>
        <w:pStyle w:val="BodyText3"/>
        <w:ind w:left="720"/>
        <w:rPr>
          <w:lang w:val="sk-SK"/>
        </w:rPr>
      </w:pPr>
    </w:p>
    <w:p w:rsidR="00EF184C" w:rsidP="00C93752">
      <w:pPr>
        <w:pStyle w:val="BodyText3"/>
        <w:ind w:left="720"/>
        <w:rPr>
          <w:lang w:val="sk-SK"/>
        </w:rPr>
      </w:pPr>
    </w:p>
    <w:p w:rsidR="00EF184C" w:rsidP="00C93752">
      <w:pPr>
        <w:pStyle w:val="BodyText3"/>
        <w:ind w:left="720"/>
        <w:rPr>
          <w:lang w:val="sk-SK"/>
        </w:rPr>
      </w:pPr>
    </w:p>
    <w:p w:rsidR="00233A93" w:rsidP="00C93752">
      <w:pPr>
        <w:pStyle w:val="BodyText2"/>
        <w:jc w:val="center"/>
      </w:pPr>
      <w:r>
        <w:t xml:space="preserve">Bratislava </w:t>
      </w:r>
      <w:r w:rsidR="009124B6">
        <w:t>1</w:t>
      </w:r>
      <w:r w:rsidR="009B012A">
        <w:t>6</w:t>
      </w:r>
      <w:r w:rsidR="009124B6">
        <w:t xml:space="preserve">. </w:t>
      </w:r>
      <w:r w:rsidR="00510918">
        <w:t>júna</w:t>
      </w:r>
      <w:r w:rsidR="00385F60">
        <w:t xml:space="preserve"> </w:t>
      </w:r>
      <w:r w:rsidR="00C23D38">
        <w:t>201</w:t>
      </w:r>
      <w:r w:rsidR="00510918">
        <w:t>5</w:t>
      </w:r>
    </w:p>
    <w:p w:rsidR="00B94345" w:rsidP="00C93752">
      <w:pPr>
        <w:pStyle w:val="BodyText2"/>
      </w:pPr>
    </w:p>
    <w:p w:rsidR="00AB5099" w:rsidP="00C93752">
      <w:pPr>
        <w:pStyle w:val="BodyText2"/>
      </w:pPr>
    </w:p>
    <w:p w:rsidR="00613A37" w:rsidP="00C93752">
      <w:pPr>
        <w:pStyle w:val="BodyText2"/>
      </w:pPr>
    </w:p>
    <w:p w:rsidR="00D35084" w:rsidP="00C93752">
      <w:pPr>
        <w:pStyle w:val="BodyText2"/>
      </w:pPr>
    </w:p>
    <w:p w:rsidR="00075545" w:rsidP="00C93752">
      <w:pPr>
        <w:pStyle w:val="BodyText2"/>
      </w:pPr>
    </w:p>
    <w:p w:rsidR="00D35084" w:rsidP="00C93752">
      <w:pPr>
        <w:pStyle w:val="BodyText2"/>
      </w:pPr>
    </w:p>
    <w:p w:rsidR="00D35084" w:rsidP="00C93752">
      <w:pPr>
        <w:pStyle w:val="BodyText2"/>
      </w:pPr>
    </w:p>
    <w:p w:rsidR="00194A2B" w:rsidP="00C93752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2C480E">
        <w:rPr>
          <w:b/>
          <w:bCs/>
        </w:rPr>
        <w:t> </w:t>
      </w:r>
      <w:r w:rsidR="00C23D38">
        <w:rPr>
          <w:b/>
          <w:bCs/>
        </w:rPr>
        <w:t>ň</w:t>
      </w:r>
      <w:r w:rsidR="002C480E">
        <w:rPr>
          <w:b/>
          <w:bCs/>
        </w:rPr>
        <w:t>, v.r.</w:t>
      </w:r>
    </w:p>
    <w:p w:rsidR="00233A93" w:rsidP="00C9375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C93752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5F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80E">
      <w:rPr>
        <w:rStyle w:val="PageNumber"/>
        <w:noProof/>
      </w:rPr>
      <w:t>5</w:t>
    </w:r>
    <w:r>
      <w:rPr>
        <w:rStyle w:val="PageNumber"/>
      </w:rPr>
      <w:fldChar w:fldCharType="end"/>
    </w:r>
  </w:p>
  <w:p w:rsidR="001F5F5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7D5F29"/>
    <w:multiLevelType w:val="hybridMultilevel"/>
    <w:tmpl w:val="2702E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B65638A"/>
    <w:multiLevelType w:val="hybridMultilevel"/>
    <w:tmpl w:val="F7DAF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2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B819DA"/>
    <w:multiLevelType w:val="hybridMultilevel"/>
    <w:tmpl w:val="34E8F0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94991"/>
    <w:multiLevelType w:val="hybridMultilevel"/>
    <w:tmpl w:val="53E8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9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7B0078"/>
    <w:multiLevelType w:val="hybridMultilevel"/>
    <w:tmpl w:val="3BC2FC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A03CCA"/>
    <w:multiLevelType w:val="hybridMultilevel"/>
    <w:tmpl w:val="24C296B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</w:num>
  <w:num w:numId="2">
    <w:abstractNumId w:val="21"/>
    <w:lvlOverride w:ilvl="0">
      <w:startOverride w:val="1"/>
    </w:lvlOverride>
  </w:num>
  <w:num w:numId="3">
    <w:abstractNumId w:val="32"/>
  </w:num>
  <w:num w:numId="4">
    <w:abstractNumId w:val="29"/>
  </w:num>
  <w:num w:numId="5">
    <w:abstractNumId w:val="17"/>
  </w:num>
  <w:num w:numId="6">
    <w:abstractNumId w:val="6"/>
  </w:num>
  <w:num w:numId="7">
    <w:abstractNumId w:val="27"/>
  </w:num>
  <w:num w:numId="8">
    <w:abstractNumId w:val="34"/>
  </w:num>
  <w:num w:numId="9">
    <w:abstractNumId w:val="19"/>
  </w:num>
  <w:num w:numId="10">
    <w:abstractNumId w:val="36"/>
  </w:num>
  <w:num w:numId="11">
    <w:abstractNumId w:val="1"/>
  </w:num>
  <w:num w:numId="12">
    <w:abstractNumId w:val="22"/>
  </w:num>
  <w:num w:numId="13">
    <w:abstractNumId w:val="4"/>
  </w:num>
  <w:num w:numId="14">
    <w:abstractNumId w:val="13"/>
  </w:num>
  <w:num w:numId="15">
    <w:abstractNumId w:val="15"/>
  </w:num>
  <w:num w:numId="16">
    <w:abstractNumId w:val="31"/>
  </w:num>
  <w:num w:numId="17">
    <w:abstractNumId w:val="8"/>
  </w:num>
  <w:num w:numId="18">
    <w:abstractNumId w:val="7"/>
  </w:num>
  <w:num w:numId="19">
    <w:abstractNumId w:val="0"/>
  </w:num>
  <w:num w:numId="20">
    <w:abstractNumId w:val="30"/>
  </w:num>
  <w:num w:numId="21">
    <w:abstractNumId w:val="26"/>
  </w:num>
  <w:num w:numId="22">
    <w:abstractNumId w:val="14"/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16"/>
  </w:num>
  <w:num w:numId="31">
    <w:abstractNumId w:val="2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0D97"/>
    <w:rsid w:val="000734C1"/>
    <w:rsid w:val="00073A82"/>
    <w:rsid w:val="00075545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1A09"/>
    <w:rsid w:val="000C2C95"/>
    <w:rsid w:val="000C2E4D"/>
    <w:rsid w:val="000C4558"/>
    <w:rsid w:val="000C4689"/>
    <w:rsid w:val="000C5A6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319"/>
    <w:rsid w:val="000F7E66"/>
    <w:rsid w:val="00101249"/>
    <w:rsid w:val="00101B40"/>
    <w:rsid w:val="00102B7B"/>
    <w:rsid w:val="00103337"/>
    <w:rsid w:val="0010370B"/>
    <w:rsid w:val="001056A3"/>
    <w:rsid w:val="00105888"/>
    <w:rsid w:val="001149BB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09E2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5F55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0CE5"/>
    <w:rsid w:val="002414D8"/>
    <w:rsid w:val="00243AD8"/>
    <w:rsid w:val="00243E4D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4D26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80E"/>
    <w:rsid w:val="002C4F50"/>
    <w:rsid w:val="002C508A"/>
    <w:rsid w:val="002C5F1F"/>
    <w:rsid w:val="002C6B8A"/>
    <w:rsid w:val="002D1023"/>
    <w:rsid w:val="002D2C89"/>
    <w:rsid w:val="002D3D1F"/>
    <w:rsid w:val="002D5574"/>
    <w:rsid w:val="002D5A31"/>
    <w:rsid w:val="002D6473"/>
    <w:rsid w:val="002E67DE"/>
    <w:rsid w:val="002F0407"/>
    <w:rsid w:val="002F3B27"/>
    <w:rsid w:val="002F4631"/>
    <w:rsid w:val="002F5483"/>
    <w:rsid w:val="002F7336"/>
    <w:rsid w:val="003003B7"/>
    <w:rsid w:val="00301D8C"/>
    <w:rsid w:val="00301E94"/>
    <w:rsid w:val="00302AD6"/>
    <w:rsid w:val="003039A8"/>
    <w:rsid w:val="00304962"/>
    <w:rsid w:val="003069F7"/>
    <w:rsid w:val="003079DA"/>
    <w:rsid w:val="0031063E"/>
    <w:rsid w:val="00312C55"/>
    <w:rsid w:val="00315803"/>
    <w:rsid w:val="003169EC"/>
    <w:rsid w:val="00316EBA"/>
    <w:rsid w:val="00317A71"/>
    <w:rsid w:val="003216C8"/>
    <w:rsid w:val="00322ED7"/>
    <w:rsid w:val="0032454B"/>
    <w:rsid w:val="00324934"/>
    <w:rsid w:val="00327C8B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3998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060E"/>
    <w:rsid w:val="003C1AC2"/>
    <w:rsid w:val="003C1BE0"/>
    <w:rsid w:val="003C2174"/>
    <w:rsid w:val="003C26AC"/>
    <w:rsid w:val="003D6EDC"/>
    <w:rsid w:val="003D7154"/>
    <w:rsid w:val="003E0950"/>
    <w:rsid w:val="003E1359"/>
    <w:rsid w:val="003E55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13A7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0918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47EF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03CE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0194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35640"/>
    <w:rsid w:val="0063795D"/>
    <w:rsid w:val="00642165"/>
    <w:rsid w:val="00644CFC"/>
    <w:rsid w:val="00645D6A"/>
    <w:rsid w:val="00651F54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262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6F7A95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98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43A"/>
    <w:rsid w:val="00740C06"/>
    <w:rsid w:val="007411BA"/>
    <w:rsid w:val="00741E32"/>
    <w:rsid w:val="00742C22"/>
    <w:rsid w:val="00752A2A"/>
    <w:rsid w:val="00753032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2724"/>
    <w:rsid w:val="007D5D65"/>
    <w:rsid w:val="007D65E5"/>
    <w:rsid w:val="007D6AC6"/>
    <w:rsid w:val="007D77A1"/>
    <w:rsid w:val="007E01FF"/>
    <w:rsid w:val="007E0AA2"/>
    <w:rsid w:val="007E2AF9"/>
    <w:rsid w:val="007E5CDC"/>
    <w:rsid w:val="007E661E"/>
    <w:rsid w:val="007F1816"/>
    <w:rsid w:val="007F1915"/>
    <w:rsid w:val="007F1C89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46BC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494D"/>
    <w:rsid w:val="00875134"/>
    <w:rsid w:val="00875152"/>
    <w:rsid w:val="0087761F"/>
    <w:rsid w:val="00877725"/>
    <w:rsid w:val="00877D6D"/>
    <w:rsid w:val="00877FD0"/>
    <w:rsid w:val="008838A2"/>
    <w:rsid w:val="00883C11"/>
    <w:rsid w:val="0088416B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2A09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2FE0"/>
    <w:rsid w:val="009A5688"/>
    <w:rsid w:val="009A6FDE"/>
    <w:rsid w:val="009B012A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C77BC"/>
    <w:rsid w:val="009D1A4D"/>
    <w:rsid w:val="009D4879"/>
    <w:rsid w:val="009D60F5"/>
    <w:rsid w:val="009D7E8F"/>
    <w:rsid w:val="009D7FAC"/>
    <w:rsid w:val="009E0462"/>
    <w:rsid w:val="009E056C"/>
    <w:rsid w:val="009E0753"/>
    <w:rsid w:val="009E2C43"/>
    <w:rsid w:val="009E38EE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1975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867C6"/>
    <w:rsid w:val="00A900F5"/>
    <w:rsid w:val="00A916A4"/>
    <w:rsid w:val="00A92513"/>
    <w:rsid w:val="00A9456B"/>
    <w:rsid w:val="00AA3C33"/>
    <w:rsid w:val="00AA3EC8"/>
    <w:rsid w:val="00AA5221"/>
    <w:rsid w:val="00AA557C"/>
    <w:rsid w:val="00AA6C0C"/>
    <w:rsid w:val="00AB43C7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0354"/>
    <w:rsid w:val="00B325F3"/>
    <w:rsid w:val="00B37FC1"/>
    <w:rsid w:val="00B40188"/>
    <w:rsid w:val="00B41EA1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0FD9"/>
    <w:rsid w:val="00BA43CC"/>
    <w:rsid w:val="00BA6BF8"/>
    <w:rsid w:val="00BA6F6E"/>
    <w:rsid w:val="00BA7A09"/>
    <w:rsid w:val="00BB309D"/>
    <w:rsid w:val="00BB3905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C63F8"/>
    <w:rsid w:val="00BD0A58"/>
    <w:rsid w:val="00BD25B8"/>
    <w:rsid w:val="00BD6F27"/>
    <w:rsid w:val="00BE0BD4"/>
    <w:rsid w:val="00BE2AA2"/>
    <w:rsid w:val="00BE4148"/>
    <w:rsid w:val="00BE636E"/>
    <w:rsid w:val="00BE6FE0"/>
    <w:rsid w:val="00BF27C0"/>
    <w:rsid w:val="00BF3C60"/>
    <w:rsid w:val="00BF59F6"/>
    <w:rsid w:val="00BF5C20"/>
    <w:rsid w:val="00BF6BF2"/>
    <w:rsid w:val="00C00175"/>
    <w:rsid w:val="00C00821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3D86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752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0075"/>
    <w:rsid w:val="00CC4F04"/>
    <w:rsid w:val="00CC650A"/>
    <w:rsid w:val="00CC65FE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9D3"/>
    <w:rsid w:val="00D24BC0"/>
    <w:rsid w:val="00D2644C"/>
    <w:rsid w:val="00D2759E"/>
    <w:rsid w:val="00D311CA"/>
    <w:rsid w:val="00D3131A"/>
    <w:rsid w:val="00D33D20"/>
    <w:rsid w:val="00D35084"/>
    <w:rsid w:val="00D3523E"/>
    <w:rsid w:val="00D36063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25DE"/>
    <w:rsid w:val="00D92E17"/>
    <w:rsid w:val="00D93025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091"/>
    <w:rsid w:val="00E13BBE"/>
    <w:rsid w:val="00E21951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9E2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365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D75C3"/>
    <w:rsid w:val="00EE5306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5D7B"/>
    <w:rsid w:val="00F96B4B"/>
    <w:rsid w:val="00F96EB2"/>
    <w:rsid w:val="00FA0D44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Zkladntext3Char">
    <w:name w:val="Základný text 3 Char"/>
    <w:link w:val="BodyText3"/>
    <w:rsid w:val="00C00821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825</cp:revision>
  <cp:lastPrinted>2012-11-26T07:31:00Z</cp:lastPrinted>
  <dcterms:created xsi:type="dcterms:W3CDTF">2002-11-04T12:16:00Z</dcterms:created>
  <dcterms:modified xsi:type="dcterms:W3CDTF">2015-06-16T10:56:00Z</dcterms:modified>
</cp:coreProperties>
</file>