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F251B9">
        <w:t>8</w:t>
      </w:r>
      <w:r w:rsidRPr="006229BF" w:rsidR="006229BF">
        <w:t>1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251B9">
        <w:t>794</w:t>
      </w:r>
      <w:r w:rsidRPr="00053FB9" w:rsidR="003371B9">
        <w:t>/</w:t>
      </w:r>
      <w:r w:rsidR="00053FB9">
        <w:t>201</w:t>
      </w:r>
      <w:r w:rsidR="00F251B9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7A696F">
        <w:rPr>
          <w:b/>
        </w:rPr>
        <w:t xml:space="preserve">        </w:t>
      </w:r>
      <w:r w:rsidR="00F32B25">
        <w:rPr>
          <w:b/>
        </w:rPr>
        <w:t xml:space="preserve"> 431</w:t>
      </w:r>
      <w:r w:rsidR="007A696F">
        <w:rPr>
          <w:b/>
        </w:rPr>
        <w:t xml:space="preserve">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F251B9">
        <w:rPr>
          <w:b/>
        </w:rPr>
        <w:t>9</w:t>
      </w:r>
      <w:r w:rsidR="00C72FBD">
        <w:rPr>
          <w:b/>
        </w:rPr>
        <w:t xml:space="preserve">. </w:t>
      </w:r>
      <w:r w:rsidR="006229BF">
        <w:rPr>
          <w:b/>
        </w:rPr>
        <w:t>júna</w:t>
      </w:r>
      <w:r w:rsidR="00830899">
        <w:rPr>
          <w:b/>
        </w:rPr>
        <w:t xml:space="preserve"> 201</w:t>
      </w:r>
      <w:r w:rsidR="00F251B9">
        <w:rPr>
          <w:b/>
        </w:rPr>
        <w:t>5</w:t>
      </w:r>
    </w:p>
    <w:p w:rsidR="00F251B9" w:rsidP="00F251B9">
      <w:pPr>
        <w:pStyle w:val="BodyText"/>
        <w:spacing w:after="0"/>
        <w:jc w:val="both"/>
        <w:rPr>
          <w:b/>
        </w:rPr>
      </w:pPr>
    </w:p>
    <w:p w:rsidR="00EC5F3F" w:rsidRPr="005D2E69" w:rsidP="00DD1D28">
      <w:pPr>
        <w:pStyle w:val="BodyText"/>
        <w:spacing w:after="0"/>
        <w:ind w:firstLine="306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6229BF">
        <w:t xml:space="preserve"> </w:t>
      </w:r>
      <w:r w:rsidR="00F251B9">
        <w:t>v</w:t>
      </w:r>
      <w:r w:rsidRPr="00F251B9" w:rsidR="00F251B9">
        <w:t>ládny návrh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F251B9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="00F251B9">
        <w:t>v</w:t>
      </w:r>
      <w:r w:rsidRPr="00F251B9" w:rsidR="00F251B9">
        <w:t>ládny</w:t>
      </w:r>
      <w:r w:rsidR="00F251B9">
        <w:t>m</w:t>
      </w:r>
      <w:r w:rsidRPr="00F251B9" w:rsidR="00F251B9">
        <w:t xml:space="preserve"> návrh</w:t>
      </w:r>
      <w:r w:rsidR="00F251B9">
        <w:t>om</w:t>
      </w:r>
      <w:r w:rsidRPr="00F251B9" w:rsidR="00F251B9">
        <w:t xml:space="preserve">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F251B9" w:rsidR="00F251B9">
        <w:rPr>
          <w:b w:val="0"/>
        </w:rPr>
        <w:t>vládny návrh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  <w:r w:rsidR="00F251B9">
        <w:t xml:space="preserve"> </w:t>
      </w:r>
      <w:r w:rsidRPr="00E20A99" w:rsidR="00F33022">
        <w:t xml:space="preserve">schváliť </w:t>
      </w:r>
      <w:r w:rsidR="00F32B25">
        <w:t>s pozmeňujúci</w:t>
      </w:r>
      <w:r w:rsidR="006D6BC9">
        <w:t>m</w:t>
      </w:r>
      <w:r w:rsidR="00F32B25">
        <w:t xml:space="preserve"> a doplňujúci</w:t>
      </w:r>
      <w:r w:rsidR="006D6BC9">
        <w:t>m</w:t>
      </w:r>
      <w:r w:rsidR="00F33022">
        <w:t xml:space="preserve"> </w:t>
      </w:r>
      <w:r w:rsidRPr="00E20A99" w:rsidR="00F33022">
        <w:t>návrh</w:t>
      </w:r>
      <w:r w:rsidR="00F32B25">
        <w:t>om</w:t>
      </w:r>
      <w:r w:rsidR="0094789F">
        <w:t xml:space="preserve"> </w:t>
      </w:r>
      <w:r w:rsidRPr="00E20A99" w:rsidR="00F33022">
        <w:t xml:space="preserve">tak, ako </w:t>
      </w:r>
      <w:r w:rsidR="00F32B25">
        <w:t>je</w:t>
      </w:r>
      <w:r w:rsidR="0094789F">
        <w:t xml:space="preserve"> uveden</w:t>
      </w:r>
      <w:r w:rsidR="00F32B25">
        <w:t>ý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  <w:r w:rsidRPr="006229BF">
        <w:rPr>
          <w:lang w:val="sk-SK"/>
        </w:rPr>
        <w:t>informovať predsedu Národnej rady Slovenskej republiky o výsledku prerokovania uvedeného vládneho návrhu zákona vo výbore.</w:t>
      </w: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</w:t>
      </w:r>
      <w:r w:rsidR="00E20A99">
        <w:t xml:space="preserve">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>Prí</w:t>
      </w:r>
      <w:r>
        <w:t xml:space="preserve">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32B25">
        <w:rPr>
          <w:b/>
        </w:rPr>
        <w:t>431</w:t>
      </w:r>
    </w:p>
    <w:p w:rsidR="000D14F9" w:rsidRPr="003371B9" w:rsidP="000D14F9">
      <w:pPr>
        <w:jc w:val="right"/>
      </w:pPr>
      <w:r w:rsidR="00F251B9">
        <w:rPr>
          <w:bCs w:val="0"/>
        </w:rPr>
        <w:t>8</w:t>
      </w:r>
      <w:r w:rsidR="008C471D">
        <w:rPr>
          <w:bCs w:val="0"/>
        </w:rPr>
        <w:t>1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F32B25">
        <w:rPr>
          <w:b/>
          <w:bCs w:val="0"/>
        </w:rPr>
        <w:t>i</w:t>
      </w:r>
      <w:r w:rsidR="00AA25C0">
        <w:rPr>
          <w:b/>
          <w:bCs w:val="0"/>
        </w:rPr>
        <w:t xml:space="preserve"> a doplňujúc</w:t>
      </w:r>
      <w:r w:rsidR="00F32B25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6229BF" w:rsidR="008C471D">
        <w:t xml:space="preserve"> </w:t>
      </w:r>
      <w:r w:rsidR="00F251B9">
        <w:t>vládnemu</w:t>
      </w:r>
      <w:r w:rsidRPr="00F251B9" w:rsidR="00F251B9">
        <w:t xml:space="preserve"> návrh</w:t>
      </w:r>
      <w:r w:rsidR="00F251B9">
        <w:t>u</w:t>
      </w:r>
      <w:r w:rsidRPr="00F251B9" w:rsidR="00F251B9">
        <w:t xml:space="preserve">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32B25" w:rsidP="00B84A9D">
      <w:pPr>
        <w:rPr>
          <w:b/>
          <w:bCs w:val="0"/>
        </w:rPr>
      </w:pPr>
    </w:p>
    <w:p w:rsidR="00F32B25" w:rsidRPr="00F32B25" w:rsidP="00F32B25">
      <w:pPr>
        <w:contextualSpacing/>
        <w:jc w:val="both"/>
        <w:rPr>
          <w:b/>
          <w:bCs w:val="0"/>
          <w:lang w:eastAsia="en-US"/>
        </w:rPr>
      </w:pPr>
      <w:r w:rsidRPr="00F32B25">
        <w:rPr>
          <w:b/>
          <w:bCs w:val="0"/>
          <w:lang w:val="x-none" w:eastAsia="en-US"/>
        </w:rPr>
        <w:t>K Čl. I</w:t>
      </w:r>
      <w:r w:rsidRPr="00F32B25">
        <w:rPr>
          <w:b/>
          <w:bCs w:val="0"/>
          <w:lang w:eastAsia="en-US"/>
        </w:rPr>
        <w:t>I</w:t>
      </w:r>
      <w:r w:rsidRPr="00F32B25">
        <w:rPr>
          <w:b/>
          <w:bCs w:val="0"/>
          <w:lang w:val="x-none" w:eastAsia="en-US"/>
        </w:rPr>
        <w:t xml:space="preserve"> </w:t>
      </w:r>
      <w:r w:rsidRPr="00F32B25">
        <w:rPr>
          <w:b/>
          <w:bCs w:val="0"/>
          <w:lang w:eastAsia="en-US"/>
        </w:rPr>
        <w:t xml:space="preserve"> (</w:t>
      </w:r>
      <w:r w:rsidRPr="00F32B25">
        <w:rPr>
          <w:b/>
          <w:bCs w:val="0"/>
          <w:lang w:val="x-none" w:eastAsia="en-US"/>
        </w:rPr>
        <w:t>zákon č. 583/2004 Z. z. o rozpočtových pravidlách územnej samosprávy</w:t>
      </w:r>
      <w:r w:rsidRPr="00F32B25">
        <w:rPr>
          <w:b/>
          <w:bCs w:val="0"/>
          <w:lang w:eastAsia="en-US"/>
        </w:rPr>
        <w:t>)</w:t>
      </w:r>
    </w:p>
    <w:p w:rsidR="00F32B25" w:rsidRPr="00F32B25" w:rsidP="00F32B25">
      <w:pPr>
        <w:numPr>
          <w:ilvl w:val="0"/>
          <w:numId w:val="47"/>
        </w:numPr>
        <w:ind w:left="284" w:hanging="284"/>
        <w:jc w:val="both"/>
        <w:rPr>
          <w:bCs w:val="0"/>
        </w:rPr>
      </w:pPr>
      <w:r w:rsidRPr="00F32B25">
        <w:rPr>
          <w:bCs w:val="0"/>
        </w:rPr>
        <w:t>V čl. II sa z</w:t>
      </w:r>
      <w:r w:rsidRPr="00F32B25">
        <w:t xml:space="preserve">a doterajší bod 6 vkladá nový </w:t>
      </w:r>
      <w:r w:rsidRPr="00F32B25">
        <w:rPr>
          <w:bCs w:val="0"/>
        </w:rPr>
        <w:t>bod  7, ktorý  znie:</w:t>
      </w:r>
    </w:p>
    <w:p w:rsidR="00F32B25" w:rsidRPr="00F32B25" w:rsidP="00F32B25">
      <w:pPr>
        <w:jc w:val="both"/>
        <w:rPr>
          <w:bCs w:val="0"/>
          <w:lang w:val="x-none" w:eastAsia="en-US"/>
        </w:rPr>
      </w:pPr>
      <w:r w:rsidRPr="00F32B25">
        <w:rPr>
          <w:rFonts w:eastAsia="Calibri"/>
          <w:b/>
          <w:szCs w:val="36"/>
          <w:lang w:eastAsia="en-US"/>
        </w:rPr>
        <w:t>„</w:t>
      </w:r>
      <w:r w:rsidRPr="00F32B25">
        <w:rPr>
          <w:bCs w:val="0"/>
          <w:lang w:val="x-none" w:eastAsia="en-US"/>
        </w:rPr>
        <w:t>7.  V  §  17 ods. 12  sa  na  konci pripájajú tieto vety: „Pokuta za prekročenie dlhu</w:t>
      </w:r>
      <w:r w:rsidRPr="00F32B25">
        <w:rPr>
          <w:bCs w:val="0"/>
          <w:vertAlign w:val="superscript"/>
          <w:lang w:val="x-none" w:eastAsia="en-US"/>
        </w:rPr>
        <w:t>23b</w:t>
      </w:r>
      <w:r w:rsidRPr="00F32B25">
        <w:rPr>
          <w:bCs w:val="0"/>
          <w:lang w:val="x-none" w:eastAsia="en-US"/>
        </w:rPr>
        <w:t>) sa ukladá z podielu celkovej sumy dlhu obce alebo vyššieho územného celku ku koncu príslušného rozpočtového roka na skutočných bežných príjmoch predchádzajúceho rozpočtového roka; do celkovej sumy dlhu obce alebo vyššieho územného celku podľa odsekov 7 a 8  sa nezapočítavajú záväzky z prijatia návratných zdrojov financovania podľa § 19 ods. 24 a záväzky obce v nútenej správe alebo vyššieho územného celku v nútenej správe. Ak sa medziročne podiel dlhu obce alebo vyššieho územného celku na skutočných bežných príjmoch predchádzajúceho rozpočtového roka zvýši, pokuta za prekročenie dlhu</w:t>
      </w:r>
      <w:r w:rsidRPr="00F32B25">
        <w:rPr>
          <w:bCs w:val="0"/>
          <w:vertAlign w:val="superscript"/>
          <w:lang w:val="x-none" w:eastAsia="en-US"/>
        </w:rPr>
        <w:t>23b</w:t>
      </w:r>
      <w:r w:rsidRPr="00F32B25">
        <w:rPr>
          <w:bCs w:val="0"/>
          <w:lang w:val="x-none" w:eastAsia="en-US"/>
        </w:rPr>
        <w:t>) sa uloží vo výške 5 % z tohto medziročného zvýšenia. Pokuta za prekročenie dlhu</w:t>
      </w:r>
      <w:r w:rsidRPr="00F32B25">
        <w:rPr>
          <w:bCs w:val="0"/>
          <w:vertAlign w:val="superscript"/>
          <w:lang w:val="x-none" w:eastAsia="en-US"/>
        </w:rPr>
        <w:t>23b</w:t>
      </w:r>
      <w:r w:rsidRPr="00F32B25">
        <w:rPr>
          <w:bCs w:val="0"/>
          <w:lang w:val="x-none" w:eastAsia="en-US"/>
        </w:rPr>
        <w:t>) sa neukladá, ak nepresiahne sumu 40 eur.“.</w:t>
      </w:r>
    </w:p>
    <w:p w:rsidR="00F32B25" w:rsidRPr="00F32B25" w:rsidP="00F32B25">
      <w:pPr>
        <w:jc w:val="both"/>
        <w:rPr>
          <w:rFonts w:ascii="Arial Narrow" w:eastAsia="Calibri" w:hAnsi="Arial Narrow"/>
          <w:bCs w:val="0"/>
          <w:sz w:val="22"/>
          <w:lang w:eastAsia="en-US"/>
        </w:rPr>
      </w:pPr>
    </w:p>
    <w:p w:rsidR="00F32B25" w:rsidRPr="00F32B25" w:rsidP="00F32B25">
      <w:pPr>
        <w:ind w:left="1416"/>
        <w:contextualSpacing/>
        <w:jc w:val="both"/>
        <w:rPr>
          <w:bCs w:val="0"/>
          <w:lang w:val="x-none" w:eastAsia="en-US"/>
        </w:rPr>
      </w:pPr>
      <w:r w:rsidRPr="00F32B25">
        <w:rPr>
          <w:bCs w:val="0"/>
          <w:lang w:eastAsia="en-US"/>
        </w:rPr>
        <w:t>V</w:t>
      </w:r>
      <w:r w:rsidRPr="00F32B25">
        <w:rPr>
          <w:bCs w:val="0"/>
          <w:lang w:val="x-none" w:eastAsia="en-US"/>
        </w:rPr>
        <w:t> nadväznosti na platnú úpravu ústavného zákona č. 493/2011 Z. z. o rozpočtovej zodpovednosti navrhuje</w:t>
      </w:r>
      <w:r w:rsidRPr="00F32B25">
        <w:rPr>
          <w:bCs w:val="0"/>
          <w:lang w:eastAsia="en-US"/>
        </w:rPr>
        <w:t>m</w:t>
      </w:r>
      <w:r w:rsidRPr="00F32B25">
        <w:rPr>
          <w:bCs w:val="0"/>
          <w:lang w:val="x-none" w:eastAsia="en-US"/>
        </w:rPr>
        <w:t xml:space="preserve"> doplnenie odseku 12 v § 17 vo vzťahu k ukladaniu pokút podľa čl. 6 ods. 3 ústavného zákona. </w:t>
      </w:r>
    </w:p>
    <w:p w:rsidR="00F32B25" w:rsidRPr="00F32B25" w:rsidP="00F32B25">
      <w:pPr>
        <w:ind w:left="1416"/>
        <w:contextualSpacing/>
        <w:jc w:val="both"/>
        <w:rPr>
          <w:bCs w:val="0"/>
          <w:lang w:val="x-none" w:eastAsia="en-US"/>
        </w:rPr>
      </w:pPr>
      <w:r w:rsidRPr="00F32B25">
        <w:rPr>
          <w:bCs w:val="0"/>
          <w:lang w:val="x-none" w:eastAsia="en-US"/>
        </w:rPr>
        <w:t xml:space="preserve">Výpočet výšky pokuty bude vychádzať z celkovej sumy dlhu obce alebo vyššieho územného celku na konci rozpočtového roka. </w:t>
      </w:r>
    </w:p>
    <w:p w:rsidR="00F32B25" w:rsidRPr="00F32B25" w:rsidP="00F32B25">
      <w:pPr>
        <w:ind w:left="1416"/>
        <w:contextualSpacing/>
        <w:jc w:val="both"/>
        <w:rPr>
          <w:bCs w:val="0"/>
          <w:lang w:val="x-none" w:eastAsia="en-US"/>
        </w:rPr>
      </w:pPr>
      <w:r w:rsidRPr="00F32B25">
        <w:rPr>
          <w:bCs w:val="0"/>
          <w:lang w:val="x-none" w:eastAsia="en-US"/>
        </w:rPr>
        <w:t>Z celkovej sumy dlhu obce alebo vyššieho územného celku sa budú odpočítavať nielen záväzky vymedzené v odseku 8 súčasne platného znenia</w:t>
      </w:r>
      <w:r w:rsidRPr="00F32B25">
        <w:rPr>
          <w:bCs w:val="0"/>
          <w:lang w:eastAsia="en-US"/>
        </w:rPr>
        <w:t xml:space="preserve"> tohto zákona</w:t>
      </w:r>
      <w:r w:rsidRPr="00F32B25">
        <w:rPr>
          <w:bCs w:val="0"/>
          <w:lang w:val="x-none" w:eastAsia="en-US"/>
        </w:rPr>
        <w:t xml:space="preserve">, (t.j. záväzky z pôžičky poskytnutej z Audiovizuálneho fondu, záväzky z úveru poskytnutého zo Štátneho fondu rozvoja bývania a záväzky z návratných zdrojov financovania prijatých na predfinancovanie vymedzeného okruhu podpory spoločných programov Slovenskej republiky a Európskej únie), ale pre potreby ukladania pokút </w:t>
      </w:r>
      <w:r w:rsidRPr="00F32B25">
        <w:rPr>
          <w:bCs w:val="0"/>
          <w:lang w:eastAsia="en-US"/>
        </w:rPr>
        <w:t xml:space="preserve">podľa ústavného zákona </w:t>
      </w:r>
      <w:r w:rsidRPr="00F32B25">
        <w:rPr>
          <w:bCs w:val="0"/>
          <w:lang w:val="x-none" w:eastAsia="en-US"/>
        </w:rPr>
        <w:t xml:space="preserve">sa navrhuje ich rozšírenie aj o záväzky z prijatia návratných zdrojov financovania na splatenie záväzkov v nútenej správe prijaté za účelom jej ukončenia a záväzky obce alebo vyššieho územného celku, ktoré sú v nútenej správe. </w:t>
      </w:r>
    </w:p>
    <w:p w:rsidR="00F32B25" w:rsidRPr="00F32B25" w:rsidP="00F32B25">
      <w:pPr>
        <w:ind w:left="1416"/>
        <w:contextualSpacing/>
        <w:jc w:val="both"/>
        <w:rPr>
          <w:bCs w:val="0"/>
          <w:lang w:val="x-none" w:eastAsia="en-US"/>
        </w:rPr>
      </w:pPr>
      <w:r w:rsidRPr="00F32B25">
        <w:rPr>
          <w:bCs w:val="0"/>
          <w:lang w:val="x-none" w:eastAsia="en-US"/>
        </w:rPr>
        <w:t xml:space="preserve">Pokuta sa uloží opakovane v prípade, ak bude podiel celkovej sumy dlhu obce alebo vyššieho územného celku na skutočných bežných príjmoch predchádzajúceho rozpočtového roka v nasledujúcich rozpočtových rokov vyšší, ako ku koncu predchádzajúceho rozpočtového roka. V prípade medziročného nárastu podielu celkovej sumy dlhu na skutočných bežných príjmoch predchádzajúceho rozpočtového roka, bude výška ďalšej pokuty 5 % z tohto medziročného nárastu. </w:t>
      </w:r>
    </w:p>
    <w:p w:rsidR="00F32B25" w:rsidP="00F32B25">
      <w:pPr>
        <w:ind w:left="1416"/>
        <w:contextualSpacing/>
        <w:jc w:val="both"/>
        <w:rPr>
          <w:b/>
          <w:bCs w:val="0"/>
        </w:rPr>
      </w:pPr>
      <w:r w:rsidRPr="00F32B25">
        <w:rPr>
          <w:bCs w:val="0"/>
          <w:lang w:eastAsia="en-US"/>
        </w:rPr>
        <w:t>P</w:t>
      </w:r>
      <w:r w:rsidRPr="00F32B25">
        <w:rPr>
          <w:bCs w:val="0"/>
          <w:lang w:val="x-none" w:eastAsia="en-US"/>
        </w:rPr>
        <w:t>okuta sa neuloží v prípade, ak jej výška nepresiahne sumu 40 eur obdobne ako pri ukladaní pokút podľa § 31 zákona č. 523/2004 Z. z. o rozpočtových pravidlách verejnej správy.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BC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A03CCA"/>
    <w:multiLevelType w:val="hybridMultilevel"/>
    <w:tmpl w:val="24C296B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4"/>
  </w:num>
  <w:num w:numId="6">
    <w:abstractNumId w:val="7"/>
  </w:num>
  <w:num w:numId="7">
    <w:abstractNumId w:val="17"/>
  </w:num>
  <w:num w:numId="8">
    <w:abstractNumId w:val="37"/>
  </w:num>
  <w:num w:numId="9">
    <w:abstractNumId w:val="39"/>
  </w:num>
  <w:num w:numId="10">
    <w:abstractNumId w:val="3"/>
  </w:num>
  <w:num w:numId="11">
    <w:abstractNumId w:val="25"/>
  </w:num>
  <w:num w:numId="12">
    <w:abstractNumId w:val="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1"/>
  </w:num>
  <w:num w:numId="20">
    <w:abstractNumId w:val="33"/>
  </w:num>
  <w:num w:numId="21">
    <w:abstractNumId w:val="8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8"/>
  </w:num>
  <w:num w:numId="25">
    <w:abstractNumId w:val="42"/>
  </w:num>
  <w:num w:numId="26">
    <w:abstractNumId w:val="27"/>
  </w:num>
  <w:num w:numId="27">
    <w:abstractNumId w:val="21"/>
  </w:num>
  <w:num w:numId="28">
    <w:abstractNumId w:val="10"/>
  </w:num>
  <w:num w:numId="29">
    <w:abstractNumId w:val="4"/>
  </w:num>
  <w:num w:numId="30">
    <w:abstractNumId w:val="36"/>
  </w:num>
  <w:num w:numId="31">
    <w:abstractNumId w:val="15"/>
  </w:num>
  <w:num w:numId="32">
    <w:abstractNumId w:val="26"/>
  </w:num>
  <w:num w:numId="33">
    <w:abstractNumId w:val="16"/>
  </w:num>
  <w:num w:numId="34">
    <w:abstractNumId w:val="13"/>
  </w:num>
  <w:num w:numId="35">
    <w:abstractNumId w:val="19"/>
  </w:num>
  <w:num w:numId="36">
    <w:abstractNumId w:val="45"/>
  </w:num>
  <w:num w:numId="37">
    <w:abstractNumId w:val="24"/>
  </w:num>
  <w:num w:numId="38">
    <w:abstractNumId w:val="20"/>
  </w:num>
  <w:num w:numId="39">
    <w:abstractNumId w:val="0"/>
  </w:num>
  <w:num w:numId="40">
    <w:abstractNumId w:val="38"/>
  </w:num>
  <w:num w:numId="41">
    <w:abstractNumId w:val="2"/>
  </w:num>
  <w:num w:numId="42">
    <w:abstractNumId w:val="23"/>
  </w:num>
  <w:num w:numId="43">
    <w:abstractNumId w:val="22"/>
  </w:num>
  <w:num w:numId="44">
    <w:abstractNumId w:val="31"/>
  </w:num>
  <w:num w:numId="45">
    <w:abstractNumId w:val="18"/>
  </w:num>
  <w:num w:numId="46">
    <w:abstractNumId w:val="29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2FCC"/>
    <w:rsid w:val="0046108E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5A62"/>
    <w:rsid w:val="005D62EB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C19B0"/>
    <w:rsid w:val="006C72E6"/>
    <w:rsid w:val="006C7394"/>
    <w:rsid w:val="006D23E3"/>
    <w:rsid w:val="006D6B84"/>
    <w:rsid w:val="006D6BC9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81158D"/>
    <w:rsid w:val="00816B93"/>
    <w:rsid w:val="00830899"/>
    <w:rsid w:val="008458BA"/>
    <w:rsid w:val="0085189B"/>
    <w:rsid w:val="008720CA"/>
    <w:rsid w:val="008742A4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1D28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251B9"/>
    <w:rsid w:val="00F328DE"/>
    <w:rsid w:val="00F32B25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22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4A2D-F14D-491A-8F45-D23062A1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358</cp:revision>
  <cp:lastPrinted>2015-06-09T11:04:00Z</cp:lastPrinted>
  <dcterms:created xsi:type="dcterms:W3CDTF">2003-06-05T10:59:00Z</dcterms:created>
  <dcterms:modified xsi:type="dcterms:W3CDTF">2015-06-09T11:04:00Z</dcterms:modified>
</cp:coreProperties>
</file>