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C3F4D" w:rsidRPr="00C63B3F" w:rsidP="00882ABD">
      <w:pPr>
        <w:bidi w:val="0"/>
        <w:jc w:val="both"/>
        <w:rPr>
          <w:rFonts w:ascii="Times New Roman" w:hAnsi="Times New Roman" w:cs="Times New Roman"/>
          <w:b/>
          <w:sz w:val="24"/>
          <w:szCs w:val="24"/>
        </w:rPr>
      </w:pPr>
      <w:r w:rsidRPr="00C63B3F" w:rsidR="00957CDD">
        <w:rPr>
          <w:rFonts w:ascii="Times New Roman" w:hAnsi="Times New Roman" w:cs="Times New Roman"/>
          <w:b/>
          <w:sz w:val="24"/>
          <w:szCs w:val="24"/>
        </w:rPr>
        <w:t>Dôvodová správa</w:t>
      </w:r>
    </w:p>
    <w:p w:rsidR="00957CDD" w:rsidRPr="00C63B3F" w:rsidP="00882ABD">
      <w:pPr>
        <w:bidi w:val="0"/>
        <w:jc w:val="both"/>
        <w:rPr>
          <w:rFonts w:ascii="Times New Roman" w:hAnsi="Times New Roman" w:cs="Times New Roman"/>
          <w:sz w:val="24"/>
          <w:szCs w:val="24"/>
        </w:rPr>
      </w:pPr>
    </w:p>
    <w:p w:rsidR="00957CDD" w:rsidRPr="00C63B3F" w:rsidP="00882ABD">
      <w:pPr>
        <w:bidi w:val="0"/>
        <w:jc w:val="both"/>
        <w:rPr>
          <w:rFonts w:ascii="Times New Roman" w:hAnsi="Times New Roman" w:cs="Times New Roman"/>
          <w:b/>
          <w:sz w:val="24"/>
          <w:szCs w:val="24"/>
          <w:u w:val="single"/>
        </w:rPr>
      </w:pPr>
      <w:r w:rsidRPr="00C63B3F" w:rsidR="00A55212">
        <w:rPr>
          <w:rFonts w:ascii="Times New Roman" w:hAnsi="Times New Roman" w:cs="Times New Roman"/>
          <w:b/>
          <w:sz w:val="24"/>
          <w:szCs w:val="24"/>
          <w:u w:val="single"/>
        </w:rPr>
        <w:t xml:space="preserve">A. </w:t>
      </w:r>
      <w:r w:rsidRPr="00C63B3F">
        <w:rPr>
          <w:rFonts w:ascii="Times New Roman" w:hAnsi="Times New Roman" w:cs="Times New Roman"/>
          <w:b/>
          <w:sz w:val="24"/>
          <w:szCs w:val="24"/>
          <w:u w:val="single"/>
        </w:rPr>
        <w:t>Všeobecná časť</w:t>
      </w:r>
    </w:p>
    <w:p w:rsidR="00E9007A" w:rsidRPr="00C63B3F" w:rsidP="00E9007A">
      <w:pPr>
        <w:bidi w:val="0"/>
        <w:spacing w:after="0"/>
        <w:jc w:val="both"/>
        <w:rPr>
          <w:rFonts w:ascii="Times New Roman" w:hAnsi="Times New Roman" w:cs="Times New Roman"/>
          <w:bCs/>
          <w:sz w:val="24"/>
          <w:szCs w:val="24"/>
        </w:rPr>
      </w:pPr>
      <w:r w:rsidRPr="00C63B3F" w:rsidR="00004AF8">
        <w:rPr>
          <w:rFonts w:ascii="Times New Roman" w:hAnsi="Times New Roman" w:cs="Times New Roman"/>
          <w:sz w:val="24"/>
          <w:szCs w:val="24"/>
        </w:rPr>
        <w:tab/>
      </w:r>
      <w:r w:rsidRPr="00C63B3F" w:rsidR="00FC477B">
        <w:rPr>
          <w:rFonts w:ascii="Times New Roman" w:hAnsi="Times New Roman" w:cs="Times New Roman"/>
          <w:sz w:val="24"/>
          <w:szCs w:val="24"/>
        </w:rPr>
        <w:t xml:space="preserve">Cieľom </w:t>
      </w:r>
      <w:r w:rsidRPr="00C63B3F" w:rsidR="003E2B1E">
        <w:rPr>
          <w:rFonts w:ascii="Times New Roman" w:hAnsi="Times New Roman" w:cs="Times New Roman"/>
          <w:sz w:val="24"/>
          <w:szCs w:val="24"/>
        </w:rPr>
        <w:t>navrhovanej úpravy</w:t>
      </w:r>
      <w:r w:rsidRPr="00C63B3F" w:rsidR="00FC477B">
        <w:rPr>
          <w:rFonts w:ascii="Times New Roman" w:hAnsi="Times New Roman" w:cs="Times New Roman"/>
          <w:sz w:val="24"/>
          <w:szCs w:val="24"/>
        </w:rPr>
        <w:t xml:space="preserve"> je rozšírenie okruhu poistencov, na ktorých sa vzťahuje limit spoluúčasti. Ide o</w:t>
      </w:r>
      <w:r w:rsidRPr="00C63B3F">
        <w:rPr>
          <w:rFonts w:ascii="Times New Roman" w:hAnsi="Times New Roman" w:cs="Times New Roman"/>
          <w:sz w:val="24"/>
          <w:szCs w:val="24"/>
        </w:rPr>
        <w:t> </w:t>
      </w:r>
      <w:r w:rsidRPr="00C63B3F" w:rsidR="00FC477B">
        <w:rPr>
          <w:rFonts w:ascii="Times New Roman" w:hAnsi="Times New Roman" w:cs="Times New Roman"/>
          <w:sz w:val="24"/>
          <w:szCs w:val="24"/>
        </w:rPr>
        <w:t>o</w:t>
      </w:r>
      <w:r w:rsidRPr="00C63B3F">
        <w:rPr>
          <w:rFonts w:ascii="Times New Roman" w:hAnsi="Times New Roman" w:cs="Times New Roman"/>
          <w:bCs/>
          <w:sz w:val="24"/>
          <w:szCs w:val="24"/>
        </w:rPr>
        <w:t>patrenie, ktoré sa môže dotknúť až</w:t>
      </w:r>
      <w:r w:rsidRPr="00C63B3F" w:rsidR="008F7517">
        <w:rPr>
          <w:rFonts w:ascii="Times New Roman" w:hAnsi="Times New Roman" w:cs="Times New Roman"/>
          <w:bCs/>
          <w:sz w:val="24"/>
          <w:szCs w:val="24"/>
        </w:rPr>
        <w:t xml:space="preserve"> </w:t>
      </w:r>
      <w:r w:rsidRPr="00C63B3F">
        <w:rPr>
          <w:rFonts w:ascii="Times New Roman" w:hAnsi="Times New Roman" w:cs="Times New Roman"/>
          <w:bCs/>
          <w:sz w:val="24"/>
          <w:szCs w:val="24"/>
        </w:rPr>
        <w:t>1,8 milióna</w:t>
      </w:r>
      <w:r w:rsidRPr="00C63B3F" w:rsidR="00B458E5">
        <w:rPr>
          <w:rFonts w:ascii="Times New Roman" w:hAnsi="Times New Roman" w:cs="Times New Roman"/>
          <w:bCs/>
          <w:sz w:val="24"/>
          <w:szCs w:val="24"/>
        </w:rPr>
        <w:t xml:space="preserve"> poistencov</w:t>
      </w:r>
      <w:r w:rsidRPr="00C63B3F">
        <w:rPr>
          <w:rFonts w:ascii="Times New Roman" w:hAnsi="Times New Roman" w:cs="Times New Roman"/>
          <w:bCs/>
          <w:sz w:val="24"/>
          <w:szCs w:val="24"/>
        </w:rPr>
        <w:t xml:space="preserve">. </w:t>
      </w:r>
    </w:p>
    <w:p w:rsidR="00E9007A" w:rsidRPr="00C63B3F" w:rsidP="008F7517">
      <w:pPr>
        <w:bidi w:val="0"/>
        <w:spacing w:after="0"/>
        <w:ind w:firstLine="708"/>
        <w:jc w:val="both"/>
        <w:rPr>
          <w:rFonts w:ascii="Times New Roman" w:hAnsi="Times New Roman" w:cs="Times New Roman"/>
          <w:bCs/>
          <w:sz w:val="24"/>
          <w:szCs w:val="24"/>
        </w:rPr>
      </w:pPr>
    </w:p>
    <w:p w:rsidR="00E9007A" w:rsidRPr="00C63B3F" w:rsidP="00E9007A">
      <w:pPr>
        <w:bidi w:val="0"/>
        <w:spacing w:after="0"/>
        <w:jc w:val="both"/>
        <w:rPr>
          <w:rFonts w:ascii="Times New Roman" w:hAnsi="Times New Roman" w:cs="Times New Roman"/>
          <w:bCs/>
          <w:sz w:val="24"/>
          <w:szCs w:val="24"/>
        </w:rPr>
      </w:pPr>
      <w:r w:rsidRPr="00C63B3F" w:rsidR="00004AF8">
        <w:rPr>
          <w:rFonts w:ascii="Times New Roman" w:hAnsi="Times New Roman" w:cs="Times New Roman"/>
          <w:sz w:val="24"/>
          <w:szCs w:val="24"/>
        </w:rPr>
        <w:tab/>
      </w:r>
      <w:r w:rsidRPr="00C63B3F">
        <w:rPr>
          <w:rFonts w:ascii="Times New Roman" w:hAnsi="Times New Roman" w:cs="Times New Roman"/>
          <w:sz w:val="24"/>
          <w:szCs w:val="24"/>
        </w:rPr>
        <w:t xml:space="preserve">Zdravotne postihnutí poistenci a invalidní dôchodcovia zaplatia </w:t>
      </w:r>
      <w:r w:rsidRPr="00C63B3F" w:rsidR="003E2B1E">
        <w:rPr>
          <w:rFonts w:ascii="Times New Roman" w:hAnsi="Times New Roman" w:cs="Times New Roman"/>
          <w:sz w:val="24"/>
          <w:szCs w:val="24"/>
        </w:rPr>
        <w:t> podľa platnej úpravy</w:t>
      </w:r>
      <w:r w:rsidRPr="00C63B3F">
        <w:rPr>
          <w:rFonts w:ascii="Times New Roman" w:hAnsi="Times New Roman" w:cs="Times New Roman"/>
          <w:sz w:val="24"/>
          <w:szCs w:val="24"/>
        </w:rPr>
        <w:t xml:space="preserve"> na doplatkoch za lieky maximálne 30 eur za kalendárny štvrťrok a starobní dôchodcovia maximálne 45 eur za kalendárny štvrťrok.</w:t>
      </w:r>
      <w:r w:rsidRPr="00C63B3F">
        <w:rPr>
          <w:rFonts w:ascii="Times New Roman" w:hAnsi="Times New Roman" w:cs="Times New Roman"/>
          <w:bCs/>
          <w:sz w:val="24"/>
          <w:szCs w:val="24"/>
        </w:rPr>
        <w:t xml:space="preserve"> V roku 2014 zdravotné poisťovne vyplatili za doplatky na lieky sumu 1,8 mil. eur. 68 tis. poistencom.</w:t>
      </w:r>
    </w:p>
    <w:p w:rsidR="00E9007A" w:rsidRPr="00C63B3F" w:rsidP="008F7517">
      <w:pPr>
        <w:bidi w:val="0"/>
        <w:spacing w:after="0"/>
        <w:ind w:firstLine="708"/>
        <w:jc w:val="both"/>
        <w:rPr>
          <w:rFonts w:ascii="Times New Roman" w:hAnsi="Times New Roman" w:cs="Times New Roman"/>
          <w:bCs/>
          <w:sz w:val="24"/>
          <w:szCs w:val="24"/>
        </w:rPr>
      </w:pPr>
    </w:p>
    <w:p w:rsidR="00FC477B" w:rsidRPr="00C63B3F" w:rsidP="00E9007A">
      <w:pPr>
        <w:bidi w:val="0"/>
        <w:spacing w:after="0"/>
        <w:jc w:val="both"/>
        <w:rPr>
          <w:rFonts w:ascii="Times New Roman" w:hAnsi="Times New Roman" w:cs="Times New Roman"/>
          <w:sz w:val="24"/>
          <w:szCs w:val="24"/>
        </w:rPr>
      </w:pPr>
      <w:r w:rsidRPr="00C63B3F" w:rsidR="00004AF8">
        <w:rPr>
          <w:rFonts w:ascii="Times New Roman" w:hAnsi="Times New Roman" w:cs="Times New Roman"/>
          <w:bCs/>
          <w:sz w:val="24"/>
          <w:szCs w:val="24"/>
        </w:rPr>
        <w:tab/>
      </w:r>
      <w:r w:rsidRPr="00C63B3F" w:rsidR="00E9007A">
        <w:rPr>
          <w:rFonts w:ascii="Times New Roman" w:hAnsi="Times New Roman" w:cs="Times New Roman"/>
          <w:bCs/>
          <w:sz w:val="24"/>
          <w:szCs w:val="24"/>
        </w:rPr>
        <w:t xml:space="preserve">Predpokladá sa, že po zavedení nových limitov spoluúčasti podmienky splní približne 420 tis. poistencov a zdravotné poisťovne vyplatia takmer 10 mil. </w:t>
      </w:r>
      <w:r w:rsidRPr="00C63B3F" w:rsidR="00A40D7D">
        <w:rPr>
          <w:rFonts w:ascii="Times New Roman" w:hAnsi="Times New Roman" w:cs="Times New Roman"/>
          <w:bCs/>
          <w:sz w:val="24"/>
          <w:szCs w:val="24"/>
        </w:rPr>
        <w:t>e</w:t>
      </w:r>
      <w:r w:rsidRPr="00C63B3F" w:rsidR="00E9007A">
        <w:rPr>
          <w:rFonts w:ascii="Times New Roman" w:hAnsi="Times New Roman" w:cs="Times New Roman"/>
          <w:bCs/>
          <w:sz w:val="24"/>
          <w:szCs w:val="24"/>
        </w:rPr>
        <w:t xml:space="preserve">ur. </w:t>
      </w:r>
    </w:p>
    <w:p w:rsidR="008F7517" w:rsidRPr="00C63B3F" w:rsidP="00882ABD">
      <w:pPr>
        <w:bidi w:val="0"/>
        <w:spacing w:after="0"/>
        <w:ind w:firstLine="708"/>
        <w:jc w:val="both"/>
        <w:rPr>
          <w:rFonts w:ascii="Times New Roman" w:hAnsi="Times New Roman" w:cs="Times New Roman"/>
          <w:sz w:val="24"/>
          <w:szCs w:val="24"/>
        </w:rPr>
      </w:pPr>
    </w:p>
    <w:p w:rsidR="008F7517" w:rsidRPr="00C63B3F" w:rsidP="008F7517">
      <w:pPr>
        <w:bidi w:val="0"/>
        <w:spacing w:after="0"/>
        <w:ind w:firstLine="708"/>
        <w:jc w:val="both"/>
        <w:rPr>
          <w:rFonts w:ascii="Times New Roman" w:hAnsi="Times New Roman" w:cs="Times New Roman"/>
          <w:sz w:val="24"/>
          <w:szCs w:val="24"/>
        </w:rPr>
      </w:pPr>
      <w:r w:rsidRPr="00C63B3F" w:rsidR="00FC477B">
        <w:rPr>
          <w:rFonts w:ascii="Times New Roman" w:hAnsi="Times New Roman" w:cs="Times New Roman"/>
          <w:sz w:val="24"/>
          <w:szCs w:val="24"/>
        </w:rPr>
        <w:t>Navrhovaná úprava zákona</w:t>
      </w:r>
    </w:p>
    <w:p w:rsidR="008F7517" w:rsidRPr="00C63B3F" w:rsidP="008F7517">
      <w:pPr>
        <w:pStyle w:val="ListParagraph"/>
        <w:numPr>
          <w:numId w:val="1"/>
        </w:numPr>
        <w:bidi w:val="0"/>
        <w:spacing w:after="0"/>
        <w:jc w:val="both"/>
        <w:rPr>
          <w:rFonts w:ascii="Times New Roman" w:hAnsi="Times New Roman" w:cs="Times New Roman"/>
          <w:sz w:val="24"/>
          <w:szCs w:val="24"/>
        </w:rPr>
      </w:pPr>
      <w:r w:rsidRPr="00C63B3F">
        <w:rPr>
          <w:rFonts w:ascii="Times New Roman" w:hAnsi="Times New Roman" w:cs="Times New Roman"/>
          <w:sz w:val="24"/>
          <w:szCs w:val="24"/>
        </w:rPr>
        <w:t>znižuje ochranný limit na doplatky za lieky  pre súčasný okruh poistencov na 25 eur za kalendárny štvrťrok,</w:t>
      </w:r>
    </w:p>
    <w:p w:rsidR="008F7517" w:rsidRPr="00C63B3F" w:rsidP="008F7517">
      <w:pPr>
        <w:pStyle w:val="ListParagraph"/>
        <w:numPr>
          <w:numId w:val="1"/>
        </w:numPr>
        <w:bidi w:val="0"/>
        <w:spacing w:after="0"/>
        <w:jc w:val="both"/>
        <w:rPr>
          <w:rFonts w:ascii="Times New Roman" w:hAnsi="Times New Roman" w:cs="Times New Roman"/>
          <w:sz w:val="24"/>
          <w:szCs w:val="24"/>
        </w:rPr>
      </w:pPr>
      <w:r w:rsidRPr="00C63B3F" w:rsidR="00FC477B">
        <w:rPr>
          <w:rFonts w:ascii="Times New Roman" w:hAnsi="Times New Roman" w:cs="Times New Roman"/>
          <w:sz w:val="24"/>
          <w:szCs w:val="24"/>
        </w:rPr>
        <w:t>rozširuje okruh poistencov, na ktorých sa vzťahuje ochranný limit na doplatky na lieky o skupinu poistencov mladších ako 6 rokov</w:t>
      </w:r>
      <w:r w:rsidRPr="00C63B3F">
        <w:rPr>
          <w:rFonts w:ascii="Times New Roman" w:hAnsi="Times New Roman" w:cs="Times New Roman"/>
          <w:sz w:val="24"/>
          <w:szCs w:val="24"/>
        </w:rPr>
        <w:t xml:space="preserve">, kde </w:t>
      </w:r>
      <w:r w:rsidRPr="00C63B3F" w:rsidR="003E2B1E">
        <w:rPr>
          <w:rFonts w:ascii="Times New Roman" w:hAnsi="Times New Roman" w:cs="Times New Roman"/>
          <w:sz w:val="24"/>
          <w:szCs w:val="24"/>
        </w:rPr>
        <w:t xml:space="preserve">sa navrhuje </w:t>
      </w:r>
      <w:r w:rsidRPr="00C63B3F">
        <w:rPr>
          <w:rFonts w:ascii="Times New Roman" w:hAnsi="Times New Roman" w:cs="Times New Roman"/>
          <w:sz w:val="24"/>
          <w:szCs w:val="24"/>
        </w:rPr>
        <w:t>ochranný limit spoluúčasti na 8 eur za kalendárny štvrťrok,</w:t>
      </w:r>
    </w:p>
    <w:p w:rsidR="008F7517" w:rsidRPr="00C63B3F" w:rsidP="008F7517">
      <w:pPr>
        <w:pStyle w:val="ListParagraph"/>
        <w:numPr>
          <w:numId w:val="1"/>
        </w:numPr>
        <w:bidi w:val="0"/>
        <w:spacing w:after="0"/>
        <w:jc w:val="both"/>
        <w:rPr>
          <w:rFonts w:ascii="Times New Roman" w:hAnsi="Times New Roman" w:cs="Times New Roman"/>
          <w:sz w:val="24"/>
          <w:szCs w:val="24"/>
        </w:rPr>
      </w:pPr>
      <w:r w:rsidRPr="00C63B3F" w:rsidR="003E2B1E">
        <w:rPr>
          <w:rFonts w:ascii="Times New Roman" w:hAnsi="Times New Roman" w:cs="Times New Roman"/>
          <w:sz w:val="24"/>
          <w:szCs w:val="24"/>
        </w:rPr>
        <w:t xml:space="preserve">navrhuje </w:t>
      </w:r>
      <w:r w:rsidRPr="00C63B3F">
        <w:rPr>
          <w:rFonts w:ascii="Times New Roman" w:hAnsi="Times New Roman" w:cs="Times New Roman"/>
          <w:sz w:val="24"/>
          <w:szCs w:val="24"/>
        </w:rPr>
        <w:t xml:space="preserve">ochranný limit spoluúčasti pre </w:t>
      </w:r>
      <w:r w:rsidRPr="00C63B3F" w:rsidR="003E2B1E">
        <w:rPr>
          <w:rFonts w:ascii="Times New Roman" w:hAnsi="Times New Roman" w:cs="Times New Roman"/>
          <w:sz w:val="24"/>
          <w:szCs w:val="24"/>
        </w:rPr>
        <w:t xml:space="preserve">ťažko zdravotne postihnuté </w:t>
      </w:r>
      <w:r w:rsidRPr="00C63B3F">
        <w:rPr>
          <w:rFonts w:ascii="Times New Roman" w:hAnsi="Times New Roman" w:cs="Times New Roman"/>
          <w:sz w:val="24"/>
          <w:szCs w:val="24"/>
        </w:rPr>
        <w:t>deti</w:t>
      </w:r>
      <w:r w:rsidRPr="00C63B3F" w:rsidR="003E2B1E">
        <w:rPr>
          <w:rFonts w:ascii="Times New Roman" w:hAnsi="Times New Roman" w:cs="Times New Roman"/>
          <w:sz w:val="24"/>
          <w:szCs w:val="24"/>
        </w:rPr>
        <w:t xml:space="preserve"> mladšie ako 6 rokov</w:t>
      </w:r>
      <w:r w:rsidRPr="00C63B3F" w:rsidR="00CB7170">
        <w:rPr>
          <w:rFonts w:ascii="Times New Roman" w:hAnsi="Times New Roman" w:cs="Times New Roman"/>
          <w:sz w:val="24"/>
          <w:szCs w:val="24"/>
        </w:rPr>
        <w:t xml:space="preserve"> </w:t>
      </w:r>
      <w:r w:rsidRPr="00C63B3F">
        <w:rPr>
          <w:rFonts w:ascii="Times New Roman" w:hAnsi="Times New Roman" w:cs="Times New Roman"/>
          <w:sz w:val="24"/>
          <w:szCs w:val="24"/>
        </w:rPr>
        <w:t xml:space="preserve">na 0 eur, </w:t>
      </w:r>
    </w:p>
    <w:p w:rsidR="008F7517" w:rsidRPr="00C63B3F" w:rsidP="008F7517">
      <w:pPr>
        <w:pStyle w:val="ListParagraph"/>
        <w:numPr>
          <w:numId w:val="1"/>
        </w:numPr>
        <w:bidi w:val="0"/>
        <w:spacing w:after="0"/>
        <w:jc w:val="both"/>
        <w:rPr>
          <w:rFonts w:ascii="Times New Roman" w:hAnsi="Times New Roman" w:cs="Times New Roman"/>
          <w:sz w:val="24"/>
          <w:szCs w:val="24"/>
        </w:rPr>
      </w:pPr>
      <w:r w:rsidRPr="00C63B3F">
        <w:rPr>
          <w:rFonts w:ascii="Times New Roman" w:hAnsi="Times New Roman" w:cs="Times New Roman"/>
          <w:sz w:val="24"/>
          <w:szCs w:val="24"/>
        </w:rPr>
        <w:t>rozširuje okruh poistencov</w:t>
      </w:r>
      <w:r w:rsidRPr="00C63B3F" w:rsidR="003E2B1E">
        <w:rPr>
          <w:rFonts w:ascii="Times New Roman" w:hAnsi="Times New Roman" w:cs="Times New Roman"/>
          <w:sz w:val="24"/>
          <w:szCs w:val="24"/>
        </w:rPr>
        <w:t>,</w:t>
      </w:r>
      <w:r w:rsidRPr="00C63B3F">
        <w:rPr>
          <w:rFonts w:ascii="Times New Roman" w:hAnsi="Times New Roman" w:cs="Times New Roman"/>
          <w:sz w:val="24"/>
          <w:szCs w:val="24"/>
        </w:rPr>
        <w:t xml:space="preserve"> na ktorých sa vzťahuje ochranný limit na doplatky na lieky</w:t>
      </w:r>
      <w:r w:rsidRPr="00C63B3F" w:rsidR="003E2B1E">
        <w:rPr>
          <w:rFonts w:ascii="Times New Roman" w:hAnsi="Times New Roman" w:cs="Times New Roman"/>
          <w:sz w:val="24"/>
          <w:szCs w:val="24"/>
        </w:rPr>
        <w:t>,</w:t>
      </w:r>
      <w:r w:rsidRPr="00C63B3F">
        <w:rPr>
          <w:rFonts w:ascii="Times New Roman" w:hAnsi="Times New Roman" w:cs="Times New Roman"/>
          <w:sz w:val="24"/>
          <w:szCs w:val="24"/>
        </w:rPr>
        <w:t xml:space="preserve"> upustením od sledovania výšky príjmov.</w:t>
      </w:r>
    </w:p>
    <w:p w:rsidR="008F7517" w:rsidRPr="00C63B3F" w:rsidP="008F7517">
      <w:pPr>
        <w:bidi w:val="0"/>
        <w:spacing w:after="0"/>
        <w:jc w:val="both"/>
        <w:rPr>
          <w:rFonts w:ascii="Times New Roman" w:hAnsi="Times New Roman" w:cs="Times New Roman"/>
          <w:sz w:val="24"/>
          <w:szCs w:val="24"/>
        </w:rPr>
      </w:pPr>
    </w:p>
    <w:p w:rsidR="00A40D7D" w:rsidRPr="00C63B3F" w:rsidP="00A40D7D">
      <w:pPr>
        <w:pStyle w:val="BodyText2"/>
        <w:bidi w:val="0"/>
        <w:ind w:firstLine="0"/>
        <w:rPr>
          <w:rFonts w:eastAsia="Times New Roman" w:cs="Times New Roman"/>
          <w:b w:val="0"/>
        </w:rPr>
      </w:pPr>
      <w:r w:rsidRPr="00C63B3F" w:rsidR="00004AF8">
        <w:rPr>
          <w:rFonts w:eastAsia="Times New Roman" w:cs="Times New Roman"/>
          <w:b w:val="0"/>
        </w:rPr>
        <w:tab/>
      </w:r>
      <w:r w:rsidRPr="00C63B3F">
        <w:rPr>
          <w:rFonts w:eastAsia="Times New Roman" w:cs="Times New Roman"/>
          <w:b w:val="0"/>
        </w:rPr>
        <w:t xml:space="preserve">Prijatie návrhu zákona nezakladá zvýšené nároky na štátny rozpočet, rozpočty samosprávnych krajov a rozpočty obcí. Návrh zákona zaťaží rozpočty zdravotných poisťovní. </w:t>
      </w:r>
    </w:p>
    <w:p w:rsidR="00FC477B" w:rsidRPr="00C63B3F" w:rsidP="00882ABD">
      <w:pPr>
        <w:bidi w:val="0"/>
        <w:spacing w:after="0"/>
        <w:ind w:firstLine="708"/>
        <w:jc w:val="both"/>
        <w:rPr>
          <w:rFonts w:ascii="Times New Roman" w:hAnsi="Times New Roman" w:cs="Times New Roman"/>
          <w:sz w:val="24"/>
          <w:szCs w:val="24"/>
        </w:rPr>
      </w:pPr>
    </w:p>
    <w:p w:rsidR="00FC477B" w:rsidRPr="00C63B3F" w:rsidP="00882ABD">
      <w:pPr>
        <w:bidi w:val="0"/>
        <w:spacing w:after="0"/>
        <w:jc w:val="both"/>
        <w:rPr>
          <w:rFonts w:ascii="Times New Roman" w:hAnsi="Times New Roman" w:cs="Times New Roman"/>
          <w:sz w:val="24"/>
          <w:szCs w:val="24"/>
        </w:rPr>
      </w:pPr>
      <w:r w:rsidRPr="00C63B3F" w:rsidR="00004AF8">
        <w:rPr>
          <w:rFonts w:ascii="Times New Roman" w:hAnsi="Times New Roman" w:cs="Times New Roman"/>
          <w:sz w:val="24"/>
          <w:szCs w:val="24"/>
        </w:rPr>
        <w:tab/>
      </w:r>
      <w:r w:rsidRPr="00C63B3F">
        <w:rPr>
          <w:rFonts w:ascii="Times New Roman" w:hAnsi="Times New Roman" w:cs="Times New Roman"/>
          <w:sz w:val="24"/>
          <w:szCs w:val="24"/>
        </w:rPr>
        <w:t>Navrhované legislatívne zmeny si vyžiadajú úpravu informačného systému zdravotných poisťovní. S uv</w:t>
      </w:r>
      <w:r w:rsidRPr="00C63B3F" w:rsidR="008F7517">
        <w:rPr>
          <w:rFonts w:ascii="Times New Roman" w:hAnsi="Times New Roman" w:cs="Times New Roman"/>
          <w:sz w:val="24"/>
          <w:szCs w:val="24"/>
        </w:rPr>
        <w:t>edenými zmenami súvisí aj významné</w:t>
      </w:r>
      <w:r w:rsidRPr="00C63B3F">
        <w:rPr>
          <w:rFonts w:ascii="Times New Roman" w:hAnsi="Times New Roman" w:cs="Times New Roman"/>
          <w:sz w:val="24"/>
          <w:szCs w:val="24"/>
        </w:rPr>
        <w:t xml:space="preserve"> zvýšenie administratívnej záťaže zdravotných pois</w:t>
      </w:r>
      <w:r w:rsidRPr="00C63B3F" w:rsidR="00A734D7">
        <w:rPr>
          <w:rFonts w:ascii="Times New Roman" w:hAnsi="Times New Roman" w:cs="Times New Roman"/>
          <w:sz w:val="24"/>
          <w:szCs w:val="24"/>
        </w:rPr>
        <w:t>ťovní vyplývajúce z realizácie  úhrad</w:t>
      </w:r>
      <w:r w:rsidRPr="00C63B3F">
        <w:rPr>
          <w:rFonts w:ascii="Times New Roman" w:hAnsi="Times New Roman" w:cs="Times New Roman"/>
          <w:sz w:val="24"/>
          <w:szCs w:val="24"/>
        </w:rPr>
        <w:t xml:space="preserve"> nad limit spoluúčasti</w:t>
      </w:r>
      <w:r w:rsidRPr="00C63B3F" w:rsidR="00E9007A">
        <w:rPr>
          <w:rFonts w:ascii="Times New Roman" w:hAnsi="Times New Roman" w:cs="Times New Roman"/>
          <w:sz w:val="24"/>
          <w:szCs w:val="24"/>
        </w:rPr>
        <w:t xml:space="preserve">. </w:t>
      </w:r>
    </w:p>
    <w:p w:rsidR="00FC477B" w:rsidRPr="00C63B3F" w:rsidP="00882ABD">
      <w:pPr>
        <w:bidi w:val="0"/>
        <w:spacing w:after="0"/>
        <w:jc w:val="both"/>
        <w:rPr>
          <w:rFonts w:ascii="Times New Roman" w:hAnsi="Times New Roman" w:cs="Times New Roman"/>
          <w:sz w:val="24"/>
          <w:szCs w:val="24"/>
        </w:rPr>
      </w:pPr>
    </w:p>
    <w:p w:rsidR="00FC477B" w:rsidRPr="00C63B3F" w:rsidP="00E9007A">
      <w:pPr>
        <w:bidi w:val="0"/>
        <w:spacing w:after="0"/>
        <w:jc w:val="both"/>
        <w:rPr>
          <w:rFonts w:ascii="Times New Roman" w:hAnsi="Times New Roman" w:cs="Times New Roman"/>
          <w:sz w:val="24"/>
          <w:szCs w:val="24"/>
        </w:rPr>
      </w:pPr>
      <w:r w:rsidRPr="00C63B3F" w:rsidR="00004AF8">
        <w:rPr>
          <w:rFonts w:ascii="Times New Roman" w:hAnsi="Times New Roman" w:cs="Times New Roman"/>
          <w:sz w:val="24"/>
          <w:szCs w:val="24"/>
        </w:rPr>
        <w:tab/>
      </w:r>
      <w:r w:rsidRPr="00C63B3F">
        <w:rPr>
          <w:rFonts w:ascii="Times New Roman" w:hAnsi="Times New Roman" w:cs="Times New Roman"/>
          <w:sz w:val="24"/>
          <w:szCs w:val="24"/>
        </w:rPr>
        <w:t xml:space="preserve">Vplyv na rozpočet verejnej správy a na podnikateľské prostredie </w:t>
      </w:r>
      <w:r w:rsidRPr="00C63B3F">
        <w:rPr>
          <w:rStyle w:val="Textzstupnhosymbolu1"/>
          <w:color w:val="000000"/>
          <w:sz w:val="24"/>
          <w:szCs w:val="24"/>
        </w:rPr>
        <w:t>je uvedený v doložke vybraných vplyvov</w:t>
      </w:r>
      <w:r w:rsidRPr="00C63B3F">
        <w:rPr>
          <w:rFonts w:ascii="Times New Roman" w:hAnsi="Times New Roman" w:cs="Times New Roman"/>
          <w:sz w:val="24"/>
          <w:szCs w:val="24"/>
        </w:rPr>
        <w:t>. Návrh zákona  má pozitívne sociálne vplyvy, ktoré sú uvedené v doložke vplyvov, nemá vplyvy na životné prostredie a ani vplyvy na informatizáciu spoločnosti.</w:t>
      </w:r>
    </w:p>
    <w:p w:rsidR="00860170" w:rsidRPr="00C63B3F" w:rsidP="00882ABD">
      <w:pPr>
        <w:bidi w:val="0"/>
        <w:jc w:val="both"/>
        <w:rPr>
          <w:rFonts w:ascii="Times New Roman" w:hAnsi="Times New Roman" w:cs="Times New Roman"/>
          <w:sz w:val="24"/>
          <w:szCs w:val="24"/>
        </w:rPr>
      </w:pPr>
    </w:p>
    <w:p w:rsidR="00860170" w:rsidRPr="00C63B3F" w:rsidP="00882ABD">
      <w:pPr>
        <w:bidi w:val="0"/>
        <w:jc w:val="both"/>
        <w:rPr>
          <w:rFonts w:ascii="Times New Roman" w:hAnsi="Times New Roman" w:cs="Times New Roman"/>
          <w:sz w:val="24"/>
          <w:szCs w:val="24"/>
        </w:rPr>
      </w:pPr>
    </w:p>
    <w:p w:rsidR="00882ABD" w:rsidRPr="00C63B3F" w:rsidP="00882ABD">
      <w:pPr>
        <w:bidi w:val="0"/>
        <w:jc w:val="both"/>
        <w:rPr>
          <w:rFonts w:ascii="Times New Roman" w:hAnsi="Times New Roman" w:cs="Times New Roman"/>
          <w:sz w:val="24"/>
          <w:szCs w:val="24"/>
        </w:rPr>
      </w:pPr>
    </w:p>
    <w:p w:rsidR="00882ABD" w:rsidRPr="00C63B3F" w:rsidP="00882ABD">
      <w:pPr>
        <w:bidi w:val="0"/>
        <w:jc w:val="both"/>
        <w:rPr>
          <w:rFonts w:ascii="Times New Roman" w:hAnsi="Times New Roman" w:cs="Times New Roman"/>
          <w:sz w:val="24"/>
          <w:szCs w:val="24"/>
        </w:rPr>
      </w:pPr>
    </w:p>
    <w:p w:rsidR="0026231E" w:rsidRPr="00C63B3F" w:rsidP="00882ABD">
      <w:pPr>
        <w:bidi w:val="0"/>
        <w:jc w:val="both"/>
        <w:rPr>
          <w:rFonts w:ascii="Times New Roman" w:hAnsi="Times New Roman" w:cs="Times New Roman"/>
          <w:sz w:val="24"/>
          <w:szCs w:val="24"/>
        </w:rPr>
      </w:pPr>
    </w:p>
    <w:p w:rsidR="00A734D7" w:rsidRPr="00C63B3F" w:rsidP="00882ABD">
      <w:pPr>
        <w:bidi w:val="0"/>
        <w:jc w:val="both"/>
        <w:rPr>
          <w:rFonts w:ascii="Times New Roman" w:hAnsi="Times New Roman" w:cs="Times New Roman"/>
          <w:sz w:val="24"/>
          <w:szCs w:val="24"/>
        </w:rPr>
      </w:pPr>
    </w:p>
    <w:p w:rsidR="00004AF8" w:rsidRPr="00C63B3F" w:rsidP="00882ABD">
      <w:pPr>
        <w:bidi w:val="0"/>
        <w:jc w:val="both"/>
        <w:rPr>
          <w:rFonts w:ascii="Times New Roman" w:hAnsi="Times New Roman" w:cs="Times New Roman"/>
          <w:sz w:val="24"/>
          <w:szCs w:val="24"/>
        </w:rPr>
      </w:pPr>
    </w:p>
    <w:p w:rsidR="00004AF8" w:rsidRPr="00C63B3F" w:rsidP="00882ABD">
      <w:pPr>
        <w:bidi w:val="0"/>
        <w:jc w:val="both"/>
        <w:rPr>
          <w:rFonts w:ascii="Times New Roman" w:hAnsi="Times New Roman" w:cs="Times New Roman"/>
          <w:sz w:val="24"/>
          <w:szCs w:val="24"/>
        </w:rPr>
      </w:pPr>
    </w:p>
    <w:p w:rsidR="00C63B3F" w:rsidRPr="00C63B3F" w:rsidP="00C63B3F">
      <w:pPr>
        <w:bidi w:val="0"/>
        <w:spacing w:after="0"/>
        <w:ind w:right="-108"/>
        <w:jc w:val="center"/>
        <w:rPr>
          <w:rFonts w:ascii="Times New Roman" w:hAnsi="Times New Roman" w:cs="Times New Roman"/>
          <w:sz w:val="24"/>
          <w:szCs w:val="24"/>
          <w:lang w:eastAsia="sk-SK"/>
        </w:rPr>
      </w:pPr>
      <w:r w:rsidRPr="00C63B3F">
        <w:rPr>
          <w:rFonts w:ascii="Times New Roman" w:hAnsi="Times New Roman" w:cs="Times New Roman"/>
          <w:b/>
          <w:bCs/>
          <w:sz w:val="24"/>
          <w:szCs w:val="24"/>
          <w:lang w:eastAsia="sk-SK"/>
        </w:rPr>
        <w:t>Doložka vybraných vplyvov</w:t>
      </w:r>
    </w:p>
    <w:p w:rsidR="00C63B3F" w:rsidRPr="00C63B3F" w:rsidP="00C63B3F">
      <w:pPr>
        <w:bidi w:val="0"/>
        <w:spacing w:after="0"/>
        <w:rPr>
          <w:rFonts w:ascii="Times New Roman" w:hAnsi="Times New Roman" w:cs="Times New Roman"/>
          <w:sz w:val="24"/>
          <w:szCs w:val="24"/>
          <w:lang w:eastAsia="sk-SK"/>
        </w:rPr>
      </w:pPr>
    </w:p>
    <w:p w:rsidR="00C63B3F" w:rsidRPr="00C63B3F" w:rsidP="00C63B3F">
      <w:pPr>
        <w:autoSpaceDE w:val="0"/>
        <w:autoSpaceDN w:val="0"/>
        <w:bidi w:val="0"/>
        <w:adjustRightInd w:val="0"/>
        <w:spacing w:after="0"/>
        <w:jc w:val="both"/>
        <w:rPr>
          <w:rFonts w:ascii="Times New Roman" w:hAnsi="Times New Roman" w:cs="Times New Roman"/>
          <w:bCs/>
          <w:sz w:val="24"/>
          <w:szCs w:val="24"/>
          <w:lang w:eastAsia="sk-SK"/>
        </w:rPr>
      </w:pPr>
      <w:r w:rsidRPr="00C63B3F">
        <w:rPr>
          <w:rFonts w:ascii="Times New Roman" w:hAnsi="Times New Roman" w:cs="Times New Roman"/>
          <w:b/>
          <w:bCs/>
          <w:sz w:val="24"/>
          <w:szCs w:val="24"/>
          <w:lang w:eastAsia="sk-SK"/>
        </w:rPr>
        <w:t xml:space="preserve">A.1. Názov materiálu:  </w:t>
      </w:r>
      <w:r w:rsidRPr="00C63B3F">
        <w:rPr>
          <w:rFonts w:ascii="Times New Roman" w:hAnsi="Times New Roman" w:cs="Times New Roman"/>
          <w:bCs/>
          <w:sz w:val="24"/>
          <w:szCs w:val="24"/>
          <w:lang w:eastAsia="sk-SK"/>
        </w:rPr>
        <w:t>Návrh z</w:t>
      </w:r>
      <w:r w:rsidRPr="00C63B3F">
        <w:rPr>
          <w:rFonts w:ascii="Times New Roman" w:hAnsi="Times New Roman" w:cs="Times New Roman"/>
          <w:sz w:val="24"/>
          <w:szCs w:val="24"/>
          <w:lang w:eastAsia="sk-SK"/>
        </w:rPr>
        <w:t>ákona</w:t>
      </w:r>
      <w:r w:rsidRPr="00C63B3F">
        <w:rPr>
          <w:rFonts w:ascii="Times New Roman" w:hAnsi="Times New Roman" w:cs="Times New Roman"/>
          <w:bCs/>
          <w:sz w:val="24"/>
          <w:szCs w:val="24"/>
          <w:lang w:eastAsia="sk-SK"/>
        </w:rPr>
        <w:t>, ktorým sa mení a dopĺňa zákon č. 363/2011 Z. z. o rozsahu a podmienkach úhrady liekov, zdravotníckych pomôcok a dietetických potravín na základe verejného zdravotného poistenia a o zmene a doplnení niektorých zákonov v znení zákona č. 460/2012 Z. z. a ktorým sa mení a dopĺňa zákon č. 581/2004 Z. z. o zdravotných poisťovniach, dohľade nad zdravotnou starostlivosťou a o zmene a doplnení niektorých zákonov v znení neskorších predpisov</w:t>
      </w:r>
    </w:p>
    <w:p w:rsidR="00C63B3F" w:rsidRPr="00C63B3F" w:rsidP="00C63B3F">
      <w:pPr>
        <w:autoSpaceDE w:val="0"/>
        <w:autoSpaceDN w:val="0"/>
        <w:bidi w:val="0"/>
        <w:adjustRightInd w:val="0"/>
        <w:spacing w:after="0"/>
        <w:jc w:val="both"/>
        <w:rPr>
          <w:rFonts w:ascii="Times New Roman" w:hAnsi="Times New Roman" w:cs="Times New Roman"/>
          <w:b/>
          <w:bCs/>
          <w:sz w:val="24"/>
          <w:szCs w:val="24"/>
          <w:lang w:eastAsia="sk-SK"/>
        </w:rPr>
      </w:pPr>
      <w:r w:rsidRPr="00C63B3F">
        <w:rPr>
          <w:rFonts w:ascii="Times New Roman" w:hAnsi="Times New Roman" w:cs="Times New Roman"/>
          <w:b/>
          <w:bCs/>
          <w:sz w:val="24"/>
          <w:szCs w:val="24"/>
          <w:lang w:eastAsia="sk-SK"/>
        </w:rPr>
        <w:t>  </w:t>
      </w:r>
    </w:p>
    <w:p w:rsidR="00C63B3F" w:rsidRPr="00C63B3F" w:rsidP="00C63B3F">
      <w:pPr>
        <w:bidi w:val="0"/>
        <w:spacing w:after="0"/>
        <w:rPr>
          <w:rFonts w:ascii="Times New Roman" w:hAnsi="Times New Roman" w:cs="Times New Roman"/>
          <w:sz w:val="24"/>
          <w:szCs w:val="24"/>
          <w:lang w:eastAsia="sk-SK"/>
        </w:rPr>
      </w:pPr>
      <w:r w:rsidRPr="00C63B3F">
        <w:rPr>
          <w:rFonts w:ascii="Times New Roman" w:hAnsi="Times New Roman" w:cs="Times New Roman"/>
          <w:b/>
          <w:bCs/>
          <w:sz w:val="24"/>
          <w:szCs w:val="24"/>
          <w:lang w:eastAsia="sk-SK"/>
        </w:rPr>
        <w:t>A.2. Vplyvy:</w:t>
      </w:r>
      <w:r w:rsidRPr="00C63B3F">
        <w:rPr>
          <w:rFonts w:ascii="Times New Roman" w:hAnsi="Times New Roman" w:cs="Times New Roman"/>
          <w:sz w:val="24"/>
          <w:szCs w:val="24"/>
          <w:lang w:eastAsia="sk-SK"/>
        </w:rPr>
        <w:t> </w:t>
      </w:r>
    </w:p>
    <w:tbl>
      <w:tblPr>
        <w:tblStyle w:val="TableNormal"/>
        <w:tblW w:w="9889" w:type="dxa"/>
        <w:tblCellMar>
          <w:left w:w="0" w:type="dxa"/>
          <w:right w:w="0" w:type="dxa"/>
        </w:tblCellMar>
      </w:tblPr>
      <w:tblGrid>
        <w:gridCol w:w="5070"/>
        <w:gridCol w:w="1559"/>
        <w:gridCol w:w="1559"/>
        <w:gridCol w:w="1701"/>
      </w:tblGrid>
      <w:tr>
        <w:tblPrEx>
          <w:tblW w:w="9889" w:type="dxa"/>
          <w:tblCellMar>
            <w:left w:w="0" w:type="dxa"/>
            <w:right w:w="0" w:type="dxa"/>
          </w:tblCellMar>
        </w:tblPrEx>
        <w:tc>
          <w:tcPr>
            <w:tcW w:w="507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63B3F" w:rsidRPr="00C63B3F" w:rsidP="00C63B3F">
            <w:pPr>
              <w:bidi w:val="0"/>
              <w:spacing w:after="0"/>
              <w:rPr>
                <w:rFonts w:ascii="Times New Roman" w:hAnsi="Times New Roman" w:cs="Times New Roman"/>
                <w:sz w:val="24"/>
                <w:szCs w:val="24"/>
                <w:lang w:eastAsia="sk-SK"/>
              </w:rPr>
            </w:pPr>
            <w:r w:rsidRPr="00C63B3F">
              <w:rPr>
                <w:rFonts w:ascii="Times New Roman" w:hAnsi="Times New Roman" w:cs="Times New Roman"/>
                <w:sz w:val="24"/>
                <w:szCs w:val="24"/>
                <w:lang w:eastAsia="sk-SK"/>
              </w:rPr>
              <w:t> </w:t>
            </w:r>
          </w:p>
        </w:tc>
        <w:tc>
          <w:tcPr>
            <w:tcW w:w="155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C63B3F" w:rsidRPr="00C63B3F" w:rsidP="00C63B3F">
            <w:pPr>
              <w:bidi w:val="0"/>
              <w:spacing w:after="0"/>
              <w:jc w:val="center"/>
              <w:rPr>
                <w:rFonts w:ascii="Times New Roman" w:hAnsi="Times New Roman" w:cs="Times New Roman"/>
                <w:sz w:val="24"/>
                <w:szCs w:val="24"/>
                <w:lang w:eastAsia="sk-SK"/>
              </w:rPr>
            </w:pPr>
            <w:r w:rsidRPr="00C63B3F">
              <w:rPr>
                <w:rFonts w:ascii="Times New Roman" w:hAnsi="Times New Roman" w:cs="Times New Roman"/>
                <w:sz w:val="24"/>
                <w:szCs w:val="24"/>
                <w:lang w:eastAsia="sk-SK"/>
              </w:rPr>
              <w:t xml:space="preserve">Pozitívne </w:t>
            </w:r>
          </w:p>
        </w:tc>
        <w:tc>
          <w:tcPr>
            <w:tcW w:w="155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C63B3F" w:rsidRPr="00C63B3F" w:rsidP="00C63B3F">
            <w:pPr>
              <w:bidi w:val="0"/>
              <w:spacing w:after="0"/>
              <w:jc w:val="center"/>
              <w:rPr>
                <w:rFonts w:ascii="Times New Roman" w:hAnsi="Times New Roman" w:cs="Times New Roman"/>
                <w:sz w:val="24"/>
                <w:szCs w:val="24"/>
                <w:lang w:eastAsia="sk-SK"/>
              </w:rPr>
            </w:pPr>
            <w:r w:rsidRPr="00C63B3F">
              <w:rPr>
                <w:rFonts w:ascii="Times New Roman" w:hAnsi="Times New Roman" w:cs="Times New Roman"/>
                <w:sz w:val="24"/>
                <w:szCs w:val="24"/>
                <w:lang w:eastAsia="sk-SK"/>
              </w:rPr>
              <w:t>Žiadne</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C63B3F" w:rsidRPr="00C63B3F" w:rsidP="00C63B3F">
            <w:pPr>
              <w:bidi w:val="0"/>
              <w:spacing w:after="0"/>
              <w:jc w:val="center"/>
              <w:rPr>
                <w:rFonts w:ascii="Times New Roman" w:hAnsi="Times New Roman" w:cs="Times New Roman"/>
                <w:sz w:val="24"/>
                <w:szCs w:val="24"/>
                <w:lang w:eastAsia="sk-SK"/>
              </w:rPr>
            </w:pPr>
            <w:r w:rsidRPr="00C63B3F">
              <w:rPr>
                <w:rFonts w:ascii="Times New Roman" w:hAnsi="Times New Roman" w:cs="Times New Roman"/>
                <w:sz w:val="24"/>
                <w:szCs w:val="24"/>
                <w:lang w:eastAsia="sk-SK"/>
              </w:rPr>
              <w:t>Negatívne</w:t>
            </w:r>
          </w:p>
        </w:tc>
      </w:tr>
      <w:tr>
        <w:tblPrEx>
          <w:tblW w:w="9889" w:type="dxa"/>
          <w:tblCellMar>
            <w:left w:w="0" w:type="dxa"/>
            <w:right w:w="0" w:type="dxa"/>
          </w:tblCellMar>
        </w:tblPrEx>
        <w:trPr>
          <w:trHeight w:val="842"/>
        </w:trPr>
        <w:tc>
          <w:tcPr>
            <w:tcW w:w="507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63B3F" w:rsidRPr="00C63B3F" w:rsidP="00C63B3F">
            <w:pPr>
              <w:bidi w:val="0"/>
              <w:spacing w:after="0"/>
              <w:rPr>
                <w:rFonts w:ascii="Times New Roman" w:hAnsi="Times New Roman" w:cs="Times New Roman"/>
                <w:sz w:val="24"/>
                <w:szCs w:val="24"/>
                <w:lang w:eastAsia="sk-SK"/>
              </w:rPr>
            </w:pPr>
            <w:r w:rsidRPr="00C63B3F">
              <w:rPr>
                <w:rFonts w:ascii="Times New Roman" w:hAnsi="Times New Roman" w:cs="Times New Roman"/>
                <w:sz w:val="24"/>
                <w:szCs w:val="24"/>
                <w:lang w:eastAsia="sk-SK"/>
              </w:rPr>
              <w:t>1. Vplyvy na rozpočet verejnej správy</w:t>
            </w:r>
          </w:p>
          <w:p w:rsidR="00C63B3F" w:rsidRPr="00C63B3F" w:rsidP="00C63B3F">
            <w:pPr>
              <w:bidi w:val="0"/>
              <w:spacing w:after="0"/>
              <w:rPr>
                <w:rFonts w:ascii="Times New Roman" w:hAnsi="Times New Roman" w:cs="Times New Roman"/>
                <w:sz w:val="24"/>
                <w:szCs w:val="24"/>
                <w:lang w:eastAsia="sk-SK"/>
              </w:rPr>
            </w:pPr>
            <w:r w:rsidRPr="00C63B3F">
              <w:rPr>
                <w:rFonts w:ascii="Times New Roman" w:hAnsi="Times New Roman" w:cs="Times New Roman"/>
                <w:i/>
                <w:iCs/>
                <w:sz w:val="24"/>
                <w:szCs w:val="24"/>
                <w:lang w:eastAsia="sk-SK"/>
              </w:rPr>
              <w:t> </w:t>
            </w:r>
          </w:p>
        </w:tc>
        <w:tc>
          <w:tcPr>
            <w:tcW w:w="155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63B3F" w:rsidRPr="00C63B3F" w:rsidP="00C63B3F">
            <w:pPr>
              <w:bidi w:val="0"/>
              <w:spacing w:after="0"/>
              <w:jc w:val="center"/>
              <w:rPr>
                <w:rFonts w:ascii="Times New Roman" w:hAnsi="Times New Roman" w:cs="Times New Roman"/>
                <w:sz w:val="24"/>
                <w:szCs w:val="24"/>
                <w:lang w:eastAsia="sk-SK"/>
              </w:rPr>
            </w:pPr>
          </w:p>
        </w:tc>
        <w:tc>
          <w:tcPr>
            <w:tcW w:w="155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63B3F" w:rsidRPr="00C63B3F" w:rsidP="00C63B3F">
            <w:pPr>
              <w:bidi w:val="0"/>
              <w:spacing w:after="0"/>
              <w:jc w:val="center"/>
              <w:rPr>
                <w:rFonts w:ascii="Times New Roman" w:hAnsi="Times New Roman" w:cs="Times New Roman"/>
                <w:sz w:val="24"/>
                <w:szCs w:val="24"/>
                <w:lang w:eastAsia="sk-SK"/>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63B3F" w:rsidRPr="00C63B3F" w:rsidP="00C63B3F">
            <w:pPr>
              <w:bidi w:val="0"/>
              <w:spacing w:after="0"/>
              <w:jc w:val="center"/>
              <w:rPr>
                <w:rFonts w:ascii="Times New Roman" w:hAnsi="Times New Roman" w:cs="Times New Roman"/>
                <w:sz w:val="24"/>
                <w:szCs w:val="24"/>
                <w:lang w:eastAsia="sk-SK"/>
              </w:rPr>
            </w:pPr>
            <w:r w:rsidRPr="00C63B3F">
              <w:rPr>
                <w:rFonts w:ascii="Times New Roman" w:hAnsi="Times New Roman" w:cs="Times New Roman"/>
                <w:sz w:val="24"/>
                <w:szCs w:val="24"/>
                <w:lang w:eastAsia="sk-SK"/>
              </w:rPr>
              <w:t>x</w:t>
            </w:r>
          </w:p>
        </w:tc>
      </w:tr>
      <w:tr>
        <w:tblPrEx>
          <w:tblW w:w="9889" w:type="dxa"/>
          <w:tblCellMar>
            <w:left w:w="0" w:type="dxa"/>
            <w:right w:w="0" w:type="dxa"/>
          </w:tblCellMar>
        </w:tblPrEx>
        <w:tc>
          <w:tcPr>
            <w:tcW w:w="507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63B3F" w:rsidRPr="00C63B3F" w:rsidP="00C63B3F">
            <w:pPr>
              <w:bidi w:val="0"/>
              <w:spacing w:after="0"/>
              <w:rPr>
                <w:rFonts w:ascii="Times New Roman" w:hAnsi="Times New Roman" w:cs="Times New Roman"/>
                <w:sz w:val="24"/>
                <w:szCs w:val="24"/>
                <w:lang w:eastAsia="sk-SK"/>
              </w:rPr>
            </w:pPr>
            <w:r w:rsidRPr="00C63B3F">
              <w:rPr>
                <w:rFonts w:ascii="Times New Roman" w:hAnsi="Times New Roman" w:cs="Times New Roman"/>
                <w:sz w:val="24"/>
                <w:szCs w:val="24"/>
                <w:lang w:eastAsia="sk-SK"/>
              </w:rPr>
              <w:t>2. Vplyvy na podnikateľské prostredie – dochádza k zvýšeniu regulačného zaťaženia?</w:t>
            </w:r>
          </w:p>
        </w:tc>
        <w:tc>
          <w:tcPr>
            <w:tcW w:w="155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63B3F" w:rsidRPr="00C63B3F" w:rsidP="00C63B3F">
            <w:pPr>
              <w:bidi w:val="0"/>
              <w:spacing w:after="0"/>
              <w:jc w:val="center"/>
              <w:rPr>
                <w:rFonts w:ascii="Times New Roman" w:hAnsi="Times New Roman" w:cs="Times New Roman"/>
                <w:sz w:val="24"/>
                <w:szCs w:val="24"/>
                <w:lang w:eastAsia="sk-SK"/>
              </w:rPr>
            </w:pPr>
          </w:p>
        </w:tc>
        <w:tc>
          <w:tcPr>
            <w:tcW w:w="155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63B3F" w:rsidRPr="00C63B3F" w:rsidP="00C63B3F">
            <w:pPr>
              <w:bidi w:val="0"/>
              <w:spacing w:after="0"/>
              <w:jc w:val="center"/>
              <w:rPr>
                <w:rFonts w:ascii="Times New Roman" w:hAnsi="Times New Roman" w:cs="Times New Roman"/>
                <w:sz w:val="24"/>
                <w:szCs w:val="24"/>
                <w:lang w:eastAsia="sk-SK"/>
              </w:rPr>
            </w:pPr>
            <w:r w:rsidRPr="00C63B3F">
              <w:rPr>
                <w:rFonts w:ascii="Times New Roman" w:hAnsi="Times New Roman" w:cs="Times New Roman"/>
                <w:sz w:val="24"/>
                <w:szCs w:val="24"/>
                <w:lang w:eastAsia="sk-SK"/>
              </w:rPr>
              <w:t> x</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63B3F" w:rsidRPr="00C63B3F" w:rsidP="00C63B3F">
            <w:pPr>
              <w:bidi w:val="0"/>
              <w:spacing w:after="0"/>
              <w:jc w:val="center"/>
              <w:rPr>
                <w:rFonts w:ascii="Times New Roman" w:hAnsi="Times New Roman" w:cs="Times New Roman"/>
                <w:sz w:val="24"/>
                <w:szCs w:val="24"/>
                <w:lang w:eastAsia="sk-SK"/>
              </w:rPr>
            </w:pPr>
          </w:p>
        </w:tc>
      </w:tr>
      <w:tr>
        <w:tblPrEx>
          <w:tblW w:w="9889" w:type="dxa"/>
          <w:tblCellMar>
            <w:left w:w="0" w:type="dxa"/>
            <w:right w:w="0" w:type="dxa"/>
          </w:tblCellMar>
        </w:tblPrEx>
        <w:tc>
          <w:tcPr>
            <w:tcW w:w="507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63B3F" w:rsidRPr="00C63B3F" w:rsidP="00C63B3F">
            <w:pPr>
              <w:bidi w:val="0"/>
              <w:spacing w:after="0"/>
              <w:rPr>
                <w:rFonts w:ascii="Times New Roman" w:hAnsi="Times New Roman" w:cs="Times New Roman"/>
                <w:sz w:val="24"/>
                <w:szCs w:val="24"/>
                <w:lang w:eastAsia="sk-SK"/>
              </w:rPr>
            </w:pPr>
            <w:r w:rsidRPr="00C63B3F">
              <w:rPr>
                <w:rFonts w:ascii="Times New Roman" w:hAnsi="Times New Roman" w:cs="Times New Roman"/>
                <w:sz w:val="24"/>
                <w:szCs w:val="24"/>
                <w:lang w:eastAsia="sk-SK"/>
              </w:rPr>
              <w:t xml:space="preserve">3, Sociálne vplyvy </w:t>
            </w:r>
          </w:p>
          <w:p w:rsidR="00C63B3F" w:rsidRPr="00C63B3F" w:rsidP="00C63B3F">
            <w:pPr>
              <w:bidi w:val="0"/>
              <w:spacing w:after="0"/>
              <w:rPr>
                <w:rFonts w:ascii="Times New Roman" w:hAnsi="Times New Roman" w:cs="Times New Roman"/>
                <w:sz w:val="24"/>
                <w:szCs w:val="24"/>
                <w:lang w:eastAsia="sk-SK"/>
              </w:rPr>
            </w:pPr>
            <w:r w:rsidRPr="00C63B3F">
              <w:rPr>
                <w:rFonts w:ascii="Times New Roman" w:hAnsi="Times New Roman" w:cs="Times New Roman"/>
                <w:sz w:val="24"/>
                <w:szCs w:val="24"/>
                <w:lang w:eastAsia="sk-SK"/>
              </w:rPr>
              <w:t>– vplyvy  na hospodárenie obyvateľstva,</w:t>
            </w:r>
          </w:p>
          <w:p w:rsidR="00C63B3F" w:rsidRPr="00C63B3F" w:rsidP="00C63B3F">
            <w:pPr>
              <w:bidi w:val="0"/>
              <w:spacing w:after="0"/>
              <w:rPr>
                <w:rFonts w:ascii="Times New Roman" w:hAnsi="Times New Roman" w:cs="Times New Roman"/>
                <w:sz w:val="24"/>
                <w:szCs w:val="24"/>
                <w:lang w:eastAsia="sk-SK"/>
              </w:rPr>
            </w:pPr>
            <w:r w:rsidRPr="00C63B3F">
              <w:rPr>
                <w:rFonts w:ascii="Times New Roman" w:hAnsi="Times New Roman" w:cs="Times New Roman"/>
                <w:sz w:val="24"/>
                <w:szCs w:val="24"/>
                <w:lang w:eastAsia="sk-SK"/>
              </w:rPr>
              <w:t>- sociálnu exklúziu,</w:t>
            </w:r>
          </w:p>
          <w:p w:rsidR="00C63B3F" w:rsidRPr="00C63B3F" w:rsidP="00C63B3F">
            <w:pPr>
              <w:bidi w:val="0"/>
              <w:spacing w:after="0"/>
              <w:rPr>
                <w:rFonts w:ascii="Times New Roman" w:hAnsi="Times New Roman" w:cs="Times New Roman"/>
                <w:sz w:val="24"/>
                <w:szCs w:val="24"/>
                <w:lang w:eastAsia="sk-SK"/>
              </w:rPr>
            </w:pPr>
            <w:r w:rsidRPr="00C63B3F">
              <w:rPr>
                <w:rFonts w:ascii="Times New Roman" w:hAnsi="Times New Roman" w:cs="Times New Roman"/>
                <w:sz w:val="24"/>
                <w:szCs w:val="24"/>
                <w:lang w:eastAsia="sk-SK"/>
              </w:rPr>
              <w:t>- rovnosť príležitostí a rodovú rovnosť a vplyvy na zamestnanosť</w:t>
            </w:r>
          </w:p>
        </w:tc>
        <w:tc>
          <w:tcPr>
            <w:tcW w:w="155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63B3F" w:rsidRPr="00C63B3F" w:rsidP="00C63B3F">
            <w:pPr>
              <w:bidi w:val="0"/>
              <w:spacing w:after="0"/>
              <w:jc w:val="center"/>
              <w:rPr>
                <w:rFonts w:ascii="Times New Roman" w:hAnsi="Times New Roman" w:cs="Times New Roman"/>
                <w:sz w:val="24"/>
                <w:szCs w:val="24"/>
                <w:lang w:eastAsia="sk-SK"/>
              </w:rPr>
            </w:pPr>
            <w:r w:rsidRPr="00C63B3F">
              <w:rPr>
                <w:rFonts w:ascii="Times New Roman" w:hAnsi="Times New Roman" w:cs="Times New Roman"/>
                <w:sz w:val="24"/>
                <w:szCs w:val="24"/>
                <w:lang w:eastAsia="sk-SK"/>
              </w:rPr>
              <w:t> </w:t>
            </w:r>
          </w:p>
          <w:p w:rsidR="00C63B3F" w:rsidRPr="00C63B3F" w:rsidP="00C63B3F">
            <w:pPr>
              <w:bidi w:val="0"/>
              <w:spacing w:after="0"/>
              <w:jc w:val="center"/>
              <w:rPr>
                <w:rFonts w:ascii="Times New Roman" w:hAnsi="Times New Roman" w:cs="Times New Roman"/>
                <w:sz w:val="24"/>
                <w:szCs w:val="24"/>
                <w:lang w:eastAsia="sk-SK"/>
              </w:rPr>
            </w:pPr>
            <w:r w:rsidRPr="00C63B3F">
              <w:rPr>
                <w:rFonts w:ascii="Times New Roman" w:hAnsi="Times New Roman" w:cs="Times New Roman"/>
                <w:sz w:val="24"/>
                <w:szCs w:val="24"/>
                <w:lang w:eastAsia="sk-SK"/>
              </w:rPr>
              <w:t>x</w:t>
            </w:r>
          </w:p>
          <w:p w:rsidR="00C63B3F" w:rsidRPr="00C63B3F" w:rsidP="00C63B3F">
            <w:pPr>
              <w:bidi w:val="0"/>
              <w:spacing w:after="0"/>
              <w:jc w:val="center"/>
              <w:rPr>
                <w:rFonts w:ascii="Times New Roman" w:hAnsi="Times New Roman" w:cs="Times New Roman"/>
                <w:sz w:val="24"/>
                <w:szCs w:val="24"/>
                <w:lang w:eastAsia="sk-SK"/>
              </w:rPr>
            </w:pPr>
          </w:p>
        </w:tc>
        <w:tc>
          <w:tcPr>
            <w:tcW w:w="155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63B3F" w:rsidRPr="00C63B3F" w:rsidP="00C63B3F">
            <w:pPr>
              <w:bidi w:val="0"/>
              <w:spacing w:after="0"/>
              <w:jc w:val="center"/>
              <w:rPr>
                <w:rFonts w:ascii="Times New Roman" w:hAnsi="Times New Roman" w:cs="Times New Roman"/>
                <w:sz w:val="24"/>
                <w:szCs w:val="24"/>
                <w:lang w:eastAsia="sk-SK"/>
              </w:rPr>
            </w:pPr>
            <w:r w:rsidRPr="00C63B3F">
              <w:rPr>
                <w:rFonts w:ascii="Times New Roman" w:hAnsi="Times New Roman" w:cs="Times New Roman"/>
                <w:sz w:val="24"/>
                <w:szCs w:val="24"/>
                <w:lang w:eastAsia="sk-SK"/>
              </w:rPr>
              <w:t> </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63B3F" w:rsidRPr="00C63B3F" w:rsidP="00C63B3F">
            <w:pPr>
              <w:bidi w:val="0"/>
              <w:spacing w:after="0"/>
              <w:jc w:val="center"/>
              <w:rPr>
                <w:rFonts w:ascii="Times New Roman" w:hAnsi="Times New Roman" w:cs="Times New Roman"/>
                <w:sz w:val="24"/>
                <w:szCs w:val="24"/>
                <w:lang w:eastAsia="sk-SK"/>
              </w:rPr>
            </w:pPr>
            <w:r w:rsidRPr="00C63B3F">
              <w:rPr>
                <w:rFonts w:ascii="Times New Roman" w:hAnsi="Times New Roman" w:cs="Times New Roman"/>
                <w:sz w:val="24"/>
                <w:szCs w:val="24"/>
                <w:lang w:eastAsia="sk-SK"/>
              </w:rPr>
              <w:t> </w:t>
            </w:r>
          </w:p>
        </w:tc>
      </w:tr>
      <w:tr>
        <w:tblPrEx>
          <w:tblW w:w="9889" w:type="dxa"/>
          <w:tblCellMar>
            <w:left w:w="0" w:type="dxa"/>
            <w:right w:w="0" w:type="dxa"/>
          </w:tblCellMar>
        </w:tblPrEx>
        <w:tc>
          <w:tcPr>
            <w:tcW w:w="507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63B3F" w:rsidRPr="00C63B3F" w:rsidP="00C63B3F">
            <w:pPr>
              <w:bidi w:val="0"/>
              <w:spacing w:after="0"/>
              <w:rPr>
                <w:rFonts w:ascii="Times New Roman" w:hAnsi="Times New Roman" w:cs="Times New Roman"/>
                <w:sz w:val="24"/>
                <w:szCs w:val="24"/>
                <w:lang w:eastAsia="sk-SK"/>
              </w:rPr>
            </w:pPr>
            <w:r w:rsidRPr="00C63B3F">
              <w:rPr>
                <w:rFonts w:ascii="Times New Roman" w:hAnsi="Times New Roman" w:cs="Times New Roman"/>
                <w:sz w:val="24"/>
                <w:szCs w:val="24"/>
                <w:lang w:eastAsia="sk-SK"/>
              </w:rPr>
              <w:t>4. Vplyvy na životné prostredie</w:t>
            </w:r>
          </w:p>
        </w:tc>
        <w:tc>
          <w:tcPr>
            <w:tcW w:w="155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63B3F" w:rsidRPr="00C63B3F" w:rsidP="00C63B3F">
            <w:pPr>
              <w:bidi w:val="0"/>
              <w:spacing w:after="0"/>
              <w:jc w:val="center"/>
              <w:rPr>
                <w:rFonts w:ascii="Times New Roman" w:hAnsi="Times New Roman" w:cs="Times New Roman"/>
                <w:sz w:val="24"/>
                <w:szCs w:val="24"/>
                <w:lang w:eastAsia="sk-SK"/>
              </w:rPr>
            </w:pPr>
            <w:r w:rsidRPr="00C63B3F">
              <w:rPr>
                <w:rFonts w:ascii="Times New Roman" w:hAnsi="Times New Roman" w:cs="Times New Roman"/>
                <w:sz w:val="24"/>
                <w:szCs w:val="24"/>
                <w:lang w:eastAsia="sk-SK"/>
              </w:rPr>
              <w:t> </w:t>
            </w:r>
          </w:p>
        </w:tc>
        <w:tc>
          <w:tcPr>
            <w:tcW w:w="155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63B3F" w:rsidRPr="00C63B3F" w:rsidP="00C63B3F">
            <w:pPr>
              <w:bidi w:val="0"/>
              <w:spacing w:after="0"/>
              <w:jc w:val="center"/>
              <w:rPr>
                <w:rFonts w:ascii="Times New Roman" w:hAnsi="Times New Roman" w:cs="Times New Roman"/>
                <w:sz w:val="24"/>
                <w:szCs w:val="24"/>
                <w:lang w:eastAsia="sk-SK"/>
              </w:rPr>
            </w:pPr>
            <w:r w:rsidRPr="00C63B3F">
              <w:rPr>
                <w:rFonts w:ascii="Times New Roman" w:hAnsi="Times New Roman" w:cs="Times New Roman"/>
                <w:sz w:val="24"/>
                <w:szCs w:val="24"/>
                <w:lang w:eastAsia="sk-SK"/>
              </w:rPr>
              <w:t xml:space="preserve"> x </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63B3F" w:rsidRPr="00C63B3F" w:rsidP="00C63B3F">
            <w:pPr>
              <w:bidi w:val="0"/>
              <w:spacing w:after="0"/>
              <w:jc w:val="center"/>
              <w:rPr>
                <w:rFonts w:ascii="Times New Roman" w:hAnsi="Times New Roman" w:cs="Times New Roman"/>
                <w:sz w:val="24"/>
                <w:szCs w:val="24"/>
                <w:lang w:eastAsia="sk-SK"/>
              </w:rPr>
            </w:pPr>
            <w:r w:rsidRPr="00C63B3F">
              <w:rPr>
                <w:rFonts w:ascii="Times New Roman" w:hAnsi="Times New Roman" w:cs="Times New Roman"/>
                <w:sz w:val="24"/>
                <w:szCs w:val="24"/>
                <w:lang w:eastAsia="sk-SK"/>
              </w:rPr>
              <w:t> </w:t>
            </w:r>
          </w:p>
        </w:tc>
      </w:tr>
      <w:tr>
        <w:tblPrEx>
          <w:tblW w:w="9889" w:type="dxa"/>
          <w:tblCellMar>
            <w:left w:w="0" w:type="dxa"/>
            <w:right w:w="0" w:type="dxa"/>
          </w:tblCellMar>
        </w:tblPrEx>
        <w:tc>
          <w:tcPr>
            <w:tcW w:w="507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63B3F" w:rsidRPr="00C63B3F" w:rsidP="00C63B3F">
            <w:pPr>
              <w:bidi w:val="0"/>
              <w:spacing w:after="0"/>
              <w:rPr>
                <w:rFonts w:ascii="Times New Roman" w:hAnsi="Times New Roman" w:cs="Times New Roman"/>
                <w:sz w:val="24"/>
                <w:szCs w:val="24"/>
                <w:lang w:eastAsia="sk-SK"/>
              </w:rPr>
            </w:pPr>
            <w:r w:rsidRPr="00C63B3F">
              <w:rPr>
                <w:rFonts w:ascii="Times New Roman" w:hAnsi="Times New Roman" w:cs="Times New Roman"/>
                <w:sz w:val="24"/>
                <w:szCs w:val="24"/>
                <w:lang w:eastAsia="sk-SK"/>
              </w:rPr>
              <w:t>5. Vplyvy na informatizáciu spoločnosti</w:t>
            </w:r>
          </w:p>
        </w:tc>
        <w:tc>
          <w:tcPr>
            <w:tcW w:w="155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63B3F" w:rsidRPr="00C63B3F" w:rsidP="00C63B3F">
            <w:pPr>
              <w:bidi w:val="0"/>
              <w:spacing w:after="0"/>
              <w:jc w:val="center"/>
              <w:rPr>
                <w:rFonts w:ascii="Times New Roman" w:hAnsi="Times New Roman" w:cs="Times New Roman"/>
                <w:sz w:val="24"/>
                <w:szCs w:val="24"/>
                <w:lang w:eastAsia="sk-SK"/>
              </w:rPr>
            </w:pPr>
            <w:r w:rsidRPr="00C63B3F">
              <w:rPr>
                <w:rFonts w:ascii="Times New Roman" w:hAnsi="Times New Roman" w:cs="Times New Roman"/>
                <w:sz w:val="24"/>
                <w:szCs w:val="24"/>
                <w:lang w:eastAsia="sk-SK"/>
              </w:rPr>
              <w:t> </w:t>
            </w:r>
          </w:p>
        </w:tc>
        <w:tc>
          <w:tcPr>
            <w:tcW w:w="155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63B3F" w:rsidRPr="00C63B3F" w:rsidP="00C63B3F">
            <w:pPr>
              <w:bidi w:val="0"/>
              <w:spacing w:after="0"/>
              <w:jc w:val="center"/>
              <w:rPr>
                <w:rFonts w:ascii="Times New Roman" w:hAnsi="Times New Roman" w:cs="Times New Roman"/>
                <w:sz w:val="24"/>
                <w:szCs w:val="24"/>
                <w:lang w:eastAsia="sk-SK"/>
              </w:rPr>
            </w:pPr>
            <w:r w:rsidRPr="00C63B3F">
              <w:rPr>
                <w:rFonts w:ascii="Times New Roman" w:hAnsi="Times New Roman" w:cs="Times New Roman"/>
                <w:sz w:val="24"/>
                <w:szCs w:val="24"/>
                <w:lang w:eastAsia="sk-SK"/>
              </w:rPr>
              <w:t>x</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63B3F" w:rsidRPr="00C63B3F" w:rsidP="00C63B3F">
            <w:pPr>
              <w:bidi w:val="0"/>
              <w:spacing w:after="0"/>
              <w:jc w:val="center"/>
              <w:rPr>
                <w:rFonts w:ascii="Times New Roman" w:hAnsi="Times New Roman" w:cs="Times New Roman"/>
                <w:sz w:val="24"/>
                <w:szCs w:val="24"/>
                <w:lang w:eastAsia="sk-SK"/>
              </w:rPr>
            </w:pPr>
            <w:r w:rsidRPr="00C63B3F">
              <w:rPr>
                <w:rFonts w:ascii="Times New Roman" w:hAnsi="Times New Roman" w:cs="Times New Roman"/>
                <w:sz w:val="24"/>
                <w:szCs w:val="24"/>
                <w:lang w:eastAsia="sk-SK"/>
              </w:rPr>
              <w:t> </w:t>
            </w:r>
          </w:p>
        </w:tc>
      </w:tr>
    </w:tbl>
    <w:p w:rsidR="00C63B3F" w:rsidRPr="00C63B3F" w:rsidP="00C63B3F">
      <w:pPr>
        <w:bidi w:val="0"/>
        <w:spacing w:after="0"/>
        <w:jc w:val="both"/>
        <w:rPr>
          <w:rFonts w:ascii="Times New Roman" w:hAnsi="Times New Roman" w:cs="Times New Roman"/>
          <w:sz w:val="24"/>
          <w:szCs w:val="24"/>
          <w:lang w:eastAsia="sk-SK"/>
        </w:rPr>
      </w:pPr>
      <w:r w:rsidRPr="00C63B3F">
        <w:rPr>
          <w:rFonts w:ascii="Times New Roman" w:hAnsi="Times New Roman" w:cs="Times New Roman"/>
          <w:sz w:val="24"/>
          <w:szCs w:val="24"/>
          <w:lang w:eastAsia="sk-SK"/>
        </w:rPr>
        <w:t>  </w:t>
      </w:r>
    </w:p>
    <w:p w:rsidR="00C63B3F" w:rsidRPr="00C63B3F" w:rsidP="00C63B3F">
      <w:pPr>
        <w:bidi w:val="0"/>
        <w:spacing w:after="0"/>
        <w:jc w:val="both"/>
        <w:rPr>
          <w:rFonts w:ascii="Times New Roman" w:hAnsi="Times New Roman" w:cs="Times New Roman"/>
          <w:sz w:val="24"/>
          <w:szCs w:val="24"/>
          <w:lang w:eastAsia="sk-SK"/>
        </w:rPr>
      </w:pPr>
      <w:r w:rsidRPr="00C63B3F">
        <w:rPr>
          <w:rFonts w:ascii="Times New Roman" w:hAnsi="Times New Roman" w:cs="Times New Roman"/>
          <w:sz w:val="24"/>
          <w:szCs w:val="24"/>
          <w:lang w:eastAsia="sk-SK"/>
        </w:rPr>
        <w:t> </w:t>
      </w:r>
      <w:r w:rsidRPr="00C63B3F">
        <w:rPr>
          <w:rFonts w:ascii="Times New Roman" w:hAnsi="Times New Roman" w:cs="Times New Roman"/>
          <w:b/>
          <w:bCs/>
          <w:sz w:val="24"/>
          <w:szCs w:val="24"/>
          <w:lang w:eastAsia="sk-SK"/>
        </w:rPr>
        <w:t>A.3. Poznámky</w:t>
      </w:r>
    </w:p>
    <w:p w:rsidR="00C63B3F" w:rsidRPr="00C63B3F" w:rsidP="00C63B3F">
      <w:pPr>
        <w:bidi w:val="0"/>
        <w:spacing w:after="0"/>
        <w:jc w:val="both"/>
        <w:rPr>
          <w:rFonts w:ascii="Times New Roman" w:hAnsi="Times New Roman" w:cs="Times New Roman"/>
          <w:sz w:val="24"/>
          <w:szCs w:val="24"/>
          <w:lang w:eastAsia="sk-SK"/>
        </w:rPr>
      </w:pPr>
      <w:r w:rsidRPr="00C63B3F">
        <w:rPr>
          <w:rFonts w:ascii="Times New Roman" w:hAnsi="Times New Roman" w:cs="Times New Roman"/>
          <w:b/>
          <w:bCs/>
          <w:sz w:val="24"/>
          <w:szCs w:val="24"/>
          <w:lang w:eastAsia="sk-SK"/>
        </w:rPr>
        <w:t> </w:t>
      </w:r>
    </w:p>
    <w:p w:rsidR="00C63B3F" w:rsidRPr="00C63B3F" w:rsidP="00C63B3F">
      <w:pPr>
        <w:bidi w:val="0"/>
        <w:spacing w:after="0"/>
        <w:jc w:val="both"/>
        <w:rPr>
          <w:rFonts w:ascii="Times New Roman" w:hAnsi="Times New Roman" w:cs="Times New Roman"/>
          <w:sz w:val="24"/>
          <w:szCs w:val="24"/>
          <w:lang w:eastAsia="sk-SK"/>
        </w:rPr>
      </w:pPr>
      <w:r w:rsidRPr="00C63B3F">
        <w:rPr>
          <w:rFonts w:ascii="Times New Roman" w:hAnsi="Times New Roman" w:cs="Times New Roman"/>
          <w:sz w:val="24"/>
          <w:szCs w:val="24"/>
          <w:lang w:eastAsia="sk-SK"/>
        </w:rPr>
        <w:t> </w:t>
      </w:r>
      <w:r w:rsidRPr="00C63B3F">
        <w:rPr>
          <w:rFonts w:ascii="Times New Roman" w:hAnsi="Times New Roman" w:cs="Times New Roman"/>
          <w:b/>
          <w:sz w:val="24"/>
          <w:szCs w:val="24"/>
          <w:lang w:eastAsia="sk-SK"/>
        </w:rPr>
        <w:t>1. Vplyv na rozpočet verejnej správy</w:t>
      </w:r>
    </w:p>
    <w:p w:rsidR="00C63B3F" w:rsidRPr="00C63B3F" w:rsidP="00C63B3F">
      <w:pPr>
        <w:bidi w:val="0"/>
        <w:spacing w:after="0"/>
        <w:jc w:val="both"/>
        <w:rPr>
          <w:rFonts w:ascii="Times New Roman" w:hAnsi="Times New Roman" w:cs="Times New Roman"/>
          <w:sz w:val="24"/>
          <w:szCs w:val="24"/>
          <w:lang w:eastAsia="sk-SK"/>
        </w:rPr>
      </w:pPr>
      <w:r w:rsidRPr="00C63B3F">
        <w:rPr>
          <w:rFonts w:ascii="Times New Roman" w:hAnsi="Times New Roman" w:cs="Times New Roman"/>
          <w:sz w:val="24"/>
          <w:szCs w:val="24"/>
          <w:lang w:eastAsia="sk-SK"/>
        </w:rPr>
        <w:t xml:space="preserve">Návrh zákona predpokladá negatívny vplyv na zdroje verejného zdravotného poistenia z dôvodu rozšírenia rozsahu zdravotného poistenia stanovením okruhu poistencov, na ktorých sa vzťahuje limit spoluúčasti a zavedenie nových ochranných limitov na doplatky za lieky pre jednotlivé skupiny poistencov. </w:t>
      </w:r>
    </w:p>
    <w:p w:rsidR="00C63B3F" w:rsidRPr="00C63B3F" w:rsidP="00C63B3F">
      <w:pPr>
        <w:bidi w:val="0"/>
        <w:spacing w:after="0"/>
        <w:ind w:firstLine="360"/>
        <w:jc w:val="both"/>
        <w:rPr>
          <w:rFonts w:ascii="Times New Roman" w:hAnsi="Times New Roman" w:cs="Times New Roman"/>
          <w:sz w:val="24"/>
          <w:szCs w:val="24"/>
          <w:lang w:eastAsia="sk-SK"/>
        </w:rPr>
      </w:pPr>
    </w:p>
    <w:p w:rsidR="00C63B3F" w:rsidRPr="00C63B3F" w:rsidP="00C63B3F">
      <w:pPr>
        <w:bidi w:val="0"/>
        <w:spacing w:after="0"/>
        <w:ind w:left="360" w:hanging="360"/>
        <w:jc w:val="both"/>
        <w:rPr>
          <w:rFonts w:ascii="Times New Roman" w:hAnsi="Times New Roman" w:cs="Times New Roman"/>
          <w:b/>
          <w:sz w:val="24"/>
          <w:szCs w:val="24"/>
          <w:lang w:eastAsia="sk-SK"/>
        </w:rPr>
      </w:pPr>
      <w:r w:rsidRPr="00C63B3F">
        <w:rPr>
          <w:rFonts w:ascii="Times New Roman" w:hAnsi="Times New Roman" w:cs="Times New Roman"/>
          <w:b/>
          <w:sz w:val="24"/>
          <w:szCs w:val="24"/>
          <w:lang w:eastAsia="sk-SK"/>
        </w:rPr>
        <w:t>2. Vplyv na podnikateľské prostredie</w:t>
      </w:r>
    </w:p>
    <w:p w:rsidR="00C63B3F" w:rsidRPr="00C63B3F" w:rsidP="00C63B3F">
      <w:pPr>
        <w:bidi w:val="0"/>
        <w:spacing w:after="0"/>
        <w:jc w:val="both"/>
        <w:rPr>
          <w:rFonts w:ascii="Times New Roman" w:hAnsi="Times New Roman" w:cs="Times New Roman"/>
          <w:sz w:val="24"/>
          <w:szCs w:val="24"/>
          <w:lang w:eastAsia="sk-SK"/>
        </w:rPr>
      </w:pPr>
      <w:r w:rsidRPr="00C63B3F">
        <w:rPr>
          <w:rFonts w:ascii="Times New Roman" w:hAnsi="Times New Roman" w:cs="Times New Roman"/>
          <w:sz w:val="24"/>
          <w:szCs w:val="24"/>
          <w:lang w:eastAsia="sk-SK"/>
        </w:rPr>
        <w:t xml:space="preserve">Nepredpokladá sa žiadny dopad na poskytovateľov zdravotnej starostlivosti alebo poskytovateľov lekárenskej starostlivosti. </w:t>
      </w:r>
    </w:p>
    <w:p w:rsidR="00C63B3F" w:rsidRPr="00C63B3F" w:rsidP="00C63B3F">
      <w:pPr>
        <w:bidi w:val="0"/>
        <w:spacing w:after="0"/>
        <w:jc w:val="both"/>
        <w:rPr>
          <w:rFonts w:ascii="Times New Roman" w:hAnsi="Times New Roman" w:cs="Times New Roman"/>
          <w:b/>
          <w:sz w:val="24"/>
          <w:szCs w:val="24"/>
          <w:lang w:eastAsia="sk-SK"/>
        </w:rPr>
      </w:pPr>
    </w:p>
    <w:p w:rsidR="00C63B3F" w:rsidRPr="00C63B3F" w:rsidP="00C63B3F">
      <w:pPr>
        <w:bidi w:val="0"/>
        <w:spacing w:after="0"/>
        <w:jc w:val="both"/>
        <w:rPr>
          <w:rFonts w:ascii="Times New Roman" w:hAnsi="Times New Roman" w:cs="Times New Roman"/>
          <w:sz w:val="24"/>
          <w:szCs w:val="24"/>
          <w:lang w:eastAsia="sk-SK"/>
        </w:rPr>
      </w:pPr>
      <w:r w:rsidRPr="00C63B3F">
        <w:rPr>
          <w:rFonts w:ascii="Times New Roman" w:hAnsi="Times New Roman" w:cs="Times New Roman"/>
          <w:b/>
          <w:sz w:val="24"/>
          <w:szCs w:val="24"/>
          <w:lang w:eastAsia="sk-SK"/>
        </w:rPr>
        <w:t>3. Sociálne vplyvy</w:t>
      </w:r>
    </w:p>
    <w:p w:rsidR="00A734D7" w:rsidRPr="00C63B3F" w:rsidP="00C63B3F">
      <w:pPr>
        <w:bidi w:val="0"/>
        <w:jc w:val="both"/>
        <w:rPr>
          <w:rFonts w:ascii="Times New Roman" w:hAnsi="Times New Roman" w:cs="Times New Roman"/>
          <w:sz w:val="24"/>
          <w:szCs w:val="24"/>
        </w:rPr>
      </w:pPr>
      <w:r w:rsidRPr="00C63B3F" w:rsidR="00C63B3F">
        <w:rPr>
          <w:rFonts w:ascii="Times New Roman" w:hAnsi="Times New Roman" w:cs="Times New Roman"/>
          <w:sz w:val="24"/>
          <w:szCs w:val="24"/>
          <w:lang w:eastAsia="sk-SK"/>
        </w:rPr>
        <w:t>Návrh zákona bude mať pozitívne sociálne vplyvy, nakoľko zavádza úpravu opatrenia v prospech poistencov zdravotných poisťovní vo forme ochranného limitu na doplatky na lieky, ktoré poistenci platia, pričom nad takto stanovený limit spoluúčasti im ďalšie doplatky za lieky hradí zdravotná poisťovňa. Pozitívnym sociálnym vplyvom je zníženie doterajšieho limitu spoluúčasti pre poistencov, ako aj rozšírenie okruhu poistencov v súvislosti so zavedením ochranného limitu spoluúčasti pre poistencov mladších ako 6 rokov a zavedenie ochranného limitu pre poistencov mladších ako 6 rokov, ktorí sú ťažko zdravotne postihnutí.</w:t>
      </w:r>
    </w:p>
    <w:p w:rsidR="00C63B3F" w:rsidRPr="00C63B3F" w:rsidP="00882ABD">
      <w:pPr>
        <w:bidi w:val="0"/>
        <w:jc w:val="both"/>
        <w:rPr>
          <w:rFonts w:ascii="Times New Roman" w:hAnsi="Times New Roman" w:cs="Times New Roman"/>
          <w:b/>
          <w:sz w:val="24"/>
          <w:szCs w:val="24"/>
          <w:u w:val="single"/>
        </w:rPr>
      </w:pPr>
    </w:p>
    <w:p w:rsidR="00C63B3F" w:rsidP="00882ABD">
      <w:pPr>
        <w:bidi w:val="0"/>
        <w:jc w:val="both"/>
        <w:rPr>
          <w:rFonts w:ascii="Times New Roman" w:hAnsi="Times New Roman" w:cs="Times New Roman"/>
          <w:b/>
          <w:sz w:val="24"/>
          <w:szCs w:val="24"/>
          <w:u w:val="single"/>
        </w:rPr>
      </w:pPr>
    </w:p>
    <w:p w:rsidR="00C63B3F" w:rsidRPr="00C63B3F" w:rsidP="00C63B3F">
      <w:pPr>
        <w:bidi w:val="0"/>
        <w:spacing w:line="276" w:lineRule="auto"/>
        <w:jc w:val="center"/>
        <w:rPr>
          <w:rFonts w:ascii="Times New Roman" w:hAnsi="Times New Roman" w:cs="Times New Roman"/>
          <w:b/>
          <w:bCs/>
          <w:caps/>
          <w:spacing w:val="30"/>
          <w:sz w:val="24"/>
          <w:szCs w:val="24"/>
        </w:rPr>
      </w:pPr>
      <w:r w:rsidRPr="00C63B3F">
        <w:rPr>
          <w:rFonts w:ascii="Times New Roman" w:hAnsi="Times New Roman" w:cs="Times New Roman"/>
          <w:b/>
          <w:bCs/>
          <w:caps/>
          <w:spacing w:val="30"/>
          <w:sz w:val="24"/>
          <w:szCs w:val="24"/>
        </w:rPr>
        <w:t>Doložka zlučiteľnosti</w:t>
      </w:r>
    </w:p>
    <w:p w:rsidR="00C63B3F" w:rsidRPr="00C63B3F" w:rsidP="00C63B3F">
      <w:pPr>
        <w:bidi w:val="0"/>
        <w:spacing w:line="276" w:lineRule="auto"/>
        <w:jc w:val="center"/>
        <w:rPr>
          <w:rFonts w:ascii="Times New Roman" w:hAnsi="Times New Roman" w:cs="Times New Roman"/>
          <w:b/>
          <w:bCs/>
          <w:sz w:val="24"/>
          <w:szCs w:val="24"/>
        </w:rPr>
      </w:pPr>
      <w:r w:rsidRPr="00C63B3F">
        <w:rPr>
          <w:rFonts w:ascii="Times New Roman" w:hAnsi="Times New Roman" w:cs="Times New Roman"/>
          <w:b/>
          <w:bCs/>
          <w:sz w:val="24"/>
          <w:szCs w:val="24"/>
        </w:rPr>
        <w:t>právneho predpisu s právom Európskej únie</w:t>
      </w:r>
    </w:p>
    <w:p w:rsidR="00C63B3F" w:rsidRPr="00C63B3F" w:rsidP="00C63B3F">
      <w:pPr>
        <w:bidi w:val="0"/>
        <w:spacing w:line="276" w:lineRule="auto"/>
        <w:jc w:val="center"/>
        <w:rPr>
          <w:rFonts w:ascii="Times New Roman" w:hAnsi="Times New Roman" w:cs="Times New Roman"/>
          <w:b/>
          <w:bCs/>
          <w:sz w:val="24"/>
          <w:szCs w:val="24"/>
        </w:rPr>
      </w:pPr>
    </w:p>
    <w:p w:rsidR="00C63B3F" w:rsidRPr="00C63B3F" w:rsidP="00C63B3F">
      <w:pPr>
        <w:bidi w:val="0"/>
        <w:spacing w:line="276" w:lineRule="auto"/>
        <w:ind w:left="360" w:hanging="360"/>
        <w:jc w:val="both"/>
        <w:rPr>
          <w:rFonts w:ascii="Times New Roman" w:hAnsi="Times New Roman" w:cs="Times New Roman"/>
          <w:sz w:val="24"/>
          <w:szCs w:val="24"/>
        </w:rPr>
      </w:pPr>
      <w:r w:rsidRPr="00C63B3F">
        <w:rPr>
          <w:rFonts w:ascii="Times New Roman" w:hAnsi="Times New Roman" w:cs="Times New Roman"/>
          <w:b/>
          <w:bCs/>
          <w:sz w:val="24"/>
          <w:szCs w:val="24"/>
        </w:rPr>
        <w:t>1.</w:t>
        <w:tab/>
        <w:t>Predkladateľ právneho predpisu:</w:t>
      </w:r>
      <w:r w:rsidRPr="00C63B3F">
        <w:rPr>
          <w:rFonts w:ascii="Times New Roman" w:hAnsi="Times New Roman" w:cs="Times New Roman"/>
          <w:sz w:val="24"/>
          <w:szCs w:val="24"/>
        </w:rPr>
        <w:t xml:space="preserve"> poslan</w:t>
      </w:r>
      <w:r w:rsidR="00303D77">
        <w:rPr>
          <w:rFonts w:ascii="Times New Roman" w:hAnsi="Times New Roman" w:cs="Times New Roman"/>
          <w:sz w:val="24"/>
          <w:szCs w:val="24"/>
        </w:rPr>
        <w:t>ci</w:t>
      </w:r>
      <w:r w:rsidRPr="00C63B3F">
        <w:rPr>
          <w:rFonts w:ascii="Times New Roman" w:hAnsi="Times New Roman" w:cs="Times New Roman"/>
          <w:sz w:val="24"/>
          <w:szCs w:val="24"/>
        </w:rPr>
        <w:t xml:space="preserve"> Národnej rady Slovenskej republiky Richard Raši</w:t>
      </w:r>
      <w:r w:rsidR="00303D77">
        <w:rPr>
          <w:rFonts w:ascii="Times New Roman" w:hAnsi="Times New Roman" w:cs="Times New Roman"/>
          <w:sz w:val="24"/>
          <w:szCs w:val="24"/>
        </w:rPr>
        <w:t>, Jozef Valocký, Vladimír Baláž</w:t>
      </w:r>
    </w:p>
    <w:p w:rsidR="00C63B3F" w:rsidRPr="00C63B3F" w:rsidP="00C63B3F">
      <w:pPr>
        <w:bidi w:val="0"/>
        <w:spacing w:after="0"/>
        <w:jc w:val="both"/>
        <w:rPr>
          <w:rFonts w:ascii="Times New Roman" w:hAnsi="Times New Roman" w:cs="Times New Roman"/>
          <w:sz w:val="24"/>
          <w:szCs w:val="24"/>
        </w:rPr>
      </w:pPr>
      <w:r w:rsidRPr="00C63B3F">
        <w:rPr>
          <w:rFonts w:ascii="Times New Roman" w:hAnsi="Times New Roman" w:cs="Times New Roman"/>
          <w:b/>
          <w:sz w:val="24"/>
          <w:szCs w:val="24"/>
        </w:rPr>
        <w:t>2. Názov návrhu právneho predpisu:</w:t>
      </w:r>
      <w:r w:rsidRPr="00C63B3F">
        <w:rPr>
          <w:rFonts w:ascii="Times New Roman" w:hAnsi="Times New Roman" w:cs="Times New Roman"/>
          <w:sz w:val="24"/>
          <w:szCs w:val="24"/>
        </w:rPr>
        <w:t xml:space="preserve"> návrh zákona, ktorým sa mení a dopĺňa zákon č. 363/2011 Z. z. o rozsahu a podmienkach úhrady liekov, zdravotníckych pomôcok a dietetických potravín na základe verejného zdravotného poistenia a o zmene a doplnení niektorých zákonov v znení zákona č. 460/2012 Z. z. a ktorým sa mení a dopĺňa zákon č. 581/2004 Z. z. o zdravotných poisťovniach, dohľade nad zdravotnou starostlivosťou a o zmene a doplnení niektorých zákonov v znení neskorších predpisov</w:t>
      </w:r>
    </w:p>
    <w:p w:rsidR="00C63B3F" w:rsidRPr="00C63B3F" w:rsidP="00C63B3F">
      <w:pPr>
        <w:bidi w:val="0"/>
        <w:spacing w:after="0"/>
        <w:jc w:val="both"/>
        <w:rPr>
          <w:rFonts w:ascii="Times New Roman" w:hAnsi="Times New Roman" w:cs="Times New Roman"/>
          <w:sz w:val="24"/>
          <w:szCs w:val="24"/>
        </w:rPr>
      </w:pPr>
    </w:p>
    <w:p w:rsidR="00C63B3F" w:rsidRPr="00C63B3F" w:rsidP="00C63B3F">
      <w:pPr>
        <w:bidi w:val="0"/>
        <w:spacing w:line="276" w:lineRule="auto"/>
        <w:ind w:left="360" w:hanging="360"/>
        <w:rPr>
          <w:rFonts w:ascii="Times New Roman" w:hAnsi="Times New Roman" w:cs="Times New Roman"/>
          <w:b/>
          <w:bCs/>
          <w:sz w:val="24"/>
          <w:szCs w:val="24"/>
        </w:rPr>
      </w:pPr>
      <w:r w:rsidRPr="00C63B3F">
        <w:rPr>
          <w:rFonts w:ascii="Times New Roman" w:hAnsi="Times New Roman" w:cs="Times New Roman"/>
          <w:b/>
          <w:bCs/>
          <w:sz w:val="24"/>
          <w:szCs w:val="24"/>
        </w:rPr>
        <w:t>3.</w:t>
        <w:tab/>
        <w:t>Problematika návrhu právneho predpisu:</w:t>
      </w:r>
    </w:p>
    <w:p w:rsidR="00C63B3F" w:rsidRPr="00C63B3F" w:rsidP="00C63B3F">
      <w:pPr>
        <w:numPr>
          <w:ilvl w:val="1"/>
          <w:numId w:val="2"/>
        </w:numPr>
        <w:bidi w:val="0"/>
        <w:spacing w:after="120" w:line="276" w:lineRule="auto"/>
        <w:rPr>
          <w:rFonts w:ascii="Times New Roman" w:hAnsi="Times New Roman" w:cs="Times New Roman"/>
          <w:sz w:val="24"/>
          <w:szCs w:val="24"/>
          <w:lang w:eastAsia="cs-CZ"/>
        </w:rPr>
      </w:pPr>
      <w:r w:rsidRPr="00C63B3F">
        <w:rPr>
          <w:rFonts w:ascii="Times New Roman" w:hAnsi="Times New Roman" w:cs="Times New Roman"/>
          <w:sz w:val="24"/>
          <w:szCs w:val="24"/>
          <w:lang w:eastAsia="cs-CZ"/>
        </w:rPr>
        <w:t>nie je upravená v práve Európskej únie</w:t>
      </w:r>
    </w:p>
    <w:p w:rsidR="00C63B3F" w:rsidRPr="00C63B3F" w:rsidP="00C63B3F">
      <w:pPr>
        <w:bidi w:val="0"/>
        <w:spacing w:after="120"/>
        <w:ind w:left="850"/>
        <w:rPr>
          <w:rFonts w:ascii="Times New Roman" w:hAnsi="Times New Roman" w:cs="Times New Roman"/>
          <w:sz w:val="24"/>
          <w:szCs w:val="24"/>
          <w:lang w:eastAsia="cs-CZ"/>
        </w:rPr>
      </w:pPr>
    </w:p>
    <w:p w:rsidR="00C63B3F" w:rsidRPr="00C63B3F" w:rsidP="00C63B3F">
      <w:pPr>
        <w:numPr>
          <w:ilvl w:val="1"/>
          <w:numId w:val="2"/>
        </w:numPr>
        <w:bidi w:val="0"/>
        <w:spacing w:after="120" w:line="276" w:lineRule="auto"/>
        <w:jc w:val="both"/>
        <w:rPr>
          <w:rFonts w:ascii="Times New Roman" w:hAnsi="Times New Roman" w:cs="Times New Roman"/>
          <w:sz w:val="24"/>
          <w:szCs w:val="24"/>
          <w:lang w:eastAsia="cs-CZ"/>
        </w:rPr>
      </w:pPr>
      <w:r w:rsidRPr="00C63B3F">
        <w:rPr>
          <w:rFonts w:ascii="Times New Roman" w:hAnsi="Times New Roman" w:cs="Times New Roman"/>
          <w:sz w:val="24"/>
          <w:szCs w:val="24"/>
          <w:lang w:eastAsia="cs-CZ"/>
        </w:rPr>
        <w:t>nie je obsiahnutá v judikatúre Súdneho dvora Európskej únie.</w:t>
      </w:r>
    </w:p>
    <w:p w:rsidR="00C63B3F" w:rsidRPr="00C63B3F" w:rsidP="00C63B3F">
      <w:pPr>
        <w:bidi w:val="0"/>
        <w:spacing w:after="120"/>
        <w:ind w:left="426" w:hanging="426"/>
        <w:jc w:val="both"/>
        <w:rPr>
          <w:rFonts w:ascii="Times New Roman" w:hAnsi="Times New Roman" w:cs="Times New Roman"/>
          <w:sz w:val="24"/>
          <w:szCs w:val="24"/>
          <w:lang w:eastAsia="cs-CZ"/>
        </w:rPr>
      </w:pPr>
    </w:p>
    <w:p w:rsidR="00C63B3F" w:rsidRPr="00C63B3F" w:rsidP="00C63B3F">
      <w:pPr>
        <w:bidi w:val="0"/>
        <w:spacing w:line="276" w:lineRule="auto"/>
        <w:jc w:val="both"/>
        <w:rPr>
          <w:rFonts w:ascii="Times New Roman" w:hAnsi="Times New Roman" w:cs="Times New Roman"/>
          <w:b/>
          <w:sz w:val="24"/>
          <w:szCs w:val="24"/>
        </w:rPr>
      </w:pPr>
      <w:r w:rsidRPr="00C63B3F">
        <w:rPr>
          <w:rFonts w:ascii="Times New Roman" w:hAnsi="Times New Roman" w:cs="Times New Roman"/>
          <w:b/>
          <w:sz w:val="24"/>
          <w:szCs w:val="24"/>
        </w:rPr>
        <w:t>Vzhľadom na vnútroštátny charakter navrhovaného právneho predpisu je bezpredmetné vyjadrovať sa k bodom 4., 5. a 6. doložky zlučiteľnosti.</w:t>
      </w:r>
    </w:p>
    <w:p w:rsidR="00C63B3F" w:rsidP="00882ABD">
      <w:pPr>
        <w:bidi w:val="0"/>
        <w:jc w:val="both"/>
        <w:rPr>
          <w:rFonts w:ascii="Times New Roman" w:hAnsi="Times New Roman" w:cs="Times New Roman"/>
          <w:b/>
          <w:sz w:val="24"/>
          <w:szCs w:val="24"/>
          <w:u w:val="single"/>
        </w:rPr>
      </w:pPr>
    </w:p>
    <w:p w:rsidR="00C63B3F" w:rsidP="00882ABD">
      <w:pPr>
        <w:bidi w:val="0"/>
        <w:jc w:val="both"/>
        <w:rPr>
          <w:rFonts w:ascii="Times New Roman" w:hAnsi="Times New Roman" w:cs="Times New Roman"/>
          <w:b/>
          <w:sz w:val="24"/>
          <w:szCs w:val="24"/>
          <w:u w:val="single"/>
        </w:rPr>
      </w:pPr>
    </w:p>
    <w:p w:rsidR="00C63B3F" w:rsidP="00882ABD">
      <w:pPr>
        <w:bidi w:val="0"/>
        <w:jc w:val="both"/>
        <w:rPr>
          <w:rFonts w:ascii="Times New Roman" w:hAnsi="Times New Roman" w:cs="Times New Roman"/>
          <w:b/>
          <w:sz w:val="24"/>
          <w:szCs w:val="24"/>
          <w:u w:val="single"/>
        </w:rPr>
      </w:pPr>
    </w:p>
    <w:p w:rsidR="00C63B3F" w:rsidP="00882ABD">
      <w:pPr>
        <w:bidi w:val="0"/>
        <w:jc w:val="both"/>
        <w:rPr>
          <w:rFonts w:ascii="Times New Roman" w:hAnsi="Times New Roman" w:cs="Times New Roman"/>
          <w:b/>
          <w:sz w:val="24"/>
          <w:szCs w:val="24"/>
          <w:u w:val="single"/>
        </w:rPr>
      </w:pPr>
    </w:p>
    <w:p w:rsidR="00C63B3F" w:rsidP="00882ABD">
      <w:pPr>
        <w:bidi w:val="0"/>
        <w:jc w:val="both"/>
        <w:rPr>
          <w:rFonts w:ascii="Times New Roman" w:hAnsi="Times New Roman" w:cs="Times New Roman"/>
          <w:b/>
          <w:sz w:val="24"/>
          <w:szCs w:val="24"/>
          <w:u w:val="single"/>
        </w:rPr>
      </w:pPr>
    </w:p>
    <w:p w:rsidR="00C63B3F" w:rsidP="00882ABD">
      <w:pPr>
        <w:bidi w:val="0"/>
        <w:jc w:val="both"/>
        <w:rPr>
          <w:rFonts w:ascii="Times New Roman" w:hAnsi="Times New Roman" w:cs="Times New Roman"/>
          <w:b/>
          <w:sz w:val="24"/>
          <w:szCs w:val="24"/>
          <w:u w:val="single"/>
        </w:rPr>
      </w:pPr>
    </w:p>
    <w:p w:rsidR="00C63B3F" w:rsidP="00882ABD">
      <w:pPr>
        <w:bidi w:val="0"/>
        <w:jc w:val="both"/>
        <w:rPr>
          <w:rFonts w:ascii="Times New Roman" w:hAnsi="Times New Roman" w:cs="Times New Roman"/>
          <w:b/>
          <w:sz w:val="24"/>
          <w:szCs w:val="24"/>
          <w:u w:val="single"/>
        </w:rPr>
      </w:pPr>
    </w:p>
    <w:p w:rsidR="00C63B3F" w:rsidP="00882ABD">
      <w:pPr>
        <w:bidi w:val="0"/>
        <w:jc w:val="both"/>
        <w:rPr>
          <w:rFonts w:ascii="Times New Roman" w:hAnsi="Times New Roman" w:cs="Times New Roman"/>
          <w:b/>
          <w:sz w:val="24"/>
          <w:szCs w:val="24"/>
          <w:u w:val="single"/>
        </w:rPr>
      </w:pPr>
    </w:p>
    <w:p w:rsidR="00C63B3F" w:rsidP="00882ABD">
      <w:pPr>
        <w:bidi w:val="0"/>
        <w:jc w:val="both"/>
        <w:rPr>
          <w:rFonts w:ascii="Times New Roman" w:hAnsi="Times New Roman" w:cs="Times New Roman"/>
          <w:b/>
          <w:sz w:val="24"/>
          <w:szCs w:val="24"/>
          <w:u w:val="single"/>
        </w:rPr>
      </w:pPr>
    </w:p>
    <w:p w:rsidR="00C63B3F" w:rsidP="00882ABD">
      <w:pPr>
        <w:bidi w:val="0"/>
        <w:jc w:val="both"/>
        <w:rPr>
          <w:rFonts w:ascii="Times New Roman" w:hAnsi="Times New Roman" w:cs="Times New Roman"/>
          <w:b/>
          <w:sz w:val="24"/>
          <w:szCs w:val="24"/>
          <w:u w:val="single"/>
        </w:rPr>
      </w:pPr>
    </w:p>
    <w:p w:rsidR="00C63B3F" w:rsidP="00882ABD">
      <w:pPr>
        <w:bidi w:val="0"/>
        <w:jc w:val="both"/>
        <w:rPr>
          <w:rFonts w:ascii="Times New Roman" w:hAnsi="Times New Roman" w:cs="Times New Roman"/>
          <w:b/>
          <w:sz w:val="24"/>
          <w:szCs w:val="24"/>
          <w:u w:val="single"/>
        </w:rPr>
      </w:pPr>
    </w:p>
    <w:p w:rsidR="00C63B3F" w:rsidP="00882ABD">
      <w:pPr>
        <w:bidi w:val="0"/>
        <w:jc w:val="both"/>
        <w:rPr>
          <w:rFonts w:ascii="Times New Roman" w:hAnsi="Times New Roman" w:cs="Times New Roman"/>
          <w:b/>
          <w:sz w:val="24"/>
          <w:szCs w:val="24"/>
          <w:u w:val="single"/>
        </w:rPr>
      </w:pPr>
    </w:p>
    <w:p w:rsidR="00C63B3F" w:rsidP="00882ABD">
      <w:pPr>
        <w:bidi w:val="0"/>
        <w:jc w:val="both"/>
        <w:rPr>
          <w:rFonts w:ascii="Times New Roman" w:hAnsi="Times New Roman" w:cs="Times New Roman"/>
          <w:b/>
          <w:sz w:val="24"/>
          <w:szCs w:val="24"/>
          <w:u w:val="single"/>
        </w:rPr>
      </w:pPr>
    </w:p>
    <w:p w:rsidR="00C63B3F" w:rsidRPr="00C63B3F" w:rsidP="00882ABD">
      <w:pPr>
        <w:bidi w:val="0"/>
        <w:jc w:val="both"/>
        <w:rPr>
          <w:rFonts w:ascii="Times New Roman" w:hAnsi="Times New Roman" w:cs="Times New Roman"/>
          <w:b/>
          <w:sz w:val="24"/>
          <w:szCs w:val="24"/>
          <w:u w:val="single"/>
        </w:rPr>
      </w:pPr>
    </w:p>
    <w:p w:rsidR="00957CDD" w:rsidRPr="00C63B3F" w:rsidP="00882ABD">
      <w:pPr>
        <w:bidi w:val="0"/>
        <w:jc w:val="both"/>
        <w:rPr>
          <w:rFonts w:ascii="Times New Roman" w:hAnsi="Times New Roman" w:cs="Times New Roman"/>
          <w:b/>
          <w:sz w:val="24"/>
          <w:szCs w:val="24"/>
          <w:u w:val="single"/>
        </w:rPr>
      </w:pPr>
      <w:r w:rsidRPr="00C63B3F" w:rsidR="00A55212">
        <w:rPr>
          <w:rFonts w:ascii="Times New Roman" w:hAnsi="Times New Roman" w:cs="Times New Roman"/>
          <w:b/>
          <w:sz w:val="24"/>
          <w:szCs w:val="24"/>
          <w:u w:val="single"/>
        </w:rPr>
        <w:t xml:space="preserve">B. </w:t>
      </w:r>
      <w:r w:rsidRPr="00C63B3F">
        <w:rPr>
          <w:rFonts w:ascii="Times New Roman" w:hAnsi="Times New Roman" w:cs="Times New Roman"/>
          <w:b/>
          <w:sz w:val="24"/>
          <w:szCs w:val="24"/>
          <w:u w:val="single"/>
        </w:rPr>
        <w:t>Osobitná časť</w:t>
      </w:r>
    </w:p>
    <w:p w:rsidR="00957CDD" w:rsidRPr="00C63B3F" w:rsidP="00882ABD">
      <w:pPr>
        <w:bidi w:val="0"/>
        <w:jc w:val="both"/>
        <w:rPr>
          <w:rFonts w:ascii="Times New Roman" w:hAnsi="Times New Roman" w:cs="Times New Roman"/>
          <w:b/>
          <w:sz w:val="24"/>
          <w:szCs w:val="24"/>
        </w:rPr>
      </w:pPr>
      <w:r w:rsidRPr="00C63B3F">
        <w:rPr>
          <w:rFonts w:ascii="Times New Roman" w:hAnsi="Times New Roman" w:cs="Times New Roman"/>
          <w:b/>
          <w:sz w:val="24"/>
          <w:szCs w:val="24"/>
        </w:rPr>
        <w:t>Čl. I</w:t>
      </w:r>
    </w:p>
    <w:p w:rsidR="00882ABD" w:rsidRPr="00C63B3F" w:rsidP="00882ABD">
      <w:pPr>
        <w:bidi w:val="0"/>
        <w:jc w:val="both"/>
        <w:rPr>
          <w:rFonts w:ascii="Times New Roman" w:hAnsi="Times New Roman" w:cs="Times New Roman"/>
          <w:b/>
          <w:sz w:val="24"/>
          <w:szCs w:val="24"/>
        </w:rPr>
      </w:pPr>
      <w:r w:rsidRPr="00C63B3F" w:rsidR="00957CDD">
        <w:rPr>
          <w:rFonts w:ascii="Times New Roman" w:hAnsi="Times New Roman" w:cs="Times New Roman"/>
          <w:b/>
          <w:sz w:val="24"/>
          <w:szCs w:val="24"/>
        </w:rPr>
        <w:t>K bodu 1</w:t>
      </w:r>
    </w:p>
    <w:p w:rsidR="003308D6" w:rsidRPr="00C63B3F" w:rsidP="003308D6">
      <w:pPr>
        <w:widowControl w:val="0"/>
        <w:autoSpaceDE w:val="0"/>
        <w:autoSpaceDN w:val="0"/>
        <w:bidi w:val="0"/>
        <w:adjustRightInd w:val="0"/>
        <w:spacing w:after="0"/>
        <w:jc w:val="both"/>
        <w:rPr>
          <w:rFonts w:ascii="Times New Roman" w:hAnsi="Times New Roman" w:cs="Times New Roman"/>
          <w:sz w:val="24"/>
          <w:szCs w:val="24"/>
        </w:rPr>
      </w:pPr>
      <w:r w:rsidRPr="00C63B3F" w:rsidR="00004AF8">
        <w:rPr>
          <w:rFonts w:ascii="Times New Roman" w:hAnsi="Times New Roman" w:cs="Times New Roman"/>
          <w:sz w:val="24"/>
          <w:szCs w:val="24"/>
        </w:rPr>
        <w:tab/>
      </w:r>
      <w:r w:rsidRPr="00C63B3F">
        <w:rPr>
          <w:rFonts w:ascii="Times New Roman" w:hAnsi="Times New Roman" w:cs="Times New Roman"/>
          <w:sz w:val="24"/>
          <w:szCs w:val="24"/>
        </w:rPr>
        <w:t xml:space="preserve">Znižuje sa limit spoluúčasti z 30 eur na 25 eur </w:t>
      </w:r>
      <w:r w:rsidRPr="00C63B3F" w:rsidR="00701920">
        <w:rPr>
          <w:rFonts w:ascii="Times New Roman" w:hAnsi="Times New Roman" w:cs="Times New Roman"/>
          <w:sz w:val="24"/>
          <w:szCs w:val="24"/>
        </w:rPr>
        <w:t xml:space="preserve">pre poistencov, ktorí sú k prvému dňu </w:t>
      </w:r>
      <w:r w:rsidRPr="00C63B3F">
        <w:rPr>
          <w:rFonts w:ascii="Times New Roman" w:hAnsi="Times New Roman" w:cs="Times New Roman"/>
          <w:sz w:val="24"/>
          <w:szCs w:val="24"/>
        </w:rPr>
        <w:t>kalendárn</w:t>
      </w:r>
      <w:r w:rsidRPr="00C63B3F" w:rsidR="00701920">
        <w:rPr>
          <w:rFonts w:ascii="Times New Roman" w:hAnsi="Times New Roman" w:cs="Times New Roman"/>
          <w:sz w:val="24"/>
          <w:szCs w:val="24"/>
        </w:rPr>
        <w:t>eho</w:t>
      </w:r>
      <w:r w:rsidRPr="00C63B3F">
        <w:rPr>
          <w:rFonts w:ascii="Times New Roman" w:hAnsi="Times New Roman" w:cs="Times New Roman"/>
          <w:sz w:val="24"/>
          <w:szCs w:val="24"/>
        </w:rPr>
        <w:t xml:space="preserve"> štvrťrok</w:t>
      </w:r>
      <w:r w:rsidRPr="00C63B3F" w:rsidR="00701920">
        <w:rPr>
          <w:rFonts w:ascii="Times New Roman" w:hAnsi="Times New Roman" w:cs="Times New Roman"/>
          <w:sz w:val="24"/>
          <w:szCs w:val="24"/>
        </w:rPr>
        <w:t>a</w:t>
      </w:r>
      <w:r w:rsidRPr="00C63B3F">
        <w:rPr>
          <w:rFonts w:ascii="Times New Roman" w:hAnsi="Times New Roman" w:cs="Times New Roman"/>
          <w:sz w:val="24"/>
          <w:szCs w:val="24"/>
        </w:rPr>
        <w:t xml:space="preserve"> držiteľ</w:t>
      </w:r>
      <w:r w:rsidRPr="00C63B3F" w:rsidR="00701920">
        <w:rPr>
          <w:rFonts w:ascii="Times New Roman" w:hAnsi="Times New Roman" w:cs="Times New Roman"/>
          <w:sz w:val="24"/>
          <w:szCs w:val="24"/>
        </w:rPr>
        <w:t>mi</w:t>
      </w:r>
      <w:r w:rsidRPr="00C63B3F">
        <w:rPr>
          <w:rFonts w:ascii="Times New Roman" w:hAnsi="Times New Roman" w:cs="Times New Roman"/>
          <w:sz w:val="24"/>
          <w:szCs w:val="24"/>
        </w:rPr>
        <w:t xml:space="preserve"> preukazu fyzickej osoby s ťažkým zdravotným postihnutím alebo preukazu fyzickej osoby s ťažkým zdravotným postihnutím so sprievodcom,  </w:t>
      </w:r>
      <w:r w:rsidRPr="00C63B3F" w:rsidR="00701920">
        <w:rPr>
          <w:rFonts w:ascii="Times New Roman" w:hAnsi="Times New Roman" w:cs="Times New Roman"/>
          <w:sz w:val="24"/>
          <w:szCs w:val="24"/>
        </w:rPr>
        <w:t xml:space="preserve">ktorí sú </w:t>
      </w:r>
      <w:r w:rsidRPr="00C63B3F">
        <w:rPr>
          <w:rFonts w:ascii="Times New Roman" w:hAnsi="Times New Roman" w:cs="Times New Roman"/>
          <w:sz w:val="24"/>
          <w:szCs w:val="24"/>
        </w:rPr>
        <w:t>poberateľ</w:t>
      </w:r>
      <w:r w:rsidRPr="00C63B3F" w:rsidR="00701920">
        <w:rPr>
          <w:rFonts w:ascii="Times New Roman" w:hAnsi="Times New Roman" w:cs="Times New Roman"/>
          <w:sz w:val="24"/>
          <w:szCs w:val="24"/>
        </w:rPr>
        <w:t>mi</w:t>
      </w:r>
      <w:r w:rsidRPr="00C63B3F">
        <w:rPr>
          <w:rFonts w:ascii="Times New Roman" w:hAnsi="Times New Roman" w:cs="Times New Roman"/>
          <w:sz w:val="24"/>
          <w:szCs w:val="24"/>
        </w:rPr>
        <w:t xml:space="preserve"> invalidného dôchodku,</w:t>
      </w:r>
      <w:r w:rsidRPr="00C63B3F">
        <w:rPr>
          <w:rFonts w:ascii="Times New Roman" w:hAnsi="Times New Roman" w:cs="Times New Roman"/>
          <w:sz w:val="24"/>
          <w:szCs w:val="24"/>
          <w:vertAlign w:val="superscript"/>
        </w:rPr>
        <w:t xml:space="preserve"> </w:t>
      </w:r>
      <w:r w:rsidRPr="00C63B3F">
        <w:rPr>
          <w:rFonts w:ascii="Times New Roman" w:hAnsi="Times New Roman" w:cs="Times New Roman"/>
          <w:sz w:val="24"/>
          <w:szCs w:val="24"/>
        </w:rPr>
        <w:t xml:space="preserve"> invalidného výsluhového dôchodku</w:t>
      </w:r>
      <w:r w:rsidRPr="00C63B3F">
        <w:rPr>
          <w:rFonts w:ascii="Times New Roman" w:hAnsi="Times New Roman" w:cs="Times New Roman"/>
          <w:sz w:val="24"/>
          <w:szCs w:val="24"/>
          <w:vertAlign w:val="superscript"/>
        </w:rPr>
        <w:t xml:space="preserve"> </w:t>
      </w:r>
      <w:r w:rsidRPr="00C63B3F">
        <w:rPr>
          <w:rFonts w:ascii="Times New Roman" w:hAnsi="Times New Roman" w:cs="Times New Roman"/>
          <w:sz w:val="24"/>
          <w:szCs w:val="24"/>
        </w:rPr>
        <w:t xml:space="preserve"> alebo  </w:t>
      </w:r>
      <w:r w:rsidRPr="00C63B3F" w:rsidR="00701920">
        <w:rPr>
          <w:rFonts w:ascii="Times New Roman" w:hAnsi="Times New Roman" w:cs="Times New Roman"/>
          <w:sz w:val="24"/>
          <w:szCs w:val="24"/>
        </w:rPr>
        <w:t xml:space="preserve">ktorí sú </w:t>
      </w:r>
      <w:r w:rsidRPr="00C63B3F">
        <w:rPr>
          <w:rFonts w:ascii="Times New Roman" w:hAnsi="Times New Roman" w:cs="Times New Roman"/>
          <w:sz w:val="24"/>
          <w:szCs w:val="24"/>
        </w:rPr>
        <w:t>invalidný</w:t>
      </w:r>
      <w:r w:rsidRPr="00C63B3F" w:rsidR="00701920">
        <w:rPr>
          <w:rFonts w:ascii="Times New Roman" w:hAnsi="Times New Roman" w:cs="Times New Roman"/>
          <w:sz w:val="24"/>
          <w:szCs w:val="24"/>
        </w:rPr>
        <w:t>mi</w:t>
      </w:r>
      <w:r w:rsidRPr="00C63B3F">
        <w:rPr>
          <w:rFonts w:ascii="Times New Roman" w:hAnsi="Times New Roman" w:cs="Times New Roman"/>
          <w:sz w:val="24"/>
          <w:szCs w:val="24"/>
        </w:rPr>
        <w:t xml:space="preserve"> poistenc</w:t>
      </w:r>
      <w:r w:rsidRPr="00C63B3F" w:rsidR="00701920">
        <w:rPr>
          <w:rFonts w:ascii="Times New Roman" w:hAnsi="Times New Roman" w:cs="Times New Roman"/>
          <w:sz w:val="24"/>
          <w:szCs w:val="24"/>
        </w:rPr>
        <w:t>ami</w:t>
      </w:r>
      <w:r w:rsidRPr="00C63B3F">
        <w:rPr>
          <w:rFonts w:ascii="Times New Roman" w:hAnsi="Times New Roman" w:cs="Times New Roman"/>
          <w:sz w:val="24"/>
          <w:szCs w:val="24"/>
        </w:rPr>
        <w:t xml:space="preserve">, ktorým nevznikol nárok na invalidný dôchodok. </w:t>
      </w:r>
    </w:p>
    <w:p w:rsidR="00876994" w:rsidRPr="00C63B3F" w:rsidP="003308D6">
      <w:pPr>
        <w:widowControl w:val="0"/>
        <w:autoSpaceDE w:val="0"/>
        <w:autoSpaceDN w:val="0"/>
        <w:bidi w:val="0"/>
        <w:adjustRightInd w:val="0"/>
        <w:spacing w:after="0"/>
        <w:jc w:val="both"/>
        <w:rPr>
          <w:rFonts w:ascii="Times New Roman" w:hAnsi="Times New Roman" w:cs="Times New Roman"/>
          <w:sz w:val="24"/>
          <w:szCs w:val="24"/>
        </w:rPr>
      </w:pPr>
    </w:p>
    <w:p w:rsidR="00876994" w:rsidRPr="00C63B3F" w:rsidP="003308D6">
      <w:pPr>
        <w:widowControl w:val="0"/>
        <w:autoSpaceDE w:val="0"/>
        <w:autoSpaceDN w:val="0"/>
        <w:bidi w:val="0"/>
        <w:adjustRightInd w:val="0"/>
        <w:spacing w:after="0"/>
        <w:jc w:val="both"/>
        <w:rPr>
          <w:rFonts w:ascii="Times New Roman" w:hAnsi="Times New Roman" w:cs="Times New Roman"/>
          <w:b/>
          <w:sz w:val="24"/>
          <w:szCs w:val="24"/>
        </w:rPr>
      </w:pPr>
      <w:r w:rsidRPr="00C63B3F">
        <w:rPr>
          <w:rFonts w:ascii="Times New Roman" w:hAnsi="Times New Roman" w:cs="Times New Roman"/>
          <w:b/>
          <w:sz w:val="24"/>
          <w:szCs w:val="24"/>
        </w:rPr>
        <w:t>K bodu 2</w:t>
      </w:r>
    </w:p>
    <w:p w:rsidR="00876994" w:rsidRPr="00C63B3F" w:rsidP="003308D6">
      <w:pPr>
        <w:widowControl w:val="0"/>
        <w:autoSpaceDE w:val="0"/>
        <w:autoSpaceDN w:val="0"/>
        <w:bidi w:val="0"/>
        <w:adjustRightInd w:val="0"/>
        <w:spacing w:after="0"/>
        <w:jc w:val="both"/>
        <w:rPr>
          <w:rFonts w:ascii="Times New Roman" w:hAnsi="Times New Roman" w:cs="Times New Roman"/>
          <w:sz w:val="24"/>
          <w:szCs w:val="24"/>
        </w:rPr>
      </w:pPr>
    </w:p>
    <w:p w:rsidR="00876994" w:rsidRPr="00C63B3F" w:rsidP="003308D6">
      <w:pPr>
        <w:widowControl w:val="0"/>
        <w:autoSpaceDE w:val="0"/>
        <w:autoSpaceDN w:val="0"/>
        <w:bidi w:val="0"/>
        <w:adjustRightInd w:val="0"/>
        <w:spacing w:after="0"/>
        <w:jc w:val="both"/>
        <w:rPr>
          <w:rFonts w:ascii="Times New Roman" w:hAnsi="Times New Roman" w:cs="Times New Roman"/>
          <w:sz w:val="24"/>
          <w:szCs w:val="24"/>
        </w:rPr>
      </w:pPr>
      <w:r w:rsidRPr="00C63B3F" w:rsidR="00004AF8">
        <w:rPr>
          <w:rFonts w:ascii="Times New Roman" w:hAnsi="Times New Roman" w:cs="Times New Roman"/>
          <w:sz w:val="24"/>
          <w:szCs w:val="24"/>
        </w:rPr>
        <w:tab/>
      </w:r>
      <w:r w:rsidRPr="00C63B3F">
        <w:rPr>
          <w:rFonts w:ascii="Times New Roman" w:hAnsi="Times New Roman" w:cs="Times New Roman"/>
          <w:sz w:val="24"/>
          <w:szCs w:val="24"/>
        </w:rPr>
        <w:t>Legislatívno-technická úprava súvisiaca s navrhovanou úpravou limitu spoluúčasti pre ťažko zdravotne postihnuté deti do 6. rokov veku v novelizačnom bode 4.</w:t>
      </w:r>
    </w:p>
    <w:p w:rsidR="003308D6" w:rsidRPr="00C63B3F" w:rsidP="003308D6">
      <w:pPr>
        <w:widowControl w:val="0"/>
        <w:autoSpaceDE w:val="0"/>
        <w:autoSpaceDN w:val="0"/>
        <w:bidi w:val="0"/>
        <w:adjustRightInd w:val="0"/>
        <w:spacing w:after="0"/>
        <w:jc w:val="both"/>
        <w:rPr>
          <w:rFonts w:ascii="Times New Roman" w:hAnsi="Times New Roman" w:cs="Times New Roman"/>
          <w:sz w:val="24"/>
          <w:szCs w:val="24"/>
        </w:rPr>
      </w:pPr>
    </w:p>
    <w:p w:rsidR="00882ABD" w:rsidRPr="00C63B3F" w:rsidP="00882ABD">
      <w:pPr>
        <w:bidi w:val="0"/>
        <w:jc w:val="both"/>
        <w:rPr>
          <w:rFonts w:ascii="Times New Roman" w:hAnsi="Times New Roman" w:cs="Times New Roman"/>
          <w:b/>
          <w:sz w:val="24"/>
          <w:szCs w:val="24"/>
        </w:rPr>
      </w:pPr>
      <w:r w:rsidRPr="00C63B3F" w:rsidR="00892AD6">
        <w:rPr>
          <w:rFonts w:ascii="Times New Roman" w:hAnsi="Times New Roman" w:cs="Times New Roman"/>
          <w:b/>
          <w:sz w:val="24"/>
          <w:szCs w:val="24"/>
        </w:rPr>
        <w:t xml:space="preserve">K bodu </w:t>
      </w:r>
      <w:r w:rsidRPr="00C63B3F" w:rsidR="00876994">
        <w:rPr>
          <w:rFonts w:ascii="Times New Roman" w:hAnsi="Times New Roman" w:cs="Times New Roman"/>
          <w:b/>
          <w:sz w:val="24"/>
          <w:szCs w:val="24"/>
        </w:rPr>
        <w:t>3</w:t>
      </w:r>
    </w:p>
    <w:p w:rsidR="003308D6" w:rsidRPr="00C63B3F" w:rsidP="003308D6">
      <w:pPr>
        <w:widowControl w:val="0"/>
        <w:autoSpaceDE w:val="0"/>
        <w:autoSpaceDN w:val="0"/>
        <w:bidi w:val="0"/>
        <w:adjustRightInd w:val="0"/>
        <w:spacing w:after="0"/>
        <w:jc w:val="both"/>
        <w:rPr>
          <w:rFonts w:ascii="Times New Roman" w:hAnsi="Times New Roman" w:cs="Times New Roman"/>
          <w:sz w:val="24"/>
          <w:szCs w:val="24"/>
        </w:rPr>
      </w:pPr>
      <w:r w:rsidRPr="00C63B3F" w:rsidR="00004AF8">
        <w:rPr>
          <w:rFonts w:ascii="Times New Roman" w:hAnsi="Times New Roman" w:cs="Times New Roman"/>
          <w:sz w:val="24"/>
          <w:szCs w:val="24"/>
        </w:rPr>
        <w:tab/>
      </w:r>
      <w:r w:rsidRPr="00C63B3F">
        <w:rPr>
          <w:rFonts w:ascii="Times New Roman" w:hAnsi="Times New Roman" w:cs="Times New Roman"/>
          <w:sz w:val="24"/>
          <w:szCs w:val="24"/>
        </w:rPr>
        <w:t xml:space="preserve">Znižuje sa limit spoluúčasti zo 45 eur na 25 eur </w:t>
      </w:r>
      <w:r w:rsidRPr="00C63B3F" w:rsidR="00701920">
        <w:rPr>
          <w:rFonts w:ascii="Times New Roman" w:hAnsi="Times New Roman" w:cs="Times New Roman"/>
          <w:sz w:val="24"/>
          <w:szCs w:val="24"/>
        </w:rPr>
        <w:t xml:space="preserve">pre poistencov, ktorí sú k prvému dňu </w:t>
      </w:r>
      <w:r w:rsidRPr="00C63B3F">
        <w:rPr>
          <w:rFonts w:ascii="Times New Roman" w:hAnsi="Times New Roman" w:cs="Times New Roman"/>
          <w:sz w:val="24"/>
          <w:szCs w:val="24"/>
        </w:rPr>
        <w:t>kalendárn</w:t>
      </w:r>
      <w:r w:rsidRPr="00C63B3F" w:rsidR="00701920">
        <w:rPr>
          <w:rFonts w:ascii="Times New Roman" w:hAnsi="Times New Roman" w:cs="Times New Roman"/>
          <w:sz w:val="24"/>
          <w:szCs w:val="24"/>
        </w:rPr>
        <w:t>eho</w:t>
      </w:r>
      <w:r w:rsidRPr="00C63B3F">
        <w:rPr>
          <w:rFonts w:ascii="Times New Roman" w:hAnsi="Times New Roman" w:cs="Times New Roman"/>
          <w:sz w:val="24"/>
          <w:szCs w:val="24"/>
        </w:rPr>
        <w:t xml:space="preserve"> štvrťrok</w:t>
      </w:r>
      <w:r w:rsidRPr="00C63B3F" w:rsidR="00701920">
        <w:rPr>
          <w:rFonts w:ascii="Times New Roman" w:hAnsi="Times New Roman" w:cs="Times New Roman"/>
          <w:sz w:val="24"/>
          <w:szCs w:val="24"/>
        </w:rPr>
        <w:t>a</w:t>
      </w:r>
      <w:r w:rsidRPr="00C63B3F">
        <w:rPr>
          <w:rFonts w:ascii="Times New Roman" w:hAnsi="Times New Roman" w:cs="Times New Roman"/>
          <w:sz w:val="24"/>
          <w:szCs w:val="24"/>
        </w:rPr>
        <w:t xml:space="preserve"> poberateľ</w:t>
      </w:r>
      <w:r w:rsidRPr="00C63B3F" w:rsidR="00701920">
        <w:rPr>
          <w:rFonts w:ascii="Times New Roman" w:hAnsi="Times New Roman" w:cs="Times New Roman"/>
          <w:sz w:val="24"/>
          <w:szCs w:val="24"/>
        </w:rPr>
        <w:t>mi</w:t>
      </w:r>
      <w:r w:rsidRPr="00C63B3F">
        <w:rPr>
          <w:rFonts w:ascii="Times New Roman" w:hAnsi="Times New Roman" w:cs="Times New Roman"/>
          <w:sz w:val="24"/>
          <w:szCs w:val="24"/>
        </w:rPr>
        <w:t xml:space="preserve"> starobného dôchodku, dôchodku z výsluhového zabezpečenia policajtov a vojakov</w:t>
      </w:r>
      <w:r w:rsidRPr="00C63B3F">
        <w:rPr>
          <w:rFonts w:ascii="Times New Roman" w:hAnsi="Times New Roman" w:cs="Times New Roman"/>
          <w:sz w:val="24"/>
          <w:szCs w:val="24"/>
          <w:vertAlign w:val="superscript"/>
        </w:rPr>
        <w:t xml:space="preserve"> </w:t>
      </w:r>
      <w:r w:rsidRPr="00C63B3F">
        <w:rPr>
          <w:rFonts w:ascii="Times New Roman" w:hAnsi="Times New Roman" w:cs="Times New Roman"/>
          <w:sz w:val="24"/>
          <w:szCs w:val="24"/>
        </w:rPr>
        <w:t xml:space="preserve"> vo veku ustanovenom na vznik nároku na starobný dôchodok, dôchodku z iného členského štátu, Nórska, Lichtenštajnska, Islandu, Švajčiarska, ak nie sú poistení v tomto štáte, nie sú poberateľmi dôchodku z tretieho štátu, alebo  </w:t>
      </w:r>
      <w:r w:rsidRPr="00C63B3F" w:rsidR="00701920">
        <w:rPr>
          <w:rFonts w:ascii="Times New Roman" w:hAnsi="Times New Roman" w:cs="Times New Roman"/>
          <w:sz w:val="24"/>
          <w:szCs w:val="24"/>
        </w:rPr>
        <w:t xml:space="preserve">ktorí </w:t>
      </w:r>
      <w:r w:rsidRPr="00C63B3F">
        <w:rPr>
          <w:rFonts w:ascii="Times New Roman" w:hAnsi="Times New Roman" w:cs="Times New Roman"/>
          <w:sz w:val="24"/>
          <w:szCs w:val="24"/>
        </w:rPr>
        <w:t xml:space="preserve">dovŕšili dôchodkový vek a nevznikol im nárok na starobný dôchodok. </w:t>
      </w:r>
    </w:p>
    <w:p w:rsidR="003308D6" w:rsidRPr="00C63B3F" w:rsidP="00882ABD">
      <w:pPr>
        <w:bidi w:val="0"/>
        <w:jc w:val="both"/>
        <w:rPr>
          <w:rFonts w:ascii="Times New Roman" w:hAnsi="Times New Roman" w:cs="Times New Roman"/>
          <w:b/>
          <w:sz w:val="24"/>
          <w:szCs w:val="24"/>
        </w:rPr>
      </w:pPr>
    </w:p>
    <w:p w:rsidR="00892AD6" w:rsidRPr="00C63B3F" w:rsidP="00882ABD">
      <w:pPr>
        <w:bidi w:val="0"/>
        <w:jc w:val="both"/>
        <w:rPr>
          <w:rFonts w:ascii="Times New Roman" w:hAnsi="Times New Roman" w:cs="Times New Roman"/>
          <w:b/>
          <w:sz w:val="24"/>
          <w:szCs w:val="24"/>
        </w:rPr>
      </w:pPr>
      <w:r w:rsidRPr="00C63B3F" w:rsidR="003308D6">
        <w:rPr>
          <w:rFonts w:ascii="Times New Roman" w:hAnsi="Times New Roman" w:cs="Times New Roman"/>
          <w:b/>
          <w:sz w:val="24"/>
          <w:szCs w:val="24"/>
        </w:rPr>
        <w:t xml:space="preserve">K bodu </w:t>
      </w:r>
      <w:r w:rsidRPr="00C63B3F" w:rsidR="00876994">
        <w:rPr>
          <w:rFonts w:ascii="Times New Roman" w:hAnsi="Times New Roman" w:cs="Times New Roman"/>
          <w:b/>
          <w:sz w:val="24"/>
          <w:szCs w:val="24"/>
        </w:rPr>
        <w:t>4</w:t>
      </w:r>
    </w:p>
    <w:p w:rsidR="00884CB1" w:rsidRPr="00C63B3F" w:rsidP="00884CB1">
      <w:pPr>
        <w:widowControl w:val="0"/>
        <w:autoSpaceDE w:val="0"/>
        <w:autoSpaceDN w:val="0"/>
        <w:bidi w:val="0"/>
        <w:adjustRightInd w:val="0"/>
        <w:spacing w:after="0"/>
        <w:jc w:val="both"/>
        <w:rPr>
          <w:rFonts w:ascii="Times New Roman" w:hAnsi="Times New Roman" w:cs="Times New Roman"/>
          <w:sz w:val="24"/>
          <w:szCs w:val="24"/>
        </w:rPr>
      </w:pPr>
      <w:r w:rsidRPr="00C63B3F" w:rsidR="00004AF8">
        <w:rPr>
          <w:rFonts w:ascii="Times New Roman" w:hAnsi="Times New Roman" w:cs="Times New Roman"/>
          <w:sz w:val="24"/>
          <w:szCs w:val="24"/>
        </w:rPr>
        <w:tab/>
      </w:r>
      <w:r w:rsidRPr="00C63B3F" w:rsidR="00701920">
        <w:rPr>
          <w:rFonts w:ascii="Times New Roman" w:hAnsi="Times New Roman" w:cs="Times New Roman"/>
          <w:sz w:val="24"/>
          <w:szCs w:val="24"/>
        </w:rPr>
        <w:t xml:space="preserve">Rozširuje sa okruh </w:t>
      </w:r>
      <w:r w:rsidRPr="00C63B3F" w:rsidR="003308D6">
        <w:rPr>
          <w:rFonts w:ascii="Times New Roman" w:hAnsi="Times New Roman" w:cs="Times New Roman"/>
          <w:sz w:val="24"/>
          <w:szCs w:val="24"/>
        </w:rPr>
        <w:t xml:space="preserve"> </w:t>
      </w:r>
      <w:r w:rsidRPr="00C63B3F" w:rsidR="00D247F1">
        <w:rPr>
          <w:rFonts w:ascii="Times New Roman" w:hAnsi="Times New Roman" w:cs="Times New Roman"/>
          <w:sz w:val="24"/>
          <w:szCs w:val="24"/>
        </w:rPr>
        <w:t>poistencov s nárokom na úhradu čiastky prevyšujúcej určený lim</w:t>
      </w:r>
      <w:r w:rsidRPr="00C63B3F" w:rsidR="003308D6">
        <w:rPr>
          <w:rFonts w:ascii="Times New Roman" w:hAnsi="Times New Roman" w:cs="Times New Roman"/>
          <w:sz w:val="24"/>
          <w:szCs w:val="24"/>
        </w:rPr>
        <w:t>it spoluúčasti na kalendárny štvrťrok</w:t>
      </w:r>
      <w:r w:rsidRPr="00C63B3F">
        <w:rPr>
          <w:rFonts w:ascii="Times New Roman" w:hAnsi="Times New Roman" w:cs="Times New Roman"/>
          <w:sz w:val="24"/>
          <w:szCs w:val="24"/>
        </w:rPr>
        <w:t xml:space="preserve">, a to </w:t>
      </w:r>
      <w:r w:rsidRPr="00C63B3F" w:rsidR="00701920">
        <w:rPr>
          <w:rFonts w:ascii="Times New Roman" w:hAnsi="Times New Roman" w:cs="Times New Roman"/>
          <w:sz w:val="24"/>
          <w:szCs w:val="24"/>
        </w:rPr>
        <w:t xml:space="preserve">o </w:t>
      </w:r>
      <w:r w:rsidRPr="00C63B3F">
        <w:rPr>
          <w:rFonts w:ascii="Times New Roman" w:hAnsi="Times New Roman" w:cs="Times New Roman"/>
          <w:sz w:val="24"/>
          <w:szCs w:val="24"/>
        </w:rPr>
        <w:t>deti do dovŕšenia 6. roku veku</w:t>
      </w:r>
      <w:r w:rsidRPr="00C63B3F" w:rsidR="00701920">
        <w:rPr>
          <w:rFonts w:ascii="Times New Roman" w:hAnsi="Times New Roman" w:cs="Times New Roman"/>
          <w:sz w:val="24"/>
          <w:szCs w:val="24"/>
        </w:rPr>
        <w:t>, pre ktoré s</w:t>
      </w:r>
      <w:r w:rsidRPr="00C63B3F">
        <w:rPr>
          <w:rFonts w:ascii="Times New Roman" w:hAnsi="Times New Roman" w:cs="Times New Roman"/>
          <w:sz w:val="24"/>
          <w:szCs w:val="24"/>
        </w:rPr>
        <w:t>a určuje sa výška</w:t>
      </w:r>
      <w:r w:rsidRPr="00C63B3F" w:rsidR="00D247F1">
        <w:rPr>
          <w:rFonts w:ascii="Times New Roman" w:hAnsi="Times New Roman" w:cs="Times New Roman"/>
          <w:sz w:val="24"/>
          <w:szCs w:val="24"/>
        </w:rPr>
        <w:t xml:space="preserve"> limi</w:t>
      </w:r>
      <w:r w:rsidRPr="00C63B3F">
        <w:rPr>
          <w:rFonts w:ascii="Times New Roman" w:hAnsi="Times New Roman" w:cs="Times New Roman"/>
          <w:sz w:val="24"/>
          <w:szCs w:val="24"/>
        </w:rPr>
        <w:t>tu spoluúčasti na kalendárny štvrťrok na 8 eur</w:t>
      </w:r>
      <w:r w:rsidRPr="00C63B3F" w:rsidR="00701920">
        <w:rPr>
          <w:rFonts w:ascii="Times New Roman" w:hAnsi="Times New Roman" w:cs="Times New Roman"/>
          <w:sz w:val="24"/>
          <w:szCs w:val="24"/>
        </w:rPr>
        <w:t>;</w:t>
      </w:r>
      <w:r w:rsidRPr="00C63B3F">
        <w:rPr>
          <w:rFonts w:ascii="Times New Roman" w:hAnsi="Times New Roman" w:cs="Times New Roman"/>
          <w:sz w:val="24"/>
          <w:szCs w:val="24"/>
        </w:rPr>
        <w:t xml:space="preserve"> </w:t>
      </w:r>
      <w:r w:rsidRPr="00C63B3F" w:rsidR="00701920">
        <w:rPr>
          <w:rFonts w:ascii="Times New Roman" w:hAnsi="Times New Roman" w:cs="Times New Roman"/>
          <w:sz w:val="24"/>
          <w:szCs w:val="24"/>
        </w:rPr>
        <w:t>ak takéto</w:t>
      </w:r>
      <w:r w:rsidRPr="00C63B3F">
        <w:rPr>
          <w:rFonts w:ascii="Times New Roman" w:hAnsi="Times New Roman" w:cs="Times New Roman"/>
          <w:sz w:val="24"/>
          <w:szCs w:val="24"/>
        </w:rPr>
        <w:t xml:space="preserve"> dieťa </w:t>
      </w:r>
      <w:r w:rsidRPr="00C63B3F" w:rsidR="00701920">
        <w:rPr>
          <w:rFonts w:ascii="Times New Roman" w:hAnsi="Times New Roman" w:cs="Times New Roman"/>
          <w:sz w:val="24"/>
          <w:szCs w:val="24"/>
        </w:rPr>
        <w:t xml:space="preserve">je </w:t>
      </w:r>
      <w:r w:rsidRPr="00C63B3F">
        <w:rPr>
          <w:rFonts w:ascii="Times New Roman" w:hAnsi="Times New Roman" w:cs="Times New Roman"/>
          <w:sz w:val="24"/>
          <w:szCs w:val="24"/>
        </w:rPr>
        <w:t>držiteľom preukazu fyzickej osoby s ťažkým zdravotným postihnutím alebo preukazu fyzickej osoby s ťažkým zdravotným postihnutím so spri</w:t>
      </w:r>
      <w:r w:rsidRPr="00C63B3F" w:rsidR="00690D09">
        <w:rPr>
          <w:rFonts w:ascii="Times New Roman" w:hAnsi="Times New Roman" w:cs="Times New Roman"/>
          <w:sz w:val="24"/>
          <w:szCs w:val="24"/>
        </w:rPr>
        <w:t xml:space="preserve">evodcom, </w:t>
      </w:r>
      <w:r w:rsidRPr="00C63B3F">
        <w:rPr>
          <w:rFonts w:ascii="Times New Roman" w:hAnsi="Times New Roman" w:cs="Times New Roman"/>
          <w:sz w:val="24"/>
          <w:szCs w:val="24"/>
        </w:rPr>
        <w:t>urč</w:t>
      </w:r>
      <w:r w:rsidRPr="00C63B3F" w:rsidR="00701920">
        <w:rPr>
          <w:rFonts w:ascii="Times New Roman" w:hAnsi="Times New Roman" w:cs="Times New Roman"/>
          <w:sz w:val="24"/>
          <w:szCs w:val="24"/>
        </w:rPr>
        <w:t>uje sa</w:t>
      </w:r>
      <w:r w:rsidRPr="00C63B3F">
        <w:rPr>
          <w:rFonts w:ascii="Times New Roman" w:hAnsi="Times New Roman" w:cs="Times New Roman"/>
          <w:sz w:val="24"/>
          <w:szCs w:val="24"/>
        </w:rPr>
        <w:t xml:space="preserve"> limit spoluúčasti na kalendárny štvrťrok 0 eur.</w:t>
      </w:r>
    </w:p>
    <w:p w:rsidR="00957CDD" w:rsidRPr="00C63B3F" w:rsidP="00884CB1">
      <w:pPr>
        <w:widowControl w:val="0"/>
        <w:autoSpaceDE w:val="0"/>
        <w:autoSpaceDN w:val="0"/>
        <w:bidi w:val="0"/>
        <w:adjustRightInd w:val="0"/>
        <w:spacing w:after="0"/>
        <w:jc w:val="both"/>
        <w:rPr>
          <w:rFonts w:ascii="Times New Roman" w:hAnsi="Times New Roman" w:cs="Times New Roman"/>
          <w:sz w:val="24"/>
          <w:szCs w:val="24"/>
        </w:rPr>
      </w:pPr>
      <w:r w:rsidRPr="00C63B3F" w:rsidR="00D247F1">
        <w:rPr>
          <w:rFonts w:ascii="Times New Roman" w:hAnsi="Times New Roman" w:cs="Times New Roman"/>
          <w:sz w:val="24"/>
          <w:szCs w:val="24"/>
        </w:rPr>
        <w:t xml:space="preserve"> </w:t>
      </w:r>
      <w:r w:rsidRPr="00C63B3F" w:rsidR="00892AD6">
        <w:rPr>
          <w:rFonts w:ascii="Times New Roman" w:hAnsi="Times New Roman" w:cs="Times New Roman"/>
          <w:sz w:val="24"/>
          <w:szCs w:val="24"/>
        </w:rPr>
        <w:t xml:space="preserve"> </w:t>
      </w:r>
      <w:r w:rsidRPr="00C63B3F" w:rsidR="00997E37">
        <w:rPr>
          <w:rFonts w:ascii="Times New Roman" w:hAnsi="Times New Roman" w:cs="Times New Roman"/>
          <w:sz w:val="24"/>
          <w:szCs w:val="24"/>
        </w:rPr>
        <w:t xml:space="preserve"> </w:t>
      </w:r>
    </w:p>
    <w:p w:rsidR="00D247F1" w:rsidRPr="00C63B3F" w:rsidP="00882ABD">
      <w:pPr>
        <w:bidi w:val="0"/>
        <w:jc w:val="both"/>
        <w:rPr>
          <w:rFonts w:ascii="Times New Roman" w:hAnsi="Times New Roman" w:cs="Times New Roman"/>
          <w:b/>
          <w:sz w:val="24"/>
          <w:szCs w:val="24"/>
        </w:rPr>
      </w:pPr>
      <w:r w:rsidRPr="00C63B3F">
        <w:rPr>
          <w:rFonts w:ascii="Times New Roman" w:hAnsi="Times New Roman" w:cs="Times New Roman"/>
          <w:b/>
          <w:sz w:val="24"/>
          <w:szCs w:val="24"/>
        </w:rPr>
        <w:t>K</w:t>
      </w:r>
      <w:r w:rsidRPr="00C63B3F" w:rsidR="00FC477B">
        <w:rPr>
          <w:rFonts w:ascii="Times New Roman" w:hAnsi="Times New Roman" w:cs="Times New Roman"/>
          <w:b/>
          <w:sz w:val="24"/>
          <w:szCs w:val="24"/>
        </w:rPr>
        <w:t> </w:t>
      </w:r>
      <w:r w:rsidRPr="00C63B3F">
        <w:rPr>
          <w:rFonts w:ascii="Times New Roman" w:hAnsi="Times New Roman" w:cs="Times New Roman"/>
          <w:b/>
          <w:sz w:val="24"/>
          <w:szCs w:val="24"/>
        </w:rPr>
        <w:t>bodu</w:t>
      </w:r>
      <w:r w:rsidRPr="00C63B3F" w:rsidR="00FC477B">
        <w:rPr>
          <w:rFonts w:ascii="Times New Roman" w:hAnsi="Times New Roman" w:cs="Times New Roman"/>
          <w:b/>
          <w:sz w:val="24"/>
          <w:szCs w:val="24"/>
        </w:rPr>
        <w:t xml:space="preserve"> </w:t>
      </w:r>
      <w:r w:rsidRPr="00C63B3F" w:rsidR="00876994">
        <w:rPr>
          <w:rFonts w:ascii="Times New Roman" w:hAnsi="Times New Roman" w:cs="Times New Roman"/>
          <w:b/>
          <w:sz w:val="24"/>
          <w:szCs w:val="24"/>
        </w:rPr>
        <w:t>5</w:t>
      </w:r>
    </w:p>
    <w:p w:rsidR="007920B5" w:rsidRPr="00C63B3F" w:rsidP="00882ABD">
      <w:pPr>
        <w:bidi w:val="0"/>
        <w:jc w:val="both"/>
        <w:rPr>
          <w:rFonts w:ascii="Times New Roman" w:hAnsi="Times New Roman" w:cs="Times New Roman"/>
          <w:sz w:val="24"/>
          <w:szCs w:val="24"/>
        </w:rPr>
      </w:pPr>
      <w:r w:rsidRPr="00C63B3F" w:rsidR="00004AF8">
        <w:rPr>
          <w:rFonts w:ascii="Times New Roman" w:hAnsi="Times New Roman" w:cs="Times New Roman"/>
          <w:sz w:val="24"/>
          <w:szCs w:val="24"/>
        </w:rPr>
        <w:tab/>
      </w:r>
      <w:r w:rsidRPr="00C63B3F" w:rsidR="008E040E">
        <w:rPr>
          <w:rFonts w:ascii="Times New Roman" w:hAnsi="Times New Roman" w:cs="Times New Roman"/>
          <w:sz w:val="24"/>
          <w:szCs w:val="24"/>
        </w:rPr>
        <w:t>Z</w:t>
      </w:r>
      <w:r w:rsidRPr="00C63B3F" w:rsidR="00D247F1">
        <w:rPr>
          <w:rFonts w:ascii="Times New Roman" w:hAnsi="Times New Roman" w:cs="Times New Roman"/>
          <w:sz w:val="24"/>
          <w:szCs w:val="24"/>
        </w:rPr>
        <w:t>rušením sledovania súbehu príjmu podliehajúcemu dani z príjmov a zrušením sledovania poberania dôchodkov vyšších ako 50% priemernej mzdy zamestnanca v hospodárstve Slovenskej republiky</w:t>
      </w:r>
      <w:r w:rsidRPr="00C63B3F" w:rsidR="008E040E">
        <w:rPr>
          <w:rFonts w:ascii="Times New Roman" w:hAnsi="Times New Roman" w:cs="Times New Roman"/>
          <w:sz w:val="24"/>
          <w:szCs w:val="24"/>
        </w:rPr>
        <w:t xml:space="preserve"> podľa § 4 ods. 4 sa rozširuje skupina poistencov s nárokom na úhradu čiastky prevyšujúcej určený limit spoluúčasti na kalendárny rok</w:t>
      </w:r>
      <w:r w:rsidRPr="00C63B3F">
        <w:rPr>
          <w:rFonts w:ascii="Times New Roman" w:hAnsi="Times New Roman" w:cs="Times New Roman"/>
          <w:sz w:val="24"/>
          <w:szCs w:val="24"/>
        </w:rPr>
        <w:t>.</w:t>
      </w:r>
      <w:r w:rsidRPr="00C63B3F" w:rsidR="008E040E">
        <w:rPr>
          <w:rFonts w:ascii="Times New Roman" w:hAnsi="Times New Roman" w:cs="Times New Roman"/>
          <w:sz w:val="24"/>
          <w:szCs w:val="24"/>
        </w:rPr>
        <w:t xml:space="preserve"> Vypustenie ustanovenia § 4 ods. 5 nadväzuje na zavedenie rovnakého limitu</w:t>
      </w:r>
      <w:r w:rsidRPr="00C63B3F" w:rsidR="00F334F4">
        <w:rPr>
          <w:rFonts w:ascii="Times New Roman" w:hAnsi="Times New Roman" w:cs="Times New Roman"/>
          <w:sz w:val="24"/>
          <w:szCs w:val="24"/>
        </w:rPr>
        <w:t xml:space="preserve"> v § 4 ods. 3 písm. a) a b), čím ustanovenie odseku 5 stratilo opodstatnenie.</w:t>
      </w:r>
    </w:p>
    <w:p w:rsidR="007920B5" w:rsidRPr="00C63B3F" w:rsidP="00882ABD">
      <w:pPr>
        <w:bidi w:val="0"/>
        <w:jc w:val="both"/>
        <w:rPr>
          <w:rFonts w:ascii="Times New Roman" w:hAnsi="Times New Roman" w:cs="Times New Roman"/>
          <w:b/>
          <w:sz w:val="24"/>
          <w:szCs w:val="24"/>
        </w:rPr>
      </w:pPr>
      <w:r w:rsidRPr="00C63B3F">
        <w:rPr>
          <w:rFonts w:ascii="Times New Roman" w:hAnsi="Times New Roman" w:cs="Times New Roman"/>
          <w:b/>
          <w:sz w:val="24"/>
          <w:szCs w:val="24"/>
        </w:rPr>
        <w:t>Čl. I</w:t>
      </w:r>
      <w:r w:rsidRPr="00C63B3F" w:rsidR="00FC477B">
        <w:rPr>
          <w:rFonts w:ascii="Times New Roman" w:hAnsi="Times New Roman" w:cs="Times New Roman"/>
          <w:b/>
          <w:sz w:val="24"/>
          <w:szCs w:val="24"/>
        </w:rPr>
        <w:t>I</w:t>
      </w:r>
    </w:p>
    <w:p w:rsidR="007920B5" w:rsidRPr="00C63B3F" w:rsidP="00882ABD">
      <w:pPr>
        <w:bidi w:val="0"/>
        <w:jc w:val="both"/>
        <w:rPr>
          <w:rFonts w:ascii="Times New Roman" w:hAnsi="Times New Roman" w:cs="Times New Roman"/>
          <w:b/>
          <w:sz w:val="24"/>
          <w:szCs w:val="24"/>
        </w:rPr>
      </w:pPr>
      <w:r w:rsidRPr="00C63B3F">
        <w:rPr>
          <w:rFonts w:ascii="Times New Roman" w:hAnsi="Times New Roman" w:cs="Times New Roman"/>
          <w:b/>
          <w:sz w:val="24"/>
          <w:szCs w:val="24"/>
        </w:rPr>
        <w:t>K</w:t>
      </w:r>
      <w:r w:rsidRPr="00C63B3F" w:rsidR="00FC477B">
        <w:rPr>
          <w:rFonts w:ascii="Times New Roman" w:hAnsi="Times New Roman" w:cs="Times New Roman"/>
          <w:b/>
          <w:sz w:val="24"/>
          <w:szCs w:val="24"/>
        </w:rPr>
        <w:t xml:space="preserve"> bodom </w:t>
      </w:r>
      <w:r w:rsidRPr="00C63B3F" w:rsidR="00FB6C57">
        <w:rPr>
          <w:rFonts w:ascii="Times New Roman" w:hAnsi="Times New Roman" w:cs="Times New Roman"/>
          <w:b/>
          <w:sz w:val="24"/>
          <w:szCs w:val="24"/>
        </w:rPr>
        <w:t>1</w:t>
      </w:r>
      <w:r w:rsidRPr="00C63B3F">
        <w:rPr>
          <w:rFonts w:ascii="Times New Roman" w:hAnsi="Times New Roman" w:cs="Times New Roman"/>
          <w:b/>
          <w:sz w:val="24"/>
          <w:szCs w:val="24"/>
        </w:rPr>
        <w:t xml:space="preserve"> </w:t>
      </w:r>
      <w:r w:rsidRPr="00C63B3F" w:rsidR="00FC477B">
        <w:rPr>
          <w:rFonts w:ascii="Times New Roman" w:hAnsi="Times New Roman" w:cs="Times New Roman"/>
          <w:b/>
          <w:sz w:val="24"/>
          <w:szCs w:val="24"/>
        </w:rPr>
        <w:t xml:space="preserve"> až </w:t>
      </w:r>
      <w:r w:rsidRPr="00C63B3F" w:rsidR="00FB6C57">
        <w:rPr>
          <w:rFonts w:ascii="Times New Roman" w:hAnsi="Times New Roman" w:cs="Times New Roman"/>
          <w:b/>
          <w:sz w:val="24"/>
          <w:szCs w:val="24"/>
        </w:rPr>
        <w:t>11</w:t>
      </w:r>
    </w:p>
    <w:p w:rsidR="007920B5" w:rsidRPr="00C63B3F" w:rsidP="00882ABD">
      <w:pPr>
        <w:bidi w:val="0"/>
        <w:jc w:val="both"/>
        <w:rPr>
          <w:rFonts w:ascii="Times New Roman" w:hAnsi="Times New Roman" w:cs="Times New Roman"/>
          <w:sz w:val="24"/>
          <w:szCs w:val="24"/>
        </w:rPr>
      </w:pPr>
      <w:r w:rsidRPr="00C63B3F" w:rsidR="00004AF8">
        <w:rPr>
          <w:rFonts w:ascii="Times New Roman" w:hAnsi="Times New Roman" w:cs="Times New Roman"/>
          <w:sz w:val="24"/>
          <w:szCs w:val="24"/>
        </w:rPr>
        <w:tab/>
      </w:r>
      <w:r w:rsidRPr="00C63B3F">
        <w:rPr>
          <w:rFonts w:ascii="Times New Roman" w:hAnsi="Times New Roman" w:cs="Times New Roman"/>
          <w:sz w:val="24"/>
          <w:szCs w:val="24"/>
        </w:rPr>
        <w:t xml:space="preserve">Úprava informačnej povinnosti Ministerstva vnútra Slovenskej republiky, Ministerstva obrany Slovenskej republiky, Finančného riaditeľstva Slovenskej republiky, Sociálnej poisťovne a  Zboru väzenskej a justičnej stráže Slovenskej republiky z dôvodu zmien </w:t>
      </w:r>
      <w:r w:rsidRPr="00C63B3F" w:rsidR="004679BD">
        <w:rPr>
          <w:rFonts w:ascii="Times New Roman" w:hAnsi="Times New Roman" w:cs="Times New Roman"/>
          <w:sz w:val="24"/>
          <w:szCs w:val="24"/>
        </w:rPr>
        <w:t xml:space="preserve">navrhovaných </w:t>
      </w:r>
      <w:r w:rsidRPr="00C63B3F">
        <w:rPr>
          <w:rFonts w:ascii="Times New Roman" w:hAnsi="Times New Roman" w:cs="Times New Roman"/>
          <w:sz w:val="24"/>
          <w:szCs w:val="24"/>
        </w:rPr>
        <w:t>v čl. I.</w:t>
      </w:r>
    </w:p>
    <w:p w:rsidR="007920B5" w:rsidRPr="00C63B3F" w:rsidP="00882ABD">
      <w:pPr>
        <w:bidi w:val="0"/>
        <w:jc w:val="both"/>
        <w:rPr>
          <w:rFonts w:ascii="Times New Roman" w:hAnsi="Times New Roman" w:cs="Times New Roman"/>
          <w:b/>
          <w:sz w:val="24"/>
          <w:szCs w:val="24"/>
        </w:rPr>
      </w:pPr>
      <w:r w:rsidRPr="00C63B3F" w:rsidR="00FB6C57">
        <w:rPr>
          <w:rFonts w:ascii="Times New Roman" w:hAnsi="Times New Roman" w:cs="Times New Roman"/>
          <w:b/>
          <w:sz w:val="24"/>
          <w:szCs w:val="24"/>
        </w:rPr>
        <w:t>K bodu 12</w:t>
      </w:r>
    </w:p>
    <w:p w:rsidR="00882ABD" w:rsidRPr="00C63B3F" w:rsidP="00882ABD">
      <w:pPr>
        <w:bidi w:val="0"/>
        <w:jc w:val="both"/>
        <w:rPr>
          <w:rFonts w:ascii="Times New Roman" w:hAnsi="Times New Roman" w:cs="Times New Roman"/>
          <w:b/>
          <w:sz w:val="24"/>
          <w:szCs w:val="24"/>
        </w:rPr>
      </w:pPr>
      <w:r w:rsidRPr="00C63B3F" w:rsidR="00004AF8">
        <w:rPr>
          <w:rFonts w:ascii="Times New Roman" w:hAnsi="Times New Roman" w:cs="Times New Roman"/>
          <w:sz w:val="24"/>
          <w:szCs w:val="24"/>
        </w:rPr>
        <w:tab/>
      </w:r>
      <w:r w:rsidRPr="00C63B3F" w:rsidR="00FC477B">
        <w:rPr>
          <w:rFonts w:ascii="Times New Roman" w:hAnsi="Times New Roman" w:cs="Times New Roman"/>
          <w:sz w:val="24"/>
          <w:szCs w:val="24"/>
        </w:rPr>
        <w:t xml:space="preserve">Prechodné ustanovenie, ktoré v rámci prípustnej retroaktivity rieši použitie určených </w:t>
      </w:r>
      <w:r w:rsidRPr="00C63B3F" w:rsidR="005510F7">
        <w:rPr>
          <w:rFonts w:ascii="Times New Roman" w:hAnsi="Times New Roman" w:cs="Times New Roman"/>
          <w:sz w:val="24"/>
          <w:szCs w:val="24"/>
        </w:rPr>
        <w:t>limitov spoluúčasti</w:t>
      </w:r>
      <w:r w:rsidRPr="00C63B3F" w:rsidR="004679BD">
        <w:rPr>
          <w:rFonts w:ascii="Times New Roman" w:hAnsi="Times New Roman" w:cs="Times New Roman"/>
          <w:sz w:val="24"/>
          <w:szCs w:val="24"/>
        </w:rPr>
        <w:t>, ktoré sú výrazne výhodnejšie pre poistencov,</w:t>
      </w:r>
      <w:r w:rsidRPr="00C63B3F" w:rsidR="005510F7">
        <w:rPr>
          <w:rFonts w:ascii="Times New Roman" w:hAnsi="Times New Roman" w:cs="Times New Roman"/>
          <w:sz w:val="24"/>
          <w:szCs w:val="24"/>
        </w:rPr>
        <w:t xml:space="preserve"> už za tretí štvrťrok 2015.</w:t>
      </w:r>
    </w:p>
    <w:p w:rsidR="005510F7" w:rsidRPr="00C63B3F" w:rsidP="00882ABD">
      <w:pPr>
        <w:bidi w:val="0"/>
        <w:jc w:val="both"/>
        <w:rPr>
          <w:rFonts w:ascii="Times New Roman" w:hAnsi="Times New Roman" w:cs="Times New Roman"/>
          <w:b/>
          <w:sz w:val="24"/>
          <w:szCs w:val="24"/>
        </w:rPr>
      </w:pPr>
    </w:p>
    <w:p w:rsidR="00FC477B" w:rsidRPr="00C63B3F" w:rsidP="00882ABD">
      <w:pPr>
        <w:bidi w:val="0"/>
        <w:jc w:val="both"/>
        <w:rPr>
          <w:rFonts w:ascii="Times New Roman" w:hAnsi="Times New Roman" w:cs="Times New Roman"/>
          <w:b/>
          <w:sz w:val="24"/>
          <w:szCs w:val="24"/>
        </w:rPr>
      </w:pPr>
      <w:r w:rsidRPr="00C63B3F">
        <w:rPr>
          <w:rFonts w:ascii="Times New Roman" w:hAnsi="Times New Roman" w:cs="Times New Roman"/>
          <w:b/>
          <w:sz w:val="24"/>
          <w:szCs w:val="24"/>
        </w:rPr>
        <w:t>Čl. III</w:t>
      </w:r>
    </w:p>
    <w:p w:rsidR="00FC477B" w:rsidRPr="00C63B3F" w:rsidP="00882ABD">
      <w:pPr>
        <w:bidi w:val="0"/>
        <w:jc w:val="both"/>
        <w:rPr>
          <w:rFonts w:ascii="Times New Roman" w:hAnsi="Times New Roman" w:cs="Times New Roman"/>
          <w:sz w:val="24"/>
          <w:szCs w:val="24"/>
        </w:rPr>
      </w:pPr>
      <w:r w:rsidRPr="00C63B3F" w:rsidR="00004AF8">
        <w:rPr>
          <w:rFonts w:ascii="Times New Roman" w:hAnsi="Times New Roman" w:cs="Times New Roman"/>
          <w:sz w:val="24"/>
          <w:szCs w:val="24"/>
        </w:rPr>
        <w:tab/>
      </w:r>
      <w:r w:rsidRPr="00C63B3F">
        <w:rPr>
          <w:rFonts w:ascii="Times New Roman" w:hAnsi="Times New Roman" w:cs="Times New Roman"/>
          <w:sz w:val="24"/>
          <w:szCs w:val="24"/>
        </w:rPr>
        <w:t>Ustanovuje sa účinnosť zákona.</w:t>
      </w:r>
    </w:p>
    <w:sectPr w:rsidSect="003E14C3">
      <w:footerReference w:type="default" r:id="rId4"/>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4C3">
    <w:pPr>
      <w:pStyle w:val="Footer"/>
      <w:bidi w:val="0"/>
      <w:jc w:val="center"/>
    </w:pPr>
    <w:r>
      <w:fldChar w:fldCharType="begin"/>
    </w:r>
    <w:r>
      <w:instrText>PAGE   \* MERGEFORMAT</w:instrText>
    </w:r>
    <w:r>
      <w:fldChar w:fldCharType="separate"/>
    </w:r>
    <w:r w:rsidR="001260A6">
      <w:rPr>
        <w:noProof/>
      </w:rPr>
      <w:t>5</w:t>
    </w:r>
    <w:r>
      <w:fldChar w:fldCharType="end"/>
    </w:r>
  </w:p>
  <w:p w:rsidR="003E14C3">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E0D85"/>
    <w:multiLevelType w:val="hybridMultilevel"/>
    <w:tmpl w:val="BE38F1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5C9B77D4"/>
    <w:multiLevelType w:val="multilevel"/>
    <w:tmpl w:val="31CA9A1E"/>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957CDD"/>
    <w:rsid w:val="00004AF8"/>
    <w:rsid w:val="000A2FC5"/>
    <w:rsid w:val="001260A6"/>
    <w:rsid w:val="00156145"/>
    <w:rsid w:val="00176440"/>
    <w:rsid w:val="00197EFD"/>
    <w:rsid w:val="00200079"/>
    <w:rsid w:val="002016B1"/>
    <w:rsid w:val="0026231E"/>
    <w:rsid w:val="002D1ADA"/>
    <w:rsid w:val="00303D77"/>
    <w:rsid w:val="003308D6"/>
    <w:rsid w:val="003800A3"/>
    <w:rsid w:val="00387E42"/>
    <w:rsid w:val="003D10E6"/>
    <w:rsid w:val="003E14C3"/>
    <w:rsid w:val="003E2B1E"/>
    <w:rsid w:val="00444FE8"/>
    <w:rsid w:val="004679BD"/>
    <w:rsid w:val="004E756E"/>
    <w:rsid w:val="00526B77"/>
    <w:rsid w:val="005510F7"/>
    <w:rsid w:val="00690D09"/>
    <w:rsid w:val="00691796"/>
    <w:rsid w:val="00701920"/>
    <w:rsid w:val="00717C6D"/>
    <w:rsid w:val="007920B5"/>
    <w:rsid w:val="00860170"/>
    <w:rsid w:val="00873F9A"/>
    <w:rsid w:val="00876994"/>
    <w:rsid w:val="00882ABD"/>
    <w:rsid w:val="00883A00"/>
    <w:rsid w:val="00884CB1"/>
    <w:rsid w:val="00892AD6"/>
    <w:rsid w:val="008E040E"/>
    <w:rsid w:val="008F19B5"/>
    <w:rsid w:val="008F7517"/>
    <w:rsid w:val="00934A5F"/>
    <w:rsid w:val="00957CDD"/>
    <w:rsid w:val="00997E37"/>
    <w:rsid w:val="00A40D7D"/>
    <w:rsid w:val="00A55212"/>
    <w:rsid w:val="00A734D7"/>
    <w:rsid w:val="00B458E5"/>
    <w:rsid w:val="00BC3F4D"/>
    <w:rsid w:val="00C03550"/>
    <w:rsid w:val="00C63B3F"/>
    <w:rsid w:val="00C8561F"/>
    <w:rsid w:val="00CB7170"/>
    <w:rsid w:val="00D247F1"/>
    <w:rsid w:val="00E9007A"/>
    <w:rsid w:val="00F334F4"/>
    <w:rsid w:val="00F413B9"/>
    <w:rsid w:val="00F6505C"/>
    <w:rsid w:val="00FB6C57"/>
    <w:rsid w:val="00FC477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ind w:left="0" w:right="0"/>
      <w:jc w:val="left"/>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2">
    <w:name w:val="Body Text 2"/>
    <w:basedOn w:val="Normal"/>
    <w:link w:val="BodyText2Char"/>
    <w:uiPriority w:val="99"/>
    <w:rsid w:val="00FC477B"/>
    <w:pPr>
      <w:spacing w:after="0"/>
      <w:ind w:firstLine="708"/>
      <w:jc w:val="both"/>
    </w:pPr>
    <w:rPr>
      <w:rFonts w:ascii="Times New Roman" w:hAnsi="Times New Roman" w:eastAsiaTheme="minorEastAsia"/>
      <w:b/>
      <w:bCs/>
      <w:sz w:val="24"/>
      <w:szCs w:val="24"/>
      <w:lang w:eastAsia="sk-SK"/>
    </w:rPr>
  </w:style>
  <w:style w:type="character" w:customStyle="1" w:styleId="BodyText2Char">
    <w:name w:val="Body Text 2 Char"/>
    <w:basedOn w:val="DefaultParagraphFont"/>
    <w:link w:val="BodyText2"/>
    <w:uiPriority w:val="99"/>
    <w:locked/>
    <w:rsid w:val="00FC477B"/>
    <w:rPr>
      <w:rFonts w:ascii="Times New Roman" w:hAnsi="Times New Roman" w:eastAsiaTheme="minorEastAsia" w:cs="Times New Roman"/>
      <w:b/>
      <w:bCs/>
      <w:sz w:val="24"/>
      <w:szCs w:val="24"/>
      <w:rtl w:val="0"/>
      <w:cs w:val="0"/>
      <w:lang w:val="x-none" w:eastAsia="sk-SK"/>
    </w:rPr>
  </w:style>
  <w:style w:type="character" w:customStyle="1" w:styleId="Textzstupnhosymbolu1">
    <w:name w:val="Text zástupného symbolu1"/>
    <w:uiPriority w:val="99"/>
    <w:semiHidden/>
    <w:rsid w:val="00FC477B"/>
    <w:rPr>
      <w:rFonts w:ascii="Times New Roman" w:hAnsi="Times New Roman" w:cs="Times New Roman"/>
      <w:color w:val="808080"/>
    </w:rPr>
  </w:style>
  <w:style w:type="paragraph" w:styleId="Header">
    <w:name w:val="header"/>
    <w:basedOn w:val="Normal"/>
    <w:link w:val="HeaderChar"/>
    <w:uiPriority w:val="99"/>
    <w:unhideWhenUsed/>
    <w:rsid w:val="00FC477B"/>
    <w:pPr>
      <w:tabs>
        <w:tab w:val="center" w:pos="4536"/>
        <w:tab w:val="right" w:pos="9072"/>
      </w:tabs>
      <w:spacing w:after="0"/>
      <w:jc w:val="left"/>
    </w:pPr>
  </w:style>
  <w:style w:type="character" w:customStyle="1" w:styleId="HeaderChar">
    <w:name w:val="Header Char"/>
    <w:basedOn w:val="DefaultParagraphFont"/>
    <w:link w:val="Header"/>
    <w:uiPriority w:val="99"/>
    <w:locked/>
    <w:rsid w:val="00FC477B"/>
    <w:rPr>
      <w:rFonts w:cs="Times New Roman"/>
      <w:rtl w:val="0"/>
      <w:cs w:val="0"/>
    </w:rPr>
  </w:style>
  <w:style w:type="paragraph" w:styleId="Footer">
    <w:name w:val="footer"/>
    <w:basedOn w:val="Normal"/>
    <w:link w:val="FooterChar"/>
    <w:uiPriority w:val="99"/>
    <w:unhideWhenUsed/>
    <w:rsid w:val="00FC477B"/>
    <w:pPr>
      <w:tabs>
        <w:tab w:val="center" w:pos="4536"/>
        <w:tab w:val="right" w:pos="9072"/>
      </w:tabs>
      <w:spacing w:after="0"/>
      <w:jc w:val="left"/>
    </w:pPr>
  </w:style>
  <w:style w:type="character" w:customStyle="1" w:styleId="FooterChar">
    <w:name w:val="Footer Char"/>
    <w:basedOn w:val="DefaultParagraphFont"/>
    <w:link w:val="Footer"/>
    <w:uiPriority w:val="99"/>
    <w:locked/>
    <w:rsid w:val="00FC477B"/>
    <w:rPr>
      <w:rFonts w:cs="Times New Roman"/>
      <w:rtl w:val="0"/>
      <w:cs w:val="0"/>
    </w:rPr>
  </w:style>
  <w:style w:type="character" w:styleId="CommentReference">
    <w:name w:val="annotation reference"/>
    <w:basedOn w:val="DefaultParagraphFont"/>
    <w:uiPriority w:val="99"/>
    <w:semiHidden/>
    <w:unhideWhenUsed/>
    <w:rsid w:val="00176440"/>
    <w:rPr>
      <w:rFonts w:cs="Times New Roman"/>
      <w:sz w:val="16"/>
      <w:szCs w:val="16"/>
      <w:rtl w:val="0"/>
      <w:cs w:val="0"/>
    </w:rPr>
  </w:style>
  <w:style w:type="paragraph" w:styleId="CommentText">
    <w:name w:val="annotation text"/>
    <w:basedOn w:val="Normal"/>
    <w:link w:val="CommentTextChar"/>
    <w:uiPriority w:val="99"/>
    <w:unhideWhenUsed/>
    <w:rsid w:val="00176440"/>
    <w:pPr>
      <w:jc w:val="left"/>
    </w:pPr>
    <w:rPr>
      <w:sz w:val="20"/>
      <w:szCs w:val="20"/>
    </w:rPr>
  </w:style>
  <w:style w:type="character" w:customStyle="1" w:styleId="CommentTextChar">
    <w:name w:val="Comment Text Char"/>
    <w:basedOn w:val="DefaultParagraphFont"/>
    <w:link w:val="CommentText"/>
    <w:uiPriority w:val="99"/>
    <w:locked/>
    <w:rsid w:val="00176440"/>
    <w:rPr>
      <w:rFonts w:cs="Times New Roman"/>
      <w:sz w:val="20"/>
      <w:szCs w:val="20"/>
      <w:rtl w:val="0"/>
      <w:cs w:val="0"/>
    </w:rPr>
  </w:style>
  <w:style w:type="paragraph" w:styleId="CommentSubject">
    <w:name w:val="annotation subject"/>
    <w:basedOn w:val="CommentText"/>
    <w:next w:val="CommentText"/>
    <w:link w:val="CommentSubjectChar"/>
    <w:uiPriority w:val="99"/>
    <w:semiHidden/>
    <w:unhideWhenUsed/>
    <w:rsid w:val="00176440"/>
    <w:pPr>
      <w:jc w:val="left"/>
    </w:pPr>
    <w:rPr>
      <w:b/>
      <w:bCs/>
    </w:rPr>
  </w:style>
  <w:style w:type="character" w:customStyle="1" w:styleId="CommentSubjectChar">
    <w:name w:val="Comment Subject Char"/>
    <w:basedOn w:val="CommentTextChar"/>
    <w:link w:val="CommentSubject"/>
    <w:uiPriority w:val="99"/>
    <w:semiHidden/>
    <w:locked/>
    <w:rsid w:val="00176440"/>
    <w:rPr>
      <w:b/>
      <w:bCs/>
    </w:rPr>
  </w:style>
  <w:style w:type="paragraph" w:styleId="BalloonText">
    <w:name w:val="Balloon Text"/>
    <w:basedOn w:val="Normal"/>
    <w:link w:val="BalloonTextChar"/>
    <w:uiPriority w:val="99"/>
    <w:semiHidden/>
    <w:unhideWhenUsed/>
    <w:rsid w:val="00176440"/>
    <w:pPr>
      <w:spacing w:after="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76440"/>
    <w:rPr>
      <w:rFonts w:ascii="Tahoma" w:hAnsi="Tahoma" w:cs="Tahoma"/>
      <w:sz w:val="16"/>
      <w:szCs w:val="16"/>
      <w:rtl w:val="0"/>
      <w:cs w:val="0"/>
    </w:rPr>
  </w:style>
  <w:style w:type="paragraph" w:styleId="ListParagraph">
    <w:name w:val="List Paragraph"/>
    <w:basedOn w:val="Normal"/>
    <w:uiPriority w:val="34"/>
    <w:qFormat/>
    <w:rsid w:val="008F7517"/>
    <w:pPr>
      <w:ind w:left="720"/>
      <w:contextualSpacing/>
      <w:jc w:val="left"/>
    </w:pPr>
  </w:style>
  <w:style w:type="paragraph" w:styleId="BodyText">
    <w:name w:val="Body Text"/>
    <w:basedOn w:val="Normal"/>
    <w:link w:val="BodyTextChar"/>
    <w:uiPriority w:val="99"/>
    <w:semiHidden/>
    <w:unhideWhenUsed/>
    <w:rsid w:val="00C63B3F"/>
    <w:pPr>
      <w:spacing w:after="120"/>
      <w:jc w:val="left"/>
    </w:pPr>
  </w:style>
  <w:style w:type="character" w:customStyle="1" w:styleId="BodyTextChar">
    <w:name w:val="Body Text Char"/>
    <w:basedOn w:val="DefaultParagraphFont"/>
    <w:link w:val="BodyText"/>
    <w:uiPriority w:val="99"/>
    <w:semiHidden/>
    <w:locked/>
    <w:rsid w:val="00C63B3F"/>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5</Pages>
  <Words>1137</Words>
  <Characters>6482</Characters>
  <Application>Microsoft Office Word</Application>
  <DocSecurity>0</DocSecurity>
  <Lines>0</Lines>
  <Paragraphs>0</Paragraphs>
  <ScaleCrop>false</ScaleCrop>
  <Company>VšZP a.s.</Company>
  <LinksUpToDate>false</LinksUpToDate>
  <CharactersWithSpaces>7604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Králičková Vieroslava, JUDr.</dc:creator>
  <cp:lastModifiedBy>Gašparíková, Jarmila</cp:lastModifiedBy>
  <cp:revision>2</cp:revision>
  <cp:lastPrinted>2015-05-29T12:43:00Z</cp:lastPrinted>
  <dcterms:created xsi:type="dcterms:W3CDTF">2015-05-29T13:30:00Z</dcterms:created>
  <dcterms:modified xsi:type="dcterms:W3CDTF">2015-05-29T13:30:00Z</dcterms:modified>
</cp:coreProperties>
</file>