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</w:t>
      </w:r>
      <w:r w:rsidR="00DD673B">
        <w:rPr>
          <w:rFonts w:ascii="Times New Roman" w:hAnsi="Times New Roman"/>
        </w:rPr>
        <w:t xml:space="preserve">skupina </w:t>
      </w:r>
      <w:r w:rsidRPr="00AC11EE">
        <w:rPr>
          <w:rFonts w:ascii="Times New Roman" w:hAnsi="Times New Roman"/>
        </w:rPr>
        <w:t>poslan</w:t>
      </w:r>
      <w:r w:rsidR="00DD673B">
        <w:rPr>
          <w:rFonts w:ascii="Times New Roman" w:hAnsi="Times New Roman"/>
        </w:rPr>
        <w:t>cov</w:t>
      </w:r>
      <w:r w:rsidRPr="00AC11EE">
        <w:rPr>
          <w:rFonts w:ascii="Times New Roman" w:hAnsi="Times New Roman"/>
        </w:rPr>
        <w:t xml:space="preserve"> Národnej rady Slovenskej republiky </w:t>
      </w:r>
    </w:p>
    <w:p w:rsidR="00793431" w:rsidP="00793431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 w:rsidR="00CC1F5E">
        <w:rPr>
          <w:rFonts w:ascii="Times New Roman" w:hAnsi="Times New Roman"/>
        </w:rPr>
        <w:t>222</w:t>
      </w:r>
      <w:r>
        <w:rPr>
          <w:rFonts w:ascii="Times New Roman" w:hAnsi="Times New Roman"/>
        </w:rPr>
        <w:t>/20</w:t>
      </w:r>
      <w:r w:rsidR="00DD673B">
        <w:rPr>
          <w:rFonts w:ascii="Times New Roman" w:hAnsi="Times New Roman"/>
        </w:rPr>
        <w:t>0</w:t>
      </w:r>
      <w:r w:rsidR="00CC1F5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Z. z. o</w:t>
      </w:r>
      <w:r w:rsidR="00CC1F5E">
        <w:rPr>
          <w:rFonts w:ascii="Times New Roman" w:hAnsi="Times New Roman"/>
        </w:rPr>
        <w:t> </w:t>
      </w:r>
      <w:r w:rsidR="00CC1F5E">
        <w:rPr>
          <w:rFonts w:ascii="Times New Roman" w:hAnsi="Times New Roman"/>
        </w:rPr>
        <w:t xml:space="preserve">dani z pridanej hodnoty </w:t>
      </w: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</w:t>
      </w:r>
      <w:r w:rsidRPr="00A13401">
        <w:rPr>
          <w:rFonts w:ascii="Times New Roman" w:hAnsi="Times New Roman"/>
        </w:rPr>
        <w:t xml:space="preserve">  </w:t>
      </w:r>
      <w:r w:rsidRPr="00A13401">
        <w:rPr>
          <w:rFonts w:ascii="Times New Roman" w:hAnsi="Times New Roman"/>
          <w:szCs w:val="24"/>
        </w:rPr>
        <w:t> </w:t>
      </w:r>
    </w:p>
    <w:p w:rsidR="00793431" w:rsidRPr="00A13401" w:rsidP="00793431">
      <w:pPr>
        <w:bidi w:val="0"/>
        <w:jc w:val="both"/>
        <w:rPr>
          <w:rFonts w:ascii="Times New Roman" w:hAnsi="Times New Roman"/>
          <w:szCs w:val="24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793431" w:rsidRPr="00A13401" w:rsidP="00793431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Nie </w:t>
      </w: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>nie.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>zky Slovenskej republiky vo vzť</w:t>
      </w:r>
      <w:r w:rsidRPr="00A13401">
        <w:rPr>
          <w:rFonts w:ascii="Times New Roman" w:hAnsi="Times New Roman" w:hint="default"/>
          <w:b/>
        </w:rPr>
        <w:t>ahu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 xml:space="preserve">      Bezpr</w:t>
      </w:r>
      <w:r w:rsidRPr="00A13401">
        <w:rPr>
          <w:rFonts w:ascii="Times New Roman" w:hAnsi="Times New Roman" w:hint="default"/>
        </w:rPr>
        <w:t>edmetné </w:t>
      </w:r>
    </w:p>
    <w:p w:rsidR="00793431" w:rsidRPr="00A13401" w:rsidP="00793431">
      <w:pPr>
        <w:bidi w:val="0"/>
        <w:ind w:firstLine="708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793431" w:rsidRPr="00A13401" w:rsidP="0079343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793431" w:rsidRPr="00A13401" w:rsidP="00793431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793431" w:rsidRPr="00A13401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793431" w:rsidRPr="00AC11EE" w:rsidP="00793431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793431" w:rsidRPr="00AC11EE" w:rsidP="00793431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793431" w:rsidRPr="00AC11EE" w:rsidP="00793431">
      <w:pPr>
        <w:bidi w:val="0"/>
        <w:jc w:val="both"/>
        <w:rPr>
          <w:rFonts w:ascii="Times New Roman" w:hAnsi="Times New Roman"/>
          <w:b/>
          <w:color w:val="000000"/>
          <w:szCs w:val="24"/>
        </w:rPr>
      </w:pPr>
      <w:r w:rsidRPr="00AC11EE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AC11EE">
        <w:rPr>
          <w:rFonts w:ascii="Times New Roman" w:hAnsi="Times New Roman" w:hint="default"/>
          <w:color w:val="000000"/>
          <w:szCs w:val="24"/>
        </w:rPr>
        <w:t>Ná</w:t>
      </w:r>
      <w:r w:rsidRPr="00AC11EE">
        <w:rPr>
          <w:rFonts w:ascii="Times New Roman" w:hAnsi="Times New Roman" w:hint="default"/>
          <w:color w:val="000000"/>
          <w:szCs w:val="24"/>
        </w:rPr>
        <w:t>vrh zá</w:t>
      </w:r>
      <w:r w:rsidRPr="00AC11EE">
        <w:rPr>
          <w:rFonts w:ascii="Times New Roman" w:hAnsi="Times New Roman" w:hint="default"/>
          <w:color w:val="000000"/>
          <w:szCs w:val="24"/>
        </w:rPr>
        <w:t>kona,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 w:rsidR="00CC1F5E">
        <w:rPr>
          <w:rFonts w:ascii="Times New Roman" w:hAnsi="Times New Roman"/>
        </w:rPr>
        <w:t>222</w:t>
      </w:r>
      <w:r>
        <w:rPr>
          <w:rFonts w:ascii="Times New Roman" w:hAnsi="Times New Roman"/>
        </w:rPr>
        <w:t>/20</w:t>
      </w:r>
      <w:r w:rsidR="00DD673B">
        <w:rPr>
          <w:rFonts w:ascii="Times New Roman" w:hAnsi="Times New Roman"/>
        </w:rPr>
        <w:t>0</w:t>
      </w:r>
      <w:r w:rsidR="00CC1F5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Z. z. o</w:t>
      </w:r>
      <w:r w:rsidR="00AF4E3A">
        <w:rPr>
          <w:rFonts w:ascii="Times New Roman" w:hAnsi="Times New Roman"/>
        </w:rPr>
        <w:t> </w:t>
      </w:r>
      <w:r w:rsidR="00AF4E3A">
        <w:rPr>
          <w:rFonts w:ascii="Times New Roman" w:hAnsi="Times New Roman"/>
        </w:rPr>
        <w:t xml:space="preserve">dani z pridanej hodnoty </w:t>
      </w: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 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DD673B">
              <w:rPr>
                <w:rFonts w:ascii="Times New Roman" w:hAnsi="Times New Roman"/>
                <w:color w:val="000000"/>
              </w:rPr>
              <w:t>x</w:t>
            </w: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DD673B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79343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93431" w:rsidP="00793431">
      <w:pPr>
        <w:pStyle w:val="NormalWeb"/>
        <w:bidi w:val="0"/>
        <w:spacing w:before="120" w:after="0" w:line="276" w:lineRule="auto"/>
        <w:rPr>
          <w:rFonts w:ascii="Times New Roman" w:hAnsi="Times New Roman"/>
          <w:b/>
          <w:color w:val="000000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CC1F5E" w:rsidP="00CC1F5E">
      <w:pPr>
        <w:bidi w:val="0"/>
        <w:jc w:val="both"/>
        <w:rPr>
          <w:rFonts w:ascii="Times New Roman" w:hAnsi="Times New Roman"/>
          <w:bCs/>
          <w:szCs w:val="24"/>
        </w:rPr>
      </w:pPr>
      <w:r w:rsidRPr="001F52F6">
        <w:rPr>
          <w:rFonts w:ascii="Times New Roman" w:hAnsi="Times New Roman"/>
          <w:bCs/>
          <w:szCs w:val="24"/>
        </w:rPr>
        <w:t xml:space="preserve">Pri </w:t>
      </w:r>
      <w:r>
        <w:rPr>
          <w:rFonts w:ascii="Times New Roman" w:hAnsi="Times New Roman" w:hint="default"/>
          <w:bCs/>
          <w:szCs w:val="24"/>
        </w:rPr>
        <w:t>prepoč</w:t>
      </w:r>
      <w:r>
        <w:rPr>
          <w:rFonts w:ascii="Times New Roman" w:hAnsi="Times New Roman" w:hint="default"/>
          <w:bCs/>
          <w:szCs w:val="24"/>
        </w:rPr>
        <w:t>toch</w:t>
      </w:r>
      <w:r w:rsidRPr="001F52F6">
        <w:rPr>
          <w:rFonts w:ascii="Times New Roman" w:hAnsi="Times New Roman" w:hint="default"/>
          <w:bCs/>
          <w:szCs w:val="24"/>
        </w:rPr>
        <w:t xml:space="preserve"> dopadu zavedenia navrhovanej 13 % sadzby DPH na rozpoč</w:t>
      </w:r>
      <w:r w:rsidRPr="001F52F6">
        <w:rPr>
          <w:rFonts w:ascii="Times New Roman" w:hAnsi="Times New Roman" w:hint="default"/>
          <w:bCs/>
          <w:szCs w:val="24"/>
        </w:rPr>
        <w:t>et verejnej sprá</w:t>
      </w:r>
      <w:r w:rsidRPr="001F52F6">
        <w:rPr>
          <w:rFonts w:ascii="Times New Roman" w:hAnsi="Times New Roman" w:hint="default"/>
          <w:bCs/>
          <w:szCs w:val="24"/>
        </w:rPr>
        <w:t>vy vychá</w:t>
      </w:r>
      <w:r w:rsidRPr="001F52F6">
        <w:rPr>
          <w:rFonts w:ascii="Times New Roman" w:hAnsi="Times New Roman" w:hint="default"/>
          <w:bCs/>
          <w:szCs w:val="24"/>
        </w:rPr>
        <w:t xml:space="preserve">dzali </w:t>
      </w:r>
      <w:r>
        <w:rPr>
          <w:rFonts w:ascii="Times New Roman" w:hAnsi="Times New Roman"/>
          <w:bCs/>
          <w:szCs w:val="24"/>
        </w:rPr>
        <w:t xml:space="preserve">predkladatelia </w:t>
      </w:r>
      <w:r w:rsidRPr="001F52F6">
        <w:rPr>
          <w:rFonts w:ascii="Times New Roman" w:hAnsi="Times New Roman" w:hint="default"/>
          <w:bCs/>
          <w:szCs w:val="24"/>
        </w:rPr>
        <w:t>z dá</w:t>
      </w:r>
      <w:r w:rsidRPr="001F52F6">
        <w:rPr>
          <w:rFonts w:ascii="Times New Roman" w:hAnsi="Times New Roman" w:hint="default"/>
          <w:bCs/>
          <w:szCs w:val="24"/>
        </w:rPr>
        <w:t>t o spotrebe š</w:t>
      </w:r>
      <w:r w:rsidRPr="001F52F6">
        <w:rPr>
          <w:rFonts w:ascii="Times New Roman" w:hAnsi="Times New Roman" w:hint="default"/>
          <w:bCs/>
          <w:szCs w:val="24"/>
        </w:rPr>
        <w:t>tandardný</w:t>
      </w:r>
      <w:r w:rsidRPr="001F52F6">
        <w:rPr>
          <w:rFonts w:ascii="Times New Roman" w:hAnsi="Times New Roman" w:hint="default"/>
          <w:bCs/>
          <w:szCs w:val="24"/>
        </w:rPr>
        <w:t>ch domá</w:t>
      </w:r>
      <w:r w:rsidRPr="001F52F6">
        <w:rPr>
          <w:rFonts w:ascii="Times New Roman" w:hAnsi="Times New Roman" w:hint="default"/>
          <w:bCs/>
          <w:szCs w:val="24"/>
        </w:rPr>
        <w:t>cností</w:t>
      </w:r>
      <w:r w:rsidRPr="001F52F6">
        <w:rPr>
          <w:rFonts w:ascii="Times New Roman" w:hAnsi="Times New Roman" w:hint="default"/>
          <w:bCs/>
          <w:szCs w:val="24"/>
        </w:rPr>
        <w:t xml:space="preserve"> poskytnutý</w:t>
      </w:r>
      <w:r w:rsidRPr="001F52F6">
        <w:rPr>
          <w:rFonts w:ascii="Times New Roman" w:hAnsi="Times New Roman" w:hint="default"/>
          <w:bCs/>
          <w:szCs w:val="24"/>
        </w:rPr>
        <w:t>ch Š</w:t>
      </w:r>
      <w:r w:rsidRPr="001F52F6">
        <w:rPr>
          <w:rFonts w:ascii="Times New Roman" w:hAnsi="Times New Roman" w:hint="default"/>
          <w:bCs/>
          <w:szCs w:val="24"/>
        </w:rPr>
        <w:t>tatistický</w:t>
      </w:r>
      <w:r w:rsidRPr="001F52F6">
        <w:rPr>
          <w:rFonts w:ascii="Times New Roman" w:hAnsi="Times New Roman" w:hint="default"/>
          <w:bCs/>
          <w:szCs w:val="24"/>
        </w:rPr>
        <w:t>m ú</w:t>
      </w:r>
      <w:r w:rsidRPr="001F52F6">
        <w:rPr>
          <w:rFonts w:ascii="Times New Roman" w:hAnsi="Times New Roman" w:hint="default"/>
          <w:bCs/>
          <w:szCs w:val="24"/>
        </w:rPr>
        <w:t xml:space="preserve">radom. </w:t>
      </w:r>
    </w:p>
    <w:p w:rsidR="00CC1F5E" w:rsidP="00CC1F5E">
      <w:pPr>
        <w:bidi w:val="0"/>
        <w:jc w:val="both"/>
        <w:rPr>
          <w:rFonts w:ascii="Times New Roman" w:hAnsi="Times New Roman"/>
          <w:bCs/>
          <w:szCs w:val="24"/>
        </w:rPr>
      </w:pPr>
      <w:r w:rsidRPr="001F52F6">
        <w:rPr>
          <w:rFonts w:ascii="Times New Roman" w:hAnsi="Times New Roman" w:hint="default"/>
          <w:bCs/>
          <w:szCs w:val="24"/>
        </w:rPr>
        <w:t>Ú</w:t>
      </w:r>
      <w:r w:rsidRPr="001F52F6">
        <w:rPr>
          <w:rFonts w:ascii="Times New Roman" w:hAnsi="Times New Roman" w:hint="default"/>
          <w:bCs/>
          <w:szCs w:val="24"/>
        </w:rPr>
        <w:t>daje zí</w:t>
      </w:r>
      <w:r w:rsidRPr="001F52F6">
        <w:rPr>
          <w:rFonts w:ascii="Times New Roman" w:hAnsi="Times New Roman" w:hint="default"/>
          <w:bCs/>
          <w:szCs w:val="24"/>
        </w:rPr>
        <w:t>skané</w:t>
      </w:r>
      <w:r w:rsidRPr="001F52F6">
        <w:rPr>
          <w:rFonts w:ascii="Times New Roman" w:hAnsi="Times New Roman" w:hint="default"/>
          <w:bCs/>
          <w:szCs w:val="24"/>
        </w:rPr>
        <w:t xml:space="preserve"> vý</w:t>
      </w:r>
      <w:r w:rsidRPr="001F52F6">
        <w:rPr>
          <w:rFonts w:ascii="Times New Roman" w:hAnsi="Times New Roman" w:hint="default"/>
          <w:bCs/>
          <w:szCs w:val="24"/>
        </w:rPr>
        <w:t>berový</w:t>
      </w:r>
      <w:r w:rsidRPr="001F52F6">
        <w:rPr>
          <w:rFonts w:ascii="Times New Roman" w:hAnsi="Times New Roman" w:hint="default"/>
          <w:bCs/>
          <w:szCs w:val="24"/>
        </w:rPr>
        <w:t>m zisť</w:t>
      </w:r>
      <w:r w:rsidRPr="001F52F6">
        <w:rPr>
          <w:rFonts w:ascii="Times New Roman" w:hAnsi="Times New Roman" w:hint="default"/>
          <w:bCs/>
          <w:szCs w:val="24"/>
        </w:rPr>
        <w:t>ovaní</w:t>
      </w:r>
      <w:r w:rsidRPr="001F52F6">
        <w:rPr>
          <w:rFonts w:ascii="Times New Roman" w:hAnsi="Times New Roman" w:hint="default"/>
          <w:bCs/>
          <w:szCs w:val="24"/>
        </w:rPr>
        <w:t>m poskytli</w:t>
      </w:r>
      <w:r>
        <w:rPr>
          <w:rFonts w:ascii="Times New Roman" w:hAnsi="Times New Roman" w:hint="default"/>
          <w:bCs/>
          <w:szCs w:val="24"/>
        </w:rPr>
        <w:t xml:space="preserve"> Š</w:t>
      </w:r>
      <w:r>
        <w:rPr>
          <w:rFonts w:ascii="Times New Roman" w:hAnsi="Times New Roman" w:hint="default"/>
          <w:bCs/>
          <w:szCs w:val="24"/>
        </w:rPr>
        <w:t>tatistické</w:t>
      </w:r>
      <w:r>
        <w:rPr>
          <w:rFonts w:ascii="Times New Roman" w:hAnsi="Times New Roman" w:hint="default"/>
          <w:bCs/>
          <w:szCs w:val="24"/>
        </w:rPr>
        <w:t>mu ú</w:t>
      </w:r>
      <w:r>
        <w:rPr>
          <w:rFonts w:ascii="Times New Roman" w:hAnsi="Times New Roman" w:hint="default"/>
          <w:bCs/>
          <w:szCs w:val="24"/>
        </w:rPr>
        <w:t>radu SR</w:t>
      </w:r>
      <w:r w:rsidRPr="001F52F6">
        <w:rPr>
          <w:rFonts w:ascii="Times New Roman" w:hAnsi="Times New Roman" w:hint="default"/>
          <w:bCs/>
          <w:szCs w:val="24"/>
        </w:rPr>
        <w:t xml:space="preserve"> vybrané</w:t>
      </w:r>
      <w:r w:rsidRPr="001F52F6">
        <w:rPr>
          <w:rFonts w:ascii="Times New Roman" w:hAnsi="Times New Roman" w:hint="default"/>
          <w:bCs/>
          <w:szCs w:val="24"/>
        </w:rPr>
        <w:t xml:space="preserve"> spolupracujú</w:t>
      </w:r>
      <w:r w:rsidRPr="001F52F6">
        <w:rPr>
          <w:rFonts w:ascii="Times New Roman" w:hAnsi="Times New Roman" w:hint="default"/>
          <w:bCs/>
          <w:szCs w:val="24"/>
        </w:rPr>
        <w:t>ce sú</w:t>
      </w:r>
      <w:r w:rsidRPr="001F52F6">
        <w:rPr>
          <w:rFonts w:ascii="Times New Roman" w:hAnsi="Times New Roman" w:hint="default"/>
          <w:bCs/>
          <w:szCs w:val="24"/>
        </w:rPr>
        <w:t>kromné</w:t>
      </w:r>
      <w:r w:rsidRPr="001F52F6">
        <w:rPr>
          <w:rFonts w:ascii="Times New Roman" w:hAnsi="Times New Roman" w:hint="default"/>
          <w:bCs/>
          <w:szCs w:val="24"/>
        </w:rPr>
        <w:t xml:space="preserve"> (hospodá</w:t>
      </w:r>
      <w:r w:rsidRPr="001F52F6">
        <w:rPr>
          <w:rFonts w:ascii="Times New Roman" w:hAnsi="Times New Roman" w:hint="default"/>
          <w:bCs/>
          <w:szCs w:val="24"/>
        </w:rPr>
        <w:t>riace) domá</w:t>
      </w:r>
      <w:r w:rsidRPr="001F52F6">
        <w:rPr>
          <w:rFonts w:ascii="Times New Roman" w:hAnsi="Times New Roman" w:hint="default"/>
          <w:bCs/>
          <w:szCs w:val="24"/>
        </w:rPr>
        <w:t>cnosti. Na zá</w:t>
      </w:r>
      <w:r w:rsidRPr="001F52F6">
        <w:rPr>
          <w:rFonts w:ascii="Times New Roman" w:hAnsi="Times New Roman" w:hint="default"/>
          <w:bCs/>
          <w:szCs w:val="24"/>
        </w:rPr>
        <w:t>klade informá</w:t>
      </w:r>
      <w:r w:rsidRPr="001F52F6">
        <w:rPr>
          <w:rFonts w:ascii="Times New Roman" w:hAnsi="Times New Roman" w:hint="default"/>
          <w:bCs/>
          <w:szCs w:val="24"/>
        </w:rPr>
        <w:t>cií</w:t>
      </w:r>
      <w:r w:rsidRPr="001F52F6">
        <w:rPr>
          <w:rFonts w:ascii="Times New Roman" w:hAnsi="Times New Roman" w:hint="default"/>
          <w:bCs/>
          <w:szCs w:val="24"/>
        </w:rPr>
        <w:t xml:space="preserve"> o spotrebe š</w:t>
      </w:r>
      <w:r w:rsidRPr="001F52F6">
        <w:rPr>
          <w:rFonts w:ascii="Times New Roman" w:hAnsi="Times New Roman" w:hint="default"/>
          <w:bCs/>
          <w:szCs w:val="24"/>
        </w:rPr>
        <w:t>tandardný</w:t>
      </w:r>
      <w:r w:rsidRPr="001F52F6">
        <w:rPr>
          <w:rFonts w:ascii="Times New Roman" w:hAnsi="Times New Roman" w:hint="default"/>
          <w:bCs/>
          <w:szCs w:val="24"/>
        </w:rPr>
        <w:t>ch domá</w:t>
      </w:r>
      <w:r w:rsidRPr="001F52F6">
        <w:rPr>
          <w:rFonts w:ascii="Times New Roman" w:hAnsi="Times New Roman" w:hint="default"/>
          <w:bCs/>
          <w:szCs w:val="24"/>
        </w:rPr>
        <w:t>cností</w:t>
      </w:r>
      <w:r w:rsidRPr="001F52F6">
        <w:rPr>
          <w:rFonts w:ascii="Times New Roman" w:hAnsi="Times New Roman" w:hint="default"/>
          <w:bCs/>
          <w:szCs w:val="24"/>
        </w:rPr>
        <w:t xml:space="preserve"> môž</w:t>
      </w:r>
      <w:r w:rsidRPr="001F52F6">
        <w:rPr>
          <w:rFonts w:ascii="Times New Roman" w:hAnsi="Times New Roman" w:hint="default"/>
          <w:bCs/>
          <w:szCs w:val="24"/>
        </w:rPr>
        <w:t>eme ná</w:t>
      </w:r>
      <w:r w:rsidRPr="001F52F6">
        <w:rPr>
          <w:rFonts w:ascii="Times New Roman" w:hAnsi="Times New Roman" w:hint="default"/>
          <w:bCs/>
          <w:szCs w:val="24"/>
        </w:rPr>
        <w:t>sledne vypočí</w:t>
      </w:r>
      <w:r w:rsidRPr="001F52F6">
        <w:rPr>
          <w:rFonts w:ascii="Times New Roman" w:hAnsi="Times New Roman" w:hint="default"/>
          <w:bCs/>
          <w:szCs w:val="24"/>
        </w:rPr>
        <w:t>tať</w:t>
      </w:r>
      <w:r w:rsidRPr="001F52F6">
        <w:rPr>
          <w:rFonts w:ascii="Times New Roman" w:hAnsi="Times New Roman" w:hint="default"/>
          <w:bCs/>
          <w:szCs w:val="24"/>
        </w:rPr>
        <w:t xml:space="preserve"> zá</w:t>
      </w:r>
      <w:r w:rsidRPr="001F52F6">
        <w:rPr>
          <w:rFonts w:ascii="Times New Roman" w:hAnsi="Times New Roman" w:hint="default"/>
          <w:bCs/>
          <w:szCs w:val="24"/>
        </w:rPr>
        <w:t>klade informá</w:t>
      </w:r>
      <w:r w:rsidRPr="001F52F6">
        <w:rPr>
          <w:rFonts w:ascii="Times New Roman" w:hAnsi="Times New Roman" w:hint="default"/>
          <w:bCs/>
          <w:szCs w:val="24"/>
        </w:rPr>
        <w:t>cií</w:t>
      </w:r>
      <w:r w:rsidRPr="001F52F6">
        <w:rPr>
          <w:rFonts w:ascii="Times New Roman" w:hAnsi="Times New Roman" w:hint="default"/>
          <w:bCs/>
          <w:szCs w:val="24"/>
        </w:rPr>
        <w:t xml:space="preserve"> Š</w:t>
      </w:r>
      <w:r w:rsidRPr="001F52F6">
        <w:rPr>
          <w:rFonts w:ascii="Times New Roman" w:hAnsi="Times New Roman" w:hint="default"/>
          <w:bCs/>
          <w:szCs w:val="24"/>
        </w:rPr>
        <w:t>tatistický</w:t>
      </w:r>
      <w:r w:rsidRPr="001F52F6">
        <w:rPr>
          <w:rFonts w:ascii="Times New Roman" w:hAnsi="Times New Roman" w:hint="default"/>
          <w:bCs/>
          <w:szCs w:val="24"/>
        </w:rPr>
        <w:t xml:space="preserve"> ú</w:t>
      </w:r>
      <w:r w:rsidRPr="001F52F6">
        <w:rPr>
          <w:rFonts w:ascii="Times New Roman" w:hAnsi="Times New Roman" w:hint="default"/>
          <w:bCs/>
          <w:szCs w:val="24"/>
        </w:rPr>
        <w:t>rad eviduje poč</w:t>
      </w:r>
      <w:r w:rsidRPr="001F52F6">
        <w:rPr>
          <w:rFonts w:ascii="Times New Roman" w:hAnsi="Times New Roman" w:hint="default"/>
          <w:bCs/>
          <w:szCs w:val="24"/>
        </w:rPr>
        <w:t>ty</w:t>
      </w:r>
      <w:r>
        <w:rPr>
          <w:rFonts w:ascii="Times New Roman" w:hAnsi="Times New Roman" w:hint="default"/>
          <w:bCs/>
          <w:szCs w:val="24"/>
        </w:rPr>
        <w:t xml:space="preserve"> jednotlivý</w:t>
      </w:r>
      <w:r>
        <w:rPr>
          <w:rFonts w:ascii="Times New Roman" w:hAnsi="Times New Roman" w:hint="default"/>
          <w:bCs/>
          <w:szCs w:val="24"/>
        </w:rPr>
        <w:t>ch typov domá</w:t>
      </w:r>
      <w:r>
        <w:rPr>
          <w:rFonts w:ascii="Times New Roman" w:hAnsi="Times New Roman" w:hint="default"/>
          <w:bCs/>
          <w:szCs w:val="24"/>
        </w:rPr>
        <w:t>cností</w:t>
      </w:r>
      <w:r w:rsidRPr="001F52F6">
        <w:rPr>
          <w:rFonts w:ascii="Times New Roman" w:hAnsi="Times New Roman" w:hint="default"/>
          <w:bCs/>
          <w:szCs w:val="24"/>
        </w:rPr>
        <w:t>, takž</w:t>
      </w:r>
      <w:r w:rsidRPr="001F52F6">
        <w:rPr>
          <w:rFonts w:ascii="Times New Roman" w:hAnsi="Times New Roman" w:hint="default"/>
          <w:bCs/>
          <w:szCs w:val="24"/>
        </w:rPr>
        <w:t>e vie</w:t>
      </w:r>
      <w:r w:rsidRPr="001F52F6">
        <w:rPr>
          <w:rFonts w:ascii="Times New Roman" w:hAnsi="Times New Roman" w:hint="default"/>
          <w:bCs/>
          <w:szCs w:val="24"/>
        </w:rPr>
        <w:t>me ná</w:t>
      </w:r>
      <w:r w:rsidRPr="001F52F6">
        <w:rPr>
          <w:rFonts w:ascii="Times New Roman" w:hAnsi="Times New Roman" w:hint="default"/>
          <w:bCs/>
          <w:szCs w:val="24"/>
        </w:rPr>
        <w:t>sledne vypočí</w:t>
      </w:r>
      <w:r w:rsidRPr="001F52F6">
        <w:rPr>
          <w:rFonts w:ascii="Times New Roman" w:hAnsi="Times New Roman" w:hint="default"/>
          <w:bCs/>
          <w:szCs w:val="24"/>
        </w:rPr>
        <w:t>tať</w:t>
      </w:r>
      <w:r w:rsidRPr="001F52F6">
        <w:rPr>
          <w:rFonts w:ascii="Times New Roman" w:hAnsi="Times New Roman" w:hint="default"/>
          <w:bCs/>
          <w:szCs w:val="24"/>
        </w:rPr>
        <w:t xml:space="preserve"> aj celkový</w:t>
      </w:r>
      <w:r w:rsidRPr="001F52F6">
        <w:rPr>
          <w:rFonts w:ascii="Times New Roman" w:hAnsi="Times New Roman" w:hint="default"/>
          <w:bCs/>
          <w:szCs w:val="24"/>
        </w:rPr>
        <w:t xml:space="preserve"> oč</w:t>
      </w:r>
      <w:r w:rsidRPr="001F52F6">
        <w:rPr>
          <w:rFonts w:ascii="Times New Roman" w:hAnsi="Times New Roman" w:hint="default"/>
          <w:bCs/>
          <w:szCs w:val="24"/>
        </w:rPr>
        <w:t>aká</w:t>
      </w:r>
      <w:r w:rsidRPr="001F52F6">
        <w:rPr>
          <w:rFonts w:ascii="Times New Roman" w:hAnsi="Times New Roman" w:hint="default"/>
          <w:bCs/>
          <w:szCs w:val="24"/>
        </w:rPr>
        <w:t>vaný</w:t>
      </w:r>
      <w:r w:rsidRPr="001F52F6">
        <w:rPr>
          <w:rFonts w:ascii="Times New Roman" w:hAnsi="Times New Roman" w:hint="default"/>
          <w:bCs/>
          <w:szCs w:val="24"/>
        </w:rPr>
        <w:t xml:space="preserve"> vý</w:t>
      </w:r>
      <w:r w:rsidRPr="001F52F6">
        <w:rPr>
          <w:rFonts w:ascii="Times New Roman" w:hAnsi="Times New Roman" w:hint="default"/>
          <w:bCs/>
          <w:szCs w:val="24"/>
        </w:rPr>
        <w:t>padok vý</w:t>
      </w:r>
      <w:r w:rsidRPr="001F52F6">
        <w:rPr>
          <w:rFonts w:ascii="Times New Roman" w:hAnsi="Times New Roman" w:hint="default"/>
          <w:bCs/>
          <w:szCs w:val="24"/>
        </w:rPr>
        <w:t>beru DPH oproti dneš</w:t>
      </w:r>
      <w:r w:rsidRPr="001F52F6">
        <w:rPr>
          <w:rFonts w:ascii="Times New Roman" w:hAnsi="Times New Roman" w:hint="default"/>
          <w:bCs/>
          <w:szCs w:val="24"/>
        </w:rPr>
        <w:t>né</w:t>
      </w:r>
      <w:r w:rsidRPr="001F52F6">
        <w:rPr>
          <w:rFonts w:ascii="Times New Roman" w:hAnsi="Times New Roman" w:hint="default"/>
          <w:bCs/>
          <w:szCs w:val="24"/>
        </w:rPr>
        <w:t xml:space="preserve">mu stavu. Pri </w:t>
      </w:r>
      <w:r>
        <w:rPr>
          <w:rFonts w:ascii="Times New Roman" w:hAnsi="Times New Roman" w:hint="default"/>
          <w:bCs/>
          <w:szCs w:val="24"/>
        </w:rPr>
        <w:t>prepoč</w:t>
      </w:r>
      <w:r>
        <w:rPr>
          <w:rFonts w:ascii="Times New Roman" w:hAnsi="Times New Roman" w:hint="default"/>
          <w:bCs/>
          <w:szCs w:val="24"/>
        </w:rPr>
        <w:t>toch</w:t>
      </w:r>
      <w:r w:rsidRPr="001F52F6">
        <w:rPr>
          <w:rFonts w:ascii="Times New Roman" w:hAnsi="Times New Roman" w:hint="default"/>
          <w:bCs/>
          <w:szCs w:val="24"/>
        </w:rPr>
        <w:t xml:space="preserve"> vý</w:t>
      </w:r>
      <w:r w:rsidRPr="001F52F6">
        <w:rPr>
          <w:rFonts w:ascii="Times New Roman" w:hAnsi="Times New Roman" w:hint="default"/>
          <w:bCs/>
          <w:szCs w:val="24"/>
        </w:rPr>
        <w:t>padku predpokladá</w:t>
      </w:r>
      <w:r w:rsidRPr="001F52F6">
        <w:rPr>
          <w:rFonts w:ascii="Times New Roman" w:hAnsi="Times New Roman" w:hint="default"/>
          <w:bCs/>
          <w:szCs w:val="24"/>
        </w:rPr>
        <w:t>me zachovanie spotreby a maximá</w:t>
      </w:r>
      <w:r w:rsidRPr="001F52F6">
        <w:rPr>
          <w:rFonts w:ascii="Times New Roman" w:hAnsi="Times New Roman" w:hint="default"/>
          <w:bCs/>
          <w:szCs w:val="24"/>
        </w:rPr>
        <w:t>lny scená</w:t>
      </w:r>
      <w:r w:rsidRPr="001F52F6">
        <w:rPr>
          <w:rFonts w:ascii="Times New Roman" w:hAnsi="Times New Roman" w:hint="default"/>
          <w:bCs/>
          <w:szCs w:val="24"/>
        </w:rPr>
        <w:t>r, t.j. ž</w:t>
      </w:r>
      <w:r w:rsidRPr="001F52F6">
        <w:rPr>
          <w:rFonts w:ascii="Times New Roman" w:hAnsi="Times New Roman" w:hint="default"/>
          <w:bCs/>
          <w:szCs w:val="24"/>
        </w:rPr>
        <w:t>e zníž</w:t>
      </w:r>
      <w:r w:rsidRPr="001F52F6">
        <w:rPr>
          <w:rFonts w:ascii="Times New Roman" w:hAnsi="Times New Roman" w:hint="default"/>
          <w:bCs/>
          <w:szCs w:val="24"/>
        </w:rPr>
        <w:t>enie dane sa prejaví</w:t>
      </w:r>
      <w:r w:rsidRPr="001F52F6">
        <w:rPr>
          <w:rFonts w:ascii="Times New Roman" w:hAnsi="Times New Roman" w:hint="default"/>
          <w:bCs/>
          <w:szCs w:val="24"/>
        </w:rPr>
        <w:t xml:space="preserve"> v zníž</w:t>
      </w:r>
      <w:r w:rsidRPr="001F52F6">
        <w:rPr>
          <w:rFonts w:ascii="Times New Roman" w:hAnsi="Times New Roman" w:hint="default"/>
          <w:bCs/>
          <w:szCs w:val="24"/>
        </w:rPr>
        <w:t>ení</w:t>
      </w:r>
      <w:r w:rsidRPr="001F52F6">
        <w:rPr>
          <w:rFonts w:ascii="Times New Roman" w:hAnsi="Times New Roman" w:hint="default"/>
          <w:bCs/>
          <w:szCs w:val="24"/>
        </w:rPr>
        <w:t xml:space="preserve"> ceny v pomere 1 : 1. Počí</w:t>
      </w:r>
      <w:r w:rsidRPr="001F52F6">
        <w:rPr>
          <w:rFonts w:ascii="Times New Roman" w:hAnsi="Times New Roman" w:hint="default"/>
          <w:bCs/>
          <w:szCs w:val="24"/>
        </w:rPr>
        <w:t>tame teda s maximá</w:t>
      </w:r>
      <w:r w:rsidRPr="001F52F6">
        <w:rPr>
          <w:rFonts w:ascii="Times New Roman" w:hAnsi="Times New Roman" w:hint="default"/>
          <w:bCs/>
          <w:szCs w:val="24"/>
        </w:rPr>
        <w:t>lnym mož</w:t>
      </w:r>
      <w:r w:rsidRPr="001F52F6">
        <w:rPr>
          <w:rFonts w:ascii="Times New Roman" w:hAnsi="Times New Roman" w:hint="default"/>
          <w:bCs/>
          <w:szCs w:val="24"/>
        </w:rPr>
        <w:t>ný</w:t>
      </w:r>
      <w:r w:rsidRPr="001F52F6">
        <w:rPr>
          <w:rFonts w:ascii="Times New Roman" w:hAnsi="Times New Roman" w:hint="default"/>
          <w:bCs/>
          <w:szCs w:val="24"/>
        </w:rPr>
        <w:t>m vý</w:t>
      </w:r>
      <w:r w:rsidRPr="001F52F6">
        <w:rPr>
          <w:rFonts w:ascii="Times New Roman" w:hAnsi="Times New Roman" w:hint="default"/>
          <w:bCs/>
          <w:szCs w:val="24"/>
        </w:rPr>
        <w:t>padkom verejný</w:t>
      </w:r>
      <w:r w:rsidRPr="001F52F6">
        <w:rPr>
          <w:rFonts w:ascii="Times New Roman" w:hAnsi="Times New Roman" w:hint="default"/>
          <w:bCs/>
          <w:szCs w:val="24"/>
        </w:rPr>
        <w:t>ch prí</w:t>
      </w:r>
      <w:r w:rsidRPr="001F52F6">
        <w:rPr>
          <w:rFonts w:ascii="Times New Roman" w:hAnsi="Times New Roman" w:hint="default"/>
          <w:bCs/>
          <w:szCs w:val="24"/>
        </w:rPr>
        <w:t>jmov vplyvom zavedenia druhej, nižš</w:t>
      </w:r>
      <w:r w:rsidRPr="001F52F6">
        <w:rPr>
          <w:rFonts w:ascii="Times New Roman" w:hAnsi="Times New Roman" w:hint="default"/>
          <w:bCs/>
          <w:szCs w:val="24"/>
        </w:rPr>
        <w:t>ej sadzby DPH.</w:t>
      </w:r>
    </w:p>
    <w:p w:rsidR="00CC1F5E" w:rsidP="00CC1F5E">
      <w:pPr>
        <w:bidi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noProof/>
          <w:szCs w:val="2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451.62pt;height:147.42pt;visibility:visible" filled="f" stroked="f">
            <v:imagedata r:id="rId4" o:title=""/>
            <o:lock v:ext="edit" aspectratio="t"/>
          </v:shape>
        </w:pict>
      </w:r>
    </w:p>
    <w:p w:rsidR="00CC1F5E" w:rsidP="00CC1F5E">
      <w:pPr>
        <w:bidi w:val="0"/>
        <w:jc w:val="both"/>
        <w:rPr>
          <w:rFonts w:ascii="Times New Roman" w:hAnsi="Times New Roman" w:hint="default"/>
          <w:color w:val="000000"/>
          <w:szCs w:val="24"/>
        </w:rPr>
      </w:pPr>
      <w:r w:rsidRPr="001F52F6">
        <w:rPr>
          <w:rFonts w:ascii="Times New Roman" w:hAnsi="Times New Roman" w:hint="default"/>
          <w:color w:val="000000"/>
          <w:szCs w:val="24"/>
        </w:rPr>
        <w:t>Na zá</w:t>
      </w:r>
      <w:r w:rsidRPr="001F52F6">
        <w:rPr>
          <w:rFonts w:ascii="Times New Roman" w:hAnsi="Times New Roman" w:hint="default"/>
          <w:color w:val="000000"/>
          <w:szCs w:val="24"/>
        </w:rPr>
        <w:t>klade vý</w:t>
      </w:r>
      <w:r w:rsidRPr="001F52F6">
        <w:rPr>
          <w:rFonts w:ascii="Times New Roman" w:hAnsi="Times New Roman" w:hint="default"/>
          <w:color w:val="000000"/>
          <w:szCs w:val="24"/>
        </w:rPr>
        <w:t>poč</w:t>
      </w:r>
      <w:r w:rsidRPr="001F52F6">
        <w:rPr>
          <w:rFonts w:ascii="Times New Roman" w:hAnsi="Times New Roman" w:hint="default"/>
          <w:color w:val="000000"/>
          <w:szCs w:val="24"/>
        </w:rPr>
        <w:t xml:space="preserve">tov </w:t>
      </w:r>
      <w:r>
        <w:rPr>
          <w:rFonts w:ascii="Times New Roman" w:hAnsi="Times New Roman"/>
          <w:color w:val="000000"/>
          <w:szCs w:val="24"/>
        </w:rPr>
        <w:t xml:space="preserve">preto </w:t>
      </w:r>
      <w:r w:rsidRPr="001F52F6">
        <w:rPr>
          <w:rFonts w:ascii="Times New Roman" w:hAnsi="Times New Roman" w:hint="default"/>
          <w:color w:val="000000"/>
          <w:szCs w:val="24"/>
        </w:rPr>
        <w:t>odhadujeme rozpoč</w:t>
      </w:r>
      <w:r w:rsidRPr="001F52F6">
        <w:rPr>
          <w:rFonts w:ascii="Times New Roman" w:hAnsi="Times New Roman" w:hint="default"/>
          <w:color w:val="000000"/>
          <w:szCs w:val="24"/>
        </w:rPr>
        <w:t>tový</w:t>
      </w:r>
      <w:r w:rsidRPr="001F52F6">
        <w:rPr>
          <w:rFonts w:ascii="Times New Roman" w:hAnsi="Times New Roman" w:hint="default"/>
          <w:color w:val="000000"/>
          <w:szCs w:val="24"/>
        </w:rPr>
        <w:t xml:space="preserve"> vý</w:t>
      </w:r>
      <w:r w:rsidRPr="001F52F6">
        <w:rPr>
          <w:rFonts w:ascii="Times New Roman" w:hAnsi="Times New Roman" w:hint="default"/>
          <w:color w:val="000000"/>
          <w:szCs w:val="24"/>
        </w:rPr>
        <w:t>padok zavedenia zníž</w:t>
      </w:r>
      <w:r w:rsidRPr="001F52F6">
        <w:rPr>
          <w:rFonts w:ascii="Times New Roman" w:hAnsi="Times New Roman" w:hint="default"/>
          <w:color w:val="000000"/>
          <w:szCs w:val="24"/>
        </w:rPr>
        <w:t>enej 13 % sadzby DPH na zá</w:t>
      </w:r>
      <w:r w:rsidRPr="001F52F6">
        <w:rPr>
          <w:rFonts w:ascii="Times New Roman" w:hAnsi="Times New Roman" w:hint="default"/>
          <w:color w:val="000000"/>
          <w:szCs w:val="24"/>
        </w:rPr>
        <w:t>kladnú</w:t>
      </w:r>
      <w:r w:rsidRPr="001F52F6">
        <w:rPr>
          <w:rFonts w:ascii="Times New Roman" w:hAnsi="Times New Roman" w:hint="default"/>
          <w:color w:val="000000"/>
          <w:szCs w:val="24"/>
        </w:rPr>
        <w:t xml:space="preserve"> spotrebu domá</w:t>
      </w:r>
      <w:r w:rsidRPr="001F52F6">
        <w:rPr>
          <w:rFonts w:ascii="Times New Roman" w:hAnsi="Times New Roman" w:hint="default"/>
          <w:color w:val="000000"/>
          <w:szCs w:val="24"/>
        </w:rPr>
        <w:t>cností</w:t>
      </w:r>
      <w:r w:rsidRPr="001F52F6">
        <w:rPr>
          <w:rFonts w:ascii="Times New Roman" w:hAnsi="Times New Roman" w:hint="default"/>
          <w:color w:val="000000"/>
          <w:szCs w:val="24"/>
        </w:rPr>
        <w:t xml:space="preserve"> na 424 mil. eur roč</w:t>
      </w:r>
      <w:r w:rsidRPr="001F52F6">
        <w:rPr>
          <w:rFonts w:ascii="Times New Roman" w:hAnsi="Times New Roman" w:hint="default"/>
          <w:color w:val="000000"/>
          <w:szCs w:val="24"/>
        </w:rPr>
        <w:t>ne.</w:t>
      </w:r>
      <w:r>
        <w:rPr>
          <w:rFonts w:ascii="Times New Roman" w:hAnsi="Times New Roman" w:hint="default"/>
          <w:color w:val="000000"/>
          <w:szCs w:val="24"/>
        </w:rPr>
        <w:t xml:space="preserve"> Je vysoká</w:t>
      </w:r>
      <w:r>
        <w:rPr>
          <w:rFonts w:ascii="Times New Roman" w:hAnsi="Times New Roman" w:hint="default"/>
          <w:color w:val="000000"/>
          <w:szCs w:val="24"/>
        </w:rPr>
        <w:t xml:space="preserve"> pravdepodobnosť</w:t>
      </w:r>
      <w:r>
        <w:rPr>
          <w:rFonts w:ascii="Times New Roman" w:hAnsi="Times New Roman" w:hint="default"/>
          <w:color w:val="000000"/>
          <w:szCs w:val="24"/>
        </w:rPr>
        <w:t>, ž</w:t>
      </w:r>
      <w:r>
        <w:rPr>
          <w:rFonts w:ascii="Times New Roman" w:hAnsi="Times New Roman" w:hint="default"/>
          <w:color w:val="000000"/>
          <w:szCs w:val="24"/>
        </w:rPr>
        <w:t>e sk</w:t>
      </w:r>
      <w:r>
        <w:rPr>
          <w:rFonts w:ascii="Times New Roman" w:hAnsi="Times New Roman" w:hint="default"/>
          <w:color w:val="000000"/>
          <w:szCs w:val="24"/>
        </w:rPr>
        <w:t>utoč</w:t>
      </w:r>
      <w:r>
        <w:rPr>
          <w:rFonts w:ascii="Times New Roman" w:hAnsi="Times New Roman" w:hint="default"/>
          <w:color w:val="000000"/>
          <w:szCs w:val="24"/>
        </w:rPr>
        <w:t>ný</w:t>
      </w:r>
      <w:r>
        <w:rPr>
          <w:rFonts w:ascii="Times New Roman" w:hAnsi="Times New Roman" w:hint="default"/>
          <w:color w:val="000000"/>
          <w:szCs w:val="24"/>
        </w:rPr>
        <w:t xml:space="preserve"> dopad na š</w:t>
      </w:r>
      <w:r>
        <w:rPr>
          <w:rFonts w:ascii="Times New Roman" w:hAnsi="Times New Roman" w:hint="default"/>
          <w:color w:val="000000"/>
          <w:szCs w:val="24"/>
        </w:rPr>
        <w:t>tá</w:t>
      </w:r>
      <w:r>
        <w:rPr>
          <w:rFonts w:ascii="Times New Roman" w:hAnsi="Times New Roman" w:hint="default"/>
          <w:color w:val="000000"/>
          <w:szCs w:val="24"/>
        </w:rPr>
        <w:t>tny rozpoč</w:t>
      </w:r>
      <w:r>
        <w:rPr>
          <w:rFonts w:ascii="Times New Roman" w:hAnsi="Times New Roman" w:hint="default"/>
          <w:color w:val="000000"/>
          <w:szCs w:val="24"/>
        </w:rPr>
        <w:t>et bude vý</w:t>
      </w:r>
      <w:r>
        <w:rPr>
          <w:rFonts w:ascii="Times New Roman" w:hAnsi="Times New Roman" w:hint="default"/>
          <w:color w:val="000000"/>
          <w:szCs w:val="24"/>
        </w:rPr>
        <w:t>razne nižší</w:t>
      </w:r>
      <w:r>
        <w:rPr>
          <w:rFonts w:ascii="Times New Roman" w:hAnsi="Times New Roman" w:hint="default"/>
          <w:color w:val="000000"/>
          <w:szCs w:val="24"/>
        </w:rPr>
        <w:t>, a to jednak z dô</w:t>
      </w:r>
      <w:r>
        <w:rPr>
          <w:rFonts w:ascii="Times New Roman" w:hAnsi="Times New Roman" w:hint="default"/>
          <w:color w:val="000000"/>
          <w:szCs w:val="24"/>
        </w:rPr>
        <w:t>vodu, ž</w:t>
      </w:r>
      <w:r>
        <w:rPr>
          <w:rFonts w:ascii="Times New Roman" w:hAnsi="Times New Roman" w:hint="default"/>
          <w:color w:val="000000"/>
          <w:szCs w:val="24"/>
        </w:rPr>
        <w:t>e nie celé</w:t>
      </w:r>
      <w:r>
        <w:rPr>
          <w:rFonts w:ascii="Times New Roman" w:hAnsi="Times New Roman" w:hint="default"/>
          <w:color w:val="000000"/>
          <w:szCs w:val="24"/>
        </w:rPr>
        <w:t xml:space="preserve"> zníž</w:t>
      </w:r>
      <w:r>
        <w:rPr>
          <w:rFonts w:ascii="Times New Roman" w:hAnsi="Times New Roman" w:hint="default"/>
          <w:color w:val="000000"/>
          <w:szCs w:val="24"/>
        </w:rPr>
        <w:t>enie DPH v prí</w:t>
      </w:r>
      <w:r>
        <w:rPr>
          <w:rFonts w:ascii="Times New Roman" w:hAnsi="Times New Roman" w:hint="default"/>
          <w:color w:val="000000"/>
          <w:szCs w:val="24"/>
        </w:rPr>
        <w:t>pade potraví</w:t>
      </w:r>
      <w:r>
        <w:rPr>
          <w:rFonts w:ascii="Times New Roman" w:hAnsi="Times New Roman" w:hint="default"/>
          <w:color w:val="000000"/>
          <w:szCs w:val="24"/>
        </w:rPr>
        <w:t>n bude nevyhnutne prenesené</w:t>
      </w:r>
      <w:r>
        <w:rPr>
          <w:rFonts w:ascii="Times New Roman" w:hAnsi="Times New Roman" w:hint="default"/>
          <w:color w:val="000000"/>
          <w:szCs w:val="24"/>
        </w:rPr>
        <w:t xml:space="preserve"> do zníž</w:t>
      </w:r>
      <w:r>
        <w:rPr>
          <w:rFonts w:ascii="Times New Roman" w:hAnsi="Times New Roman" w:hint="default"/>
          <w:color w:val="000000"/>
          <w:szCs w:val="24"/>
        </w:rPr>
        <w:t>enia cien (v prí</w:t>
      </w:r>
      <w:r>
        <w:rPr>
          <w:rFonts w:ascii="Times New Roman" w:hAnsi="Times New Roman" w:hint="default"/>
          <w:color w:val="000000"/>
          <w:szCs w:val="24"/>
        </w:rPr>
        <w:t>pade energií</w:t>
      </w:r>
      <w:r>
        <w:rPr>
          <w:rFonts w:ascii="Times New Roman" w:hAnsi="Times New Roman" w:hint="default"/>
          <w:color w:val="000000"/>
          <w:szCs w:val="24"/>
        </w:rPr>
        <w:t xml:space="preserve"> pre domá</w:t>
      </w:r>
      <w:r>
        <w:rPr>
          <w:rFonts w:ascii="Times New Roman" w:hAnsi="Times New Roman" w:hint="default"/>
          <w:color w:val="000000"/>
          <w:szCs w:val="24"/>
        </w:rPr>
        <w:t>cnosti, kde sú</w:t>
      </w:r>
      <w:r>
        <w:rPr>
          <w:rFonts w:ascii="Times New Roman" w:hAnsi="Times New Roman" w:hint="default"/>
          <w:color w:val="000000"/>
          <w:szCs w:val="24"/>
        </w:rPr>
        <w:t xml:space="preserve"> ceny regulované</w:t>
      </w:r>
      <w:r>
        <w:rPr>
          <w:rFonts w:ascii="Times New Roman" w:hAnsi="Times New Roman" w:hint="default"/>
          <w:color w:val="000000"/>
          <w:szCs w:val="24"/>
        </w:rPr>
        <w:t>, je mož</w:t>
      </w:r>
      <w:r>
        <w:rPr>
          <w:rFonts w:ascii="Times New Roman" w:hAnsi="Times New Roman" w:hint="default"/>
          <w:color w:val="000000"/>
          <w:szCs w:val="24"/>
        </w:rPr>
        <w:t>né</w:t>
      </w:r>
      <w:r>
        <w:rPr>
          <w:rFonts w:ascii="Times New Roman" w:hAnsi="Times New Roman" w:hint="default"/>
          <w:color w:val="000000"/>
          <w:szCs w:val="24"/>
        </w:rPr>
        <w:t xml:space="preserve"> oč</w:t>
      </w:r>
      <w:r>
        <w:rPr>
          <w:rFonts w:ascii="Times New Roman" w:hAnsi="Times New Roman" w:hint="default"/>
          <w:color w:val="000000"/>
          <w:szCs w:val="24"/>
        </w:rPr>
        <w:t>aká</w:t>
      </w:r>
      <w:r>
        <w:rPr>
          <w:rFonts w:ascii="Times New Roman" w:hAnsi="Times New Roman" w:hint="default"/>
          <w:color w:val="000000"/>
          <w:szCs w:val="24"/>
        </w:rPr>
        <w:t>vať</w:t>
      </w:r>
      <w:r>
        <w:rPr>
          <w:rFonts w:ascii="Times New Roman" w:hAnsi="Times New Roman" w:hint="default"/>
          <w:color w:val="000000"/>
          <w:szCs w:val="24"/>
        </w:rPr>
        <w:t xml:space="preserve"> takmer ú</w:t>
      </w:r>
      <w:r>
        <w:rPr>
          <w:rFonts w:ascii="Times New Roman" w:hAnsi="Times New Roman" w:hint="default"/>
          <w:color w:val="000000"/>
          <w:szCs w:val="24"/>
        </w:rPr>
        <w:t>plný</w:t>
      </w:r>
      <w:r>
        <w:rPr>
          <w:rFonts w:ascii="Times New Roman" w:hAnsi="Times New Roman" w:hint="default"/>
          <w:color w:val="000000"/>
          <w:szCs w:val="24"/>
        </w:rPr>
        <w:t xml:space="preserve"> pres</w:t>
      </w:r>
      <w:r>
        <w:rPr>
          <w:rFonts w:ascii="Times New Roman" w:hAnsi="Times New Roman" w:hint="default"/>
          <w:color w:val="000000"/>
          <w:szCs w:val="24"/>
        </w:rPr>
        <w:t>u</w:t>
      </w:r>
      <w:r>
        <w:rPr>
          <w:rFonts w:ascii="Times New Roman" w:hAnsi="Times New Roman" w:hint="default"/>
          <w:color w:val="000000"/>
          <w:szCs w:val="24"/>
        </w:rPr>
        <w:t>n do cien), a jednak z dô</w:t>
      </w:r>
      <w:r>
        <w:rPr>
          <w:rFonts w:ascii="Times New Roman" w:hAnsi="Times New Roman" w:hint="default"/>
          <w:color w:val="000000"/>
          <w:szCs w:val="24"/>
        </w:rPr>
        <w:t>vodu dynamický</w:t>
      </w:r>
      <w:r>
        <w:rPr>
          <w:rFonts w:ascii="Times New Roman" w:hAnsi="Times New Roman" w:hint="default"/>
          <w:color w:val="000000"/>
          <w:szCs w:val="24"/>
        </w:rPr>
        <w:t>ch efektov: ú</w:t>
      </w:r>
      <w:r>
        <w:rPr>
          <w:rFonts w:ascii="Times New Roman" w:hAnsi="Times New Roman" w:hint="default"/>
          <w:color w:val="000000"/>
          <w:szCs w:val="24"/>
        </w:rPr>
        <w:t>spora vo vý</w:t>
      </w:r>
      <w:r>
        <w:rPr>
          <w:rFonts w:ascii="Times New Roman" w:hAnsi="Times New Roman" w:hint="default"/>
          <w:color w:val="000000"/>
          <w:szCs w:val="24"/>
        </w:rPr>
        <w:t>davkoch vytvorí</w:t>
      </w:r>
      <w:r>
        <w:rPr>
          <w:rFonts w:ascii="Times New Roman" w:hAnsi="Times New Roman" w:hint="default"/>
          <w:color w:val="000000"/>
          <w:szCs w:val="24"/>
        </w:rPr>
        <w:t xml:space="preserve"> pre domá</w:t>
      </w:r>
      <w:r>
        <w:rPr>
          <w:rFonts w:ascii="Times New Roman" w:hAnsi="Times New Roman" w:hint="default"/>
          <w:color w:val="000000"/>
          <w:szCs w:val="24"/>
        </w:rPr>
        <w:t>cnosti priestor pre dodatoč</w:t>
      </w:r>
      <w:r>
        <w:rPr>
          <w:rFonts w:ascii="Times New Roman" w:hAnsi="Times New Roman" w:hint="default"/>
          <w:color w:val="000000"/>
          <w:szCs w:val="24"/>
        </w:rPr>
        <w:t>nú</w:t>
      </w:r>
      <w:r>
        <w:rPr>
          <w:rFonts w:ascii="Times New Roman" w:hAnsi="Times New Roman" w:hint="default"/>
          <w:color w:val="000000"/>
          <w:szCs w:val="24"/>
        </w:rPr>
        <w:t xml:space="preserve"> spotrebu, z ktorej vyplynie dodatoč</w:t>
      </w:r>
      <w:r>
        <w:rPr>
          <w:rFonts w:ascii="Times New Roman" w:hAnsi="Times New Roman" w:hint="default"/>
          <w:color w:val="000000"/>
          <w:szCs w:val="24"/>
        </w:rPr>
        <w:t>ný</w:t>
      </w:r>
      <w:r>
        <w:rPr>
          <w:rFonts w:ascii="Times New Roman" w:hAnsi="Times New Roman" w:hint="default"/>
          <w:color w:val="000000"/>
          <w:szCs w:val="24"/>
        </w:rPr>
        <w:t xml:space="preserve"> vý</w:t>
      </w:r>
      <w:r>
        <w:rPr>
          <w:rFonts w:ascii="Times New Roman" w:hAnsi="Times New Roman" w:hint="default"/>
          <w:color w:val="000000"/>
          <w:szCs w:val="24"/>
        </w:rPr>
        <w:t>ber DPH. Reá</w:t>
      </w:r>
      <w:r>
        <w:rPr>
          <w:rFonts w:ascii="Times New Roman" w:hAnsi="Times New Roman" w:hint="default"/>
          <w:color w:val="000000"/>
          <w:szCs w:val="24"/>
        </w:rPr>
        <w:t>lny vý</w:t>
      </w:r>
      <w:r>
        <w:rPr>
          <w:rFonts w:ascii="Times New Roman" w:hAnsi="Times New Roman" w:hint="default"/>
          <w:color w:val="000000"/>
          <w:szCs w:val="24"/>
        </w:rPr>
        <w:t>padok prí</w:t>
      </w:r>
      <w:r>
        <w:rPr>
          <w:rFonts w:ascii="Times New Roman" w:hAnsi="Times New Roman" w:hint="default"/>
          <w:color w:val="000000"/>
          <w:szCs w:val="24"/>
        </w:rPr>
        <w:t>jmov verejný</w:t>
      </w:r>
      <w:r>
        <w:rPr>
          <w:rFonts w:ascii="Times New Roman" w:hAnsi="Times New Roman" w:hint="default"/>
          <w:color w:val="000000"/>
          <w:szCs w:val="24"/>
        </w:rPr>
        <w:t>ch rozpoč</w:t>
      </w:r>
      <w:r>
        <w:rPr>
          <w:rFonts w:ascii="Times New Roman" w:hAnsi="Times New Roman" w:hint="default"/>
          <w:color w:val="000000"/>
          <w:szCs w:val="24"/>
        </w:rPr>
        <w:t>tov je teda mož</w:t>
      </w:r>
      <w:r>
        <w:rPr>
          <w:rFonts w:ascii="Times New Roman" w:hAnsi="Times New Roman" w:hint="default"/>
          <w:color w:val="000000"/>
          <w:szCs w:val="24"/>
        </w:rPr>
        <w:t>né</w:t>
      </w:r>
      <w:r>
        <w:rPr>
          <w:rFonts w:ascii="Times New Roman" w:hAnsi="Times New Roman" w:hint="default"/>
          <w:color w:val="000000"/>
          <w:szCs w:val="24"/>
        </w:rPr>
        <w:t xml:space="preserve"> oč</w:t>
      </w:r>
      <w:r>
        <w:rPr>
          <w:rFonts w:ascii="Times New Roman" w:hAnsi="Times New Roman" w:hint="default"/>
          <w:color w:val="000000"/>
          <w:szCs w:val="24"/>
        </w:rPr>
        <w:t>aká</w:t>
      </w:r>
      <w:r>
        <w:rPr>
          <w:rFonts w:ascii="Times New Roman" w:hAnsi="Times New Roman" w:hint="default"/>
          <w:color w:val="000000"/>
          <w:szCs w:val="24"/>
        </w:rPr>
        <w:t>vať</w:t>
      </w:r>
      <w:r>
        <w:rPr>
          <w:rFonts w:ascii="Times New Roman" w:hAnsi="Times New Roman" w:hint="default"/>
          <w:color w:val="000000"/>
          <w:szCs w:val="24"/>
        </w:rPr>
        <w:t xml:space="preserve"> na ú</w:t>
      </w:r>
      <w:r>
        <w:rPr>
          <w:rFonts w:ascii="Times New Roman" w:hAnsi="Times New Roman" w:hint="default"/>
          <w:color w:val="000000"/>
          <w:szCs w:val="24"/>
        </w:rPr>
        <w:t>rovni 300 - 400 mil</w:t>
      </w:r>
      <w:r>
        <w:rPr>
          <w:rFonts w:ascii="Times New Roman" w:hAnsi="Times New Roman" w:hint="default"/>
          <w:color w:val="000000"/>
          <w:szCs w:val="24"/>
        </w:rPr>
        <w:t>i</w:t>
      </w:r>
      <w:r>
        <w:rPr>
          <w:rFonts w:ascii="Times New Roman" w:hAnsi="Times New Roman" w:hint="default"/>
          <w:color w:val="000000"/>
          <w:szCs w:val="24"/>
        </w:rPr>
        <w:t>ó</w:t>
      </w:r>
      <w:r>
        <w:rPr>
          <w:rFonts w:ascii="Times New Roman" w:hAnsi="Times New Roman" w:hint="default"/>
          <w:color w:val="000000"/>
          <w:szCs w:val="24"/>
        </w:rPr>
        <w:t>nov eur.</w:t>
      </w:r>
    </w:p>
    <w:p w:rsidR="00DD673B" w:rsidP="00DD673B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p w:rsidR="00CC1F5E" w:rsidP="00CC1F5E">
      <w:pPr>
        <w:bidi w:val="0"/>
        <w:jc w:val="both"/>
        <w:rPr>
          <w:rFonts w:ascii="Times New Roman" w:hAnsi="Times New Roman" w:hint="default"/>
          <w:color w:val="000000"/>
          <w:szCs w:val="24"/>
        </w:rPr>
      </w:pPr>
      <w:r>
        <w:rPr>
          <w:rFonts w:ascii="Times New Roman" w:hAnsi="Times New Roman" w:hint="default"/>
          <w:color w:val="000000"/>
          <w:szCs w:val="24"/>
        </w:rPr>
        <w:t>Skupina poslancov na druhej strane predkladá</w:t>
      </w:r>
      <w:r>
        <w:rPr>
          <w:rFonts w:ascii="Times New Roman" w:hAnsi="Times New Roman" w:hint="default"/>
          <w:color w:val="000000"/>
          <w:szCs w:val="24"/>
        </w:rPr>
        <w:t xml:space="preserve"> celkový</w:t>
      </w:r>
      <w:r>
        <w:rPr>
          <w:rFonts w:ascii="Times New Roman" w:hAnsi="Times New Roman" w:hint="default"/>
          <w:color w:val="000000"/>
          <w:szCs w:val="24"/>
        </w:rPr>
        <w:t xml:space="preserve"> plá</w:t>
      </w:r>
      <w:r>
        <w:rPr>
          <w:rFonts w:ascii="Times New Roman" w:hAnsi="Times New Roman" w:hint="default"/>
          <w:color w:val="000000"/>
          <w:szCs w:val="24"/>
        </w:rPr>
        <w:t>n ú</w:t>
      </w:r>
      <w:r>
        <w:rPr>
          <w:rFonts w:ascii="Times New Roman" w:hAnsi="Times New Roman" w:hint="default"/>
          <w:color w:val="000000"/>
          <w:szCs w:val="24"/>
        </w:rPr>
        <w:t>spor vo verejný</w:t>
      </w:r>
      <w:r>
        <w:rPr>
          <w:rFonts w:ascii="Times New Roman" w:hAnsi="Times New Roman" w:hint="default"/>
          <w:color w:val="000000"/>
          <w:szCs w:val="24"/>
        </w:rPr>
        <w:t>ch financiá</w:t>
      </w:r>
      <w:r>
        <w:rPr>
          <w:rFonts w:ascii="Times New Roman" w:hAnsi="Times New Roman" w:hint="default"/>
          <w:color w:val="000000"/>
          <w:szCs w:val="24"/>
        </w:rPr>
        <w:t>ch, z ktorý</w:t>
      </w:r>
      <w:r>
        <w:rPr>
          <w:rFonts w:ascii="Times New Roman" w:hAnsi="Times New Roman" w:hint="default"/>
          <w:color w:val="000000"/>
          <w:szCs w:val="24"/>
        </w:rPr>
        <w:t>ch je mož</w:t>
      </w:r>
      <w:r>
        <w:rPr>
          <w:rFonts w:ascii="Times New Roman" w:hAnsi="Times New Roman" w:hint="default"/>
          <w:color w:val="000000"/>
          <w:szCs w:val="24"/>
        </w:rPr>
        <w:t>né</w:t>
      </w:r>
      <w:r>
        <w:rPr>
          <w:rFonts w:ascii="Times New Roman" w:hAnsi="Times New Roman" w:hint="default"/>
          <w:color w:val="000000"/>
          <w:szCs w:val="24"/>
        </w:rPr>
        <w:t xml:space="preserve"> kompenzovať</w:t>
      </w:r>
      <w:r>
        <w:rPr>
          <w:rFonts w:ascii="Times New Roman" w:hAnsi="Times New Roman" w:hint="default"/>
          <w:color w:val="000000"/>
          <w:szCs w:val="24"/>
        </w:rPr>
        <w:t xml:space="preserve"> tento vý</w:t>
      </w:r>
      <w:r>
        <w:rPr>
          <w:rFonts w:ascii="Times New Roman" w:hAnsi="Times New Roman" w:hint="default"/>
          <w:color w:val="000000"/>
          <w:szCs w:val="24"/>
        </w:rPr>
        <w:t xml:space="preserve">padok </w:t>
      </w:r>
      <w:r>
        <w:rPr>
          <w:rFonts w:ascii="Times New Roman" w:hAnsi="Times New Roman" w:hint="default"/>
          <w:i/>
          <w:color w:val="000000"/>
          <w:szCs w:val="24"/>
        </w:rPr>
        <w:t>niekoľ</w:t>
      </w:r>
      <w:r>
        <w:rPr>
          <w:rFonts w:ascii="Times New Roman" w:hAnsi="Times New Roman" w:hint="default"/>
          <w:i/>
          <w:color w:val="000000"/>
          <w:szCs w:val="24"/>
        </w:rPr>
        <w:t>koná</w:t>
      </w:r>
      <w:r>
        <w:rPr>
          <w:rFonts w:ascii="Times New Roman" w:hAnsi="Times New Roman" w:hint="default"/>
          <w:i/>
          <w:color w:val="000000"/>
          <w:szCs w:val="24"/>
        </w:rPr>
        <w:t>sobne</w:t>
      </w:r>
      <w:r>
        <w:rPr>
          <w:rFonts w:ascii="Times New Roman" w:hAnsi="Times New Roman" w:hint="default"/>
          <w:color w:val="000000"/>
          <w:szCs w:val="24"/>
        </w:rPr>
        <w:t>. Celkový</w:t>
      </w:r>
      <w:r>
        <w:rPr>
          <w:rFonts w:ascii="Times New Roman" w:hAnsi="Times New Roman" w:hint="default"/>
          <w:color w:val="000000"/>
          <w:szCs w:val="24"/>
        </w:rPr>
        <w:t xml:space="preserve"> plá</w:t>
      </w:r>
      <w:r>
        <w:rPr>
          <w:rFonts w:ascii="Times New Roman" w:hAnsi="Times New Roman" w:hint="default"/>
          <w:color w:val="000000"/>
          <w:szCs w:val="24"/>
        </w:rPr>
        <w:t>n ú</w:t>
      </w:r>
      <w:r>
        <w:rPr>
          <w:rFonts w:ascii="Times New Roman" w:hAnsi="Times New Roman" w:hint="default"/>
          <w:color w:val="000000"/>
          <w:szCs w:val="24"/>
        </w:rPr>
        <w:t>spor dosahuje sumu najmenej 819 milió</w:t>
      </w:r>
      <w:r>
        <w:rPr>
          <w:rFonts w:ascii="Times New Roman" w:hAnsi="Times New Roman" w:hint="default"/>
          <w:color w:val="000000"/>
          <w:szCs w:val="24"/>
        </w:rPr>
        <w:t>nov eur, a je uvedený</w:t>
      </w:r>
      <w:r>
        <w:rPr>
          <w:rFonts w:ascii="Times New Roman" w:hAnsi="Times New Roman" w:hint="default"/>
          <w:color w:val="000000"/>
          <w:szCs w:val="24"/>
        </w:rPr>
        <w:t xml:space="preserve"> v nasledujú</w:t>
      </w:r>
      <w:r>
        <w:rPr>
          <w:rFonts w:ascii="Times New Roman" w:hAnsi="Times New Roman" w:hint="default"/>
          <w:color w:val="000000"/>
          <w:szCs w:val="24"/>
        </w:rPr>
        <w:t>cej tabuľ</w:t>
      </w:r>
      <w:r>
        <w:rPr>
          <w:rFonts w:ascii="Times New Roman" w:hAnsi="Times New Roman" w:hint="default"/>
          <w:color w:val="000000"/>
          <w:szCs w:val="24"/>
        </w:rPr>
        <w:t>k</w:t>
      </w:r>
      <w:r>
        <w:rPr>
          <w:rFonts w:ascii="Times New Roman" w:hAnsi="Times New Roman" w:hint="default"/>
          <w:color w:val="000000"/>
          <w:szCs w:val="24"/>
        </w:rPr>
        <w:t>e:</w:t>
      </w:r>
    </w:p>
    <w:p w:rsidR="00DD673B" w:rsidP="00DD673B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262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Oblasť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spory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Verejné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davky 2014*</w:t>
            </w:r>
          </w:p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(v mil. EUR)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Navrhovaná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spora</w:t>
            </w:r>
          </w:p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(v mil. EUR)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"Druhý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sociá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lny balíč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ek"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 xml:space="preserve">200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 xml:space="preserve">150 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Zníž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enie poč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tu zamestnancov vo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5 430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270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Prevá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dzkové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davky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3 420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Kapitá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lové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davky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3 227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107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Obmedzenie spolufinancovania europrojektov (rok 2015)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Ž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eleznič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ná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doprava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1 000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roky na obsluhu verejné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ho dlhu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1 372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spory spolu najmenej: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819</w:t>
            </w:r>
          </w:p>
        </w:tc>
      </w:tr>
    </w:tbl>
    <w:p w:rsidR="00DD673B" w:rsidRPr="00793431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 A.5. Stanovisko gestorov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</w:p>
    <w:p w:rsidR="00793431" w:rsidRPr="00A13401" w:rsidP="00793431">
      <w:pPr>
        <w:bidi w:val="0"/>
        <w:rPr>
          <w:rFonts w:ascii="Times New Roman" w:hAnsi="Times New Roman"/>
          <w:szCs w:val="24"/>
        </w:rPr>
      </w:pPr>
    </w:p>
    <w:p w:rsidR="003C35A1" w:rsidRPr="00DD74FB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DD74FB"/>
    <w:rsid w:val="00005D13"/>
    <w:rsid w:val="001F52F6"/>
    <w:rsid w:val="00241883"/>
    <w:rsid w:val="003B6BA8"/>
    <w:rsid w:val="003C35A1"/>
    <w:rsid w:val="00783559"/>
    <w:rsid w:val="00793431"/>
    <w:rsid w:val="009902DD"/>
    <w:rsid w:val="009F75C9"/>
    <w:rsid w:val="00A13401"/>
    <w:rsid w:val="00AC11EE"/>
    <w:rsid w:val="00AF4E3A"/>
    <w:rsid w:val="00CB7D8F"/>
    <w:rsid w:val="00CC1F5E"/>
    <w:rsid w:val="00D84087"/>
    <w:rsid w:val="00DD673B"/>
    <w:rsid w:val="00DD74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3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9343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793431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F5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F5E"/>
    <w:rPr>
      <w:rFonts w:ascii="Tahoma" w:eastAsia="Calibri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521</Words>
  <Characters>2974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2015-05-29T13:33:00Z</dcterms:created>
  <dcterms:modified xsi:type="dcterms:W3CDTF">2015-05-29T13:33:00Z</dcterms:modified>
</cp:coreProperties>
</file>