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50BB" w:rsidRPr="00E35A5E" w:rsidP="004D50BB">
      <w:pPr>
        <w:bidi w:val="0"/>
        <w:ind w:right="-108"/>
        <w:jc w:val="center"/>
        <w:rPr>
          <w:rFonts w:ascii="Times New Roman" w:hAnsi="Times New Roman"/>
          <w:b/>
          <w:bCs/>
          <w:sz w:val="22"/>
          <w:szCs w:val="22"/>
        </w:rPr>
      </w:pPr>
      <w:r w:rsidRPr="00E35A5E">
        <w:rPr>
          <w:rFonts w:ascii="Times New Roman" w:hAnsi="Times New Roman"/>
          <w:b/>
          <w:bCs/>
          <w:sz w:val="22"/>
          <w:szCs w:val="22"/>
        </w:rPr>
        <w:t>Doložka vybraných vplyvov</w:t>
      </w:r>
    </w:p>
    <w:p w:rsidR="004D50BB" w:rsidRPr="00E35A5E" w:rsidP="004D50BB">
      <w:pPr>
        <w:bidi w:val="0"/>
        <w:ind w:right="-108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4D50BB" w:rsidRPr="00E35A5E" w:rsidP="004D50BB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4D50BB" w:rsidRPr="00E35A5E" w:rsidP="004D50BB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4D50BB" w:rsidRPr="00E35A5E" w:rsidP="004D50BB">
      <w:pPr>
        <w:bidi w:val="0"/>
        <w:rPr>
          <w:rFonts w:ascii="Times New Roman" w:hAnsi="Times New Roman"/>
          <w:b/>
          <w:bCs/>
          <w:sz w:val="22"/>
          <w:szCs w:val="22"/>
        </w:rPr>
      </w:pPr>
      <w:r w:rsidRPr="00E35A5E">
        <w:rPr>
          <w:rFonts w:ascii="Times New Roman" w:hAnsi="Times New Roman"/>
          <w:b/>
          <w:bCs/>
          <w:sz w:val="22"/>
          <w:szCs w:val="22"/>
        </w:rPr>
        <w:t>A.1. Názov materiálu:</w:t>
      </w:r>
    </w:p>
    <w:p w:rsidR="004D50BB" w:rsidRPr="00E35A5E" w:rsidP="004D50BB">
      <w:pPr>
        <w:bidi w:val="0"/>
        <w:rPr>
          <w:rFonts w:ascii="Times New Roman" w:hAnsi="Times New Roman"/>
          <w:b/>
          <w:sz w:val="22"/>
          <w:szCs w:val="22"/>
        </w:rPr>
      </w:pPr>
    </w:p>
    <w:p w:rsidR="00D06598" w:rsidRPr="00E35A5E" w:rsidP="007C1D75">
      <w:pPr>
        <w:bidi w:val="0"/>
        <w:jc w:val="both"/>
        <w:rPr>
          <w:rFonts w:ascii="Times New Roman" w:hAnsi="Times New Roman"/>
          <w:sz w:val="22"/>
          <w:szCs w:val="22"/>
        </w:rPr>
      </w:pPr>
      <w:r w:rsidR="007C1D75">
        <w:rPr>
          <w:rFonts w:ascii="Times New Roman" w:hAnsi="Times New Roman"/>
          <w:sz w:val="22"/>
          <w:szCs w:val="22"/>
        </w:rPr>
        <w:t xml:space="preserve">Návrh zákona, </w:t>
      </w:r>
      <w:r w:rsidR="007C1D75">
        <w:rPr>
          <w:rFonts w:ascii="Times New Roman" w:hAnsi="Times New Roman"/>
          <w:sz w:val="22"/>
          <w:szCs w:val="22"/>
        </w:rPr>
        <w:t>ktorým sa mení a dopĺňa zákon č. 305/2013 Z. z. o elektronickej podobe výkonu pôsobnosti orgánov verejnej moci a o zmene a doplnení niektorých zákonov (zákon o e-Governmente) v znení neskorších predpisov a o zmen</w:t>
      </w:r>
      <w:r w:rsidR="007C1D75">
        <w:rPr>
          <w:rFonts w:ascii="Times New Roman" w:hAnsi="Times New Roman"/>
          <w:sz w:val="22"/>
          <w:szCs w:val="22"/>
        </w:rPr>
        <w:t>e a doplnení niektorých zákonov</w:t>
      </w:r>
      <w:r w:rsidRPr="00E35A5E" w:rsidR="00337737">
        <w:rPr>
          <w:rFonts w:ascii="Times New Roman" w:hAnsi="Times New Roman"/>
          <w:sz w:val="22"/>
          <w:szCs w:val="22"/>
        </w:rPr>
        <w:t>.</w:t>
      </w:r>
    </w:p>
    <w:p w:rsidR="004D50BB" w:rsidRPr="00E35A5E" w:rsidP="004D50BB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4D50BB" w:rsidRPr="00E35A5E" w:rsidP="004D50BB">
      <w:pPr>
        <w:bidi w:val="0"/>
        <w:rPr>
          <w:rFonts w:ascii="Times New Roman" w:hAnsi="Times New Roman"/>
          <w:b/>
          <w:bCs/>
          <w:sz w:val="22"/>
          <w:szCs w:val="22"/>
        </w:rPr>
      </w:pPr>
      <w:r w:rsidRPr="00E35A5E">
        <w:rPr>
          <w:rFonts w:ascii="Times New Roman" w:hAnsi="Times New Roman"/>
          <w:b/>
          <w:bCs/>
          <w:sz w:val="22"/>
          <w:szCs w:val="22"/>
        </w:rPr>
        <w:t>A.2. Vplyvy:</w:t>
      </w:r>
    </w:p>
    <w:p w:rsidR="004D50BB" w:rsidRPr="00E35A5E" w:rsidP="004D50BB">
      <w:pPr>
        <w:bidi w:val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627"/>
        <w:gridCol w:w="1701"/>
        <w:gridCol w:w="1985"/>
      </w:tblGrid>
      <w:tr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sz w:val="22"/>
                <w:szCs w:val="22"/>
              </w:rPr>
              <w:t>Pozitívne</w:t>
            </w:r>
            <w:r w:rsidRPr="00E35A5E">
              <w:rPr>
                <w:rFonts w:ascii="Times New Roman" w:hAnsi="Times New Roman"/>
                <w:sz w:val="22"/>
                <w:szCs w:val="22"/>
                <w:vertAlign w:val="superscript"/>
              </w:rPr>
              <w:t>*</w:t>
            </w:r>
            <w:r w:rsidRPr="00E35A5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sz w:val="22"/>
                <w:szCs w:val="22"/>
              </w:rPr>
              <w:t>Žiadne</w:t>
            </w:r>
            <w:r w:rsidRPr="00E35A5E">
              <w:rPr>
                <w:rFonts w:ascii="Times New Roman" w:hAnsi="Times New Roman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sz w:val="22"/>
                <w:szCs w:val="22"/>
              </w:rPr>
              <w:t>Negatívne</w:t>
            </w:r>
            <w:r w:rsidRPr="00E35A5E">
              <w:rPr>
                <w:rFonts w:ascii="Times New Roman" w:hAnsi="Times New Roman"/>
                <w:sz w:val="22"/>
                <w:szCs w:val="22"/>
                <w:vertAlign w:val="superscript"/>
              </w:rPr>
              <w:t>*</w:t>
            </w: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4D50BB" w:rsidRPr="00E35A5E" w:rsidP="0059703B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5A5E" w:rsidR="00EA5D0F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dstrike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5A5E" w:rsidR="00EA5D0F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4D50BB" w:rsidRPr="00E35A5E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obyvateľstva,</w:t>
            </w:r>
          </w:p>
          <w:p w:rsidR="004D50BB" w:rsidRPr="00E35A5E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Cs/>
                <w:sz w:val="22"/>
                <w:szCs w:val="22"/>
              </w:rPr>
              <w:t>-sociálnu exklúziu,</w:t>
            </w:r>
          </w:p>
          <w:p w:rsidR="004D50BB" w:rsidRPr="00E35A5E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Cs/>
                <w:sz w:val="22"/>
                <w:szCs w:val="22"/>
              </w:rPr>
              <w:t>-  rovnosť príležitostí a rodovú rovnosť a vplyvy na zamestnanosť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5A5E" w:rsidR="0059028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Cs/>
                <w:sz w:val="22"/>
                <w:szCs w:val="22"/>
              </w:rPr>
              <w:t>4. Vplyvy na životné prostredie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Cs/>
                <w:sz w:val="22"/>
                <w:szCs w:val="22"/>
              </w:rPr>
              <w:t>5. Vplyvy na informatizáciu spoločnosti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E35A5E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D50BB" w:rsidRPr="00E35A5E" w:rsidP="004D50BB">
      <w:pPr>
        <w:pStyle w:val="BodyText"/>
        <w:bidi w:val="0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:rsidR="004D50BB" w:rsidRPr="00E35A5E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E35A5E">
        <w:rPr>
          <w:rFonts w:ascii="Times New Roman" w:hAnsi="Times New Roman"/>
          <w:b/>
          <w:bCs/>
          <w:color w:val="000000"/>
          <w:sz w:val="22"/>
          <w:szCs w:val="22"/>
        </w:rPr>
        <w:t>A.3. Poznámky</w:t>
      </w:r>
    </w:p>
    <w:p w:rsidR="004D50BB" w:rsidRPr="00E35A5E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E35A5E">
        <w:rPr>
          <w:rFonts w:ascii="Times New Roman" w:hAnsi="Times New Roman"/>
          <w:i/>
          <w:iCs/>
          <w:color w:val="000000"/>
          <w:sz w:val="22"/>
          <w:szCs w:val="22"/>
        </w:rPr>
        <w:t xml:space="preserve">   </w:t>
      </w:r>
    </w:p>
    <w:p w:rsidR="004D50BB" w:rsidRPr="00E35A5E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E35A5E">
        <w:rPr>
          <w:rFonts w:ascii="Times New Roman" w:hAnsi="Times New Roman"/>
          <w:b/>
          <w:bCs/>
          <w:color w:val="000000"/>
          <w:sz w:val="22"/>
          <w:szCs w:val="22"/>
        </w:rPr>
        <w:t>A.4. Alternatívne riešenia</w:t>
      </w:r>
    </w:p>
    <w:p w:rsidR="004D50BB" w:rsidRPr="00E35A5E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4D50BB" w:rsidRPr="00E35A5E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35A5E">
        <w:rPr>
          <w:rFonts w:ascii="Times New Roman" w:hAnsi="Times New Roman"/>
          <w:b/>
          <w:bCs/>
          <w:color w:val="000000"/>
          <w:sz w:val="22"/>
          <w:szCs w:val="22"/>
        </w:rPr>
        <w:t>A.5. Stanovisko gestorov</w:t>
      </w:r>
    </w:p>
    <w:p w:rsidR="00FD7C73" w:rsidRPr="00E35A5E" w:rsidP="00FD7C73">
      <w:pPr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E35A5E">
        <w:rPr>
          <w:rFonts w:ascii="Times New Roman" w:hAnsi="Times New Roman"/>
          <w:b/>
          <w:sz w:val="22"/>
          <w:szCs w:val="22"/>
        </w:rPr>
        <w:t>Ministerstvo práce, sociálnych vecí a rodiny SR</w:t>
      </w:r>
      <w:r w:rsidRPr="00E35A5E">
        <w:rPr>
          <w:rFonts w:ascii="Times New Roman" w:hAnsi="Times New Roman"/>
          <w:sz w:val="22"/>
          <w:szCs w:val="22"/>
        </w:rPr>
        <w:t xml:space="preserve"> súhlasí s doložkou vybraných vplyvov v časti sociálne vplyvy pripravenou k predloženému návrhu. V súvislosti s doložkou vybraných vplyvov žiadame zosúladiť text predkladacej správy s obsahom doložky vybraných vplyvov, resp. odstrániť text „Návrh zákona má pozitívne sociálne vplyvy“.</w:t>
      </w:r>
    </w:p>
    <w:p w:rsidR="00FD7C73" w:rsidRPr="00E35A5E" w:rsidP="00FD7C73">
      <w:pPr>
        <w:pStyle w:val="PlainText"/>
        <w:bidi w:val="0"/>
        <w:rPr>
          <w:rFonts w:ascii="Times New Roman" w:hAnsi="Times New Roman"/>
        </w:rPr>
      </w:pPr>
      <w:r w:rsidRPr="00E35A5E">
        <w:rPr>
          <w:rFonts w:ascii="Times New Roman" w:hAnsi="Times New Roman"/>
          <w:b/>
        </w:rPr>
        <w:t>Ministerstvo životného prostredia SR</w:t>
      </w:r>
      <w:r w:rsidRPr="00E35A5E">
        <w:rPr>
          <w:rFonts w:ascii="Times New Roman" w:hAnsi="Times New Roman"/>
        </w:rPr>
        <w:t xml:space="preserve"> súhlasí s predloženou doložkou vybraných vplyvov </w:t>
      </w:r>
      <w:r w:rsidRPr="00E35A5E">
        <w:rPr>
          <w:rFonts w:ascii="Times New Roman" w:hAnsi="Times New Roman"/>
          <w:bCs/>
        </w:rPr>
        <w:t>bez pripomienok</w:t>
      </w:r>
      <w:r w:rsidRPr="00E35A5E">
        <w:rPr>
          <w:rFonts w:ascii="Times New Roman" w:hAnsi="Times New Roman"/>
        </w:rPr>
        <w:t>.</w:t>
      </w:r>
    </w:p>
    <w:p w:rsidR="00FD7C73" w:rsidRPr="00E35A5E" w:rsidP="00FD7C73">
      <w:pPr>
        <w:bidi w:val="0"/>
        <w:spacing w:before="120"/>
        <w:jc w:val="both"/>
        <w:rPr>
          <w:rFonts w:ascii="Times New Roman" w:hAnsi="Times New Roman"/>
          <w:sz w:val="22"/>
          <w:szCs w:val="22"/>
        </w:rPr>
      </w:pPr>
      <w:r w:rsidRPr="00E35A5E">
        <w:rPr>
          <w:rFonts w:ascii="Times New Roman" w:hAnsi="Times New Roman"/>
          <w:b/>
          <w:sz w:val="22"/>
          <w:szCs w:val="22"/>
        </w:rPr>
        <w:t>Ministerstvo financií SR</w:t>
      </w:r>
      <w:r w:rsidRPr="00E35A5E">
        <w:rPr>
          <w:rFonts w:ascii="Times New Roman" w:hAnsi="Times New Roman"/>
          <w:sz w:val="22"/>
          <w:szCs w:val="22"/>
        </w:rPr>
        <w:t xml:space="preserve"> nemá pripomienky k doložke vybraných vplyvov z hľadiska vplyvov na informatizáciu spoločnosti.</w:t>
      </w:r>
    </w:p>
    <w:p w:rsidR="00FD7C73" w:rsidRPr="00E35A5E" w:rsidP="00FD7C73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35A5E">
        <w:rPr>
          <w:rFonts w:ascii="Times New Roman" w:hAnsi="Times New Roman"/>
          <w:sz w:val="22"/>
          <w:szCs w:val="22"/>
        </w:rPr>
        <w:t>V nadväznosti na Vašu žiadosť zo dňa 18.12.2014 o vyjadrenie k Doložke vybraných vplyvov Vám oznamujeme, že sekcia rozpočtovej politiky ako gestor posudzovania návrhu za oblasť vplyvov na rozpočet verejnej správy a zamestnanosť vo verejnej správe predkladá nasledovné stanovisko.</w:t>
      </w:r>
    </w:p>
    <w:p w:rsidR="00FD7C73" w:rsidRPr="00E35A5E" w:rsidP="00FD7C73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35A5E">
        <w:rPr>
          <w:rFonts w:ascii="Times New Roman" w:hAnsi="Times New Roman"/>
          <w:sz w:val="22"/>
          <w:szCs w:val="22"/>
        </w:rPr>
        <w:t>Berieme na vedomie, že materiál má pozitívny aj negatívny vplyv na rozpočet verejnej správy a výdavky na jeho realizáciu budú kryté z OPIS a v rámci schválených výdavkov dotknutých kapitol na príslušný rozpočtový rok, ako sa uvádza v predkladacej správe a v textovej časti doložky, časť 2.3.4. Výpočty vplyvov na verejné financie.</w:t>
      </w:r>
    </w:p>
    <w:p w:rsidR="00FD7C73" w:rsidRPr="00E35A5E" w:rsidP="00FD7C73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35A5E">
        <w:rPr>
          <w:rFonts w:ascii="Times New Roman" w:hAnsi="Times New Roman"/>
          <w:sz w:val="22"/>
          <w:szCs w:val="22"/>
        </w:rPr>
        <w:t xml:space="preserve">V zmysle vyznačovania vplyvov v doložke vybraných vplyvov, v časti A.2 Vplyvy  je potrebné v predposlednom odseku predkladacej správy jednoznačne a správe uviesť vplyvy, napr. uvádzať vplyv na rozpočet verejnej správy, nie na verejné rozpočty, zrozumiteľne preformulovať text „návrh má pozitívny vplyv marginálne vplyvy na hospodárenie ...“ . </w:t>
      </w:r>
    </w:p>
    <w:p w:rsidR="00FD7C73" w:rsidRPr="00E35A5E" w:rsidP="00FD7C73">
      <w:pPr>
        <w:bidi w:val="0"/>
        <w:spacing w:before="120"/>
        <w:jc w:val="both"/>
        <w:rPr>
          <w:rFonts w:ascii="Times New Roman" w:hAnsi="Times New Roman"/>
          <w:bCs/>
          <w:color w:val="000000"/>
          <w:sz w:val="22"/>
          <w:szCs w:val="22"/>
          <w:lang w:eastAsia="en-US"/>
        </w:rPr>
      </w:pPr>
      <w:r w:rsidRPr="00E35A5E">
        <w:rPr>
          <w:rFonts w:ascii="Times New Roman" w:hAnsi="Times New Roman"/>
          <w:sz w:val="22"/>
          <w:szCs w:val="22"/>
        </w:rPr>
        <w:t>Vzhľadom na to, že v tabuľkovej časti doložky vplyvov sú uvedené iba výdavky za OPIS, žiadame do doložky doplniť aj predpokladané výdavky dotknutých kapitol, ktoré budú použité v rámci realizácie uvedeného projektu. Pripomienka je zásadná.</w:t>
      </w:r>
    </w:p>
    <w:p w:rsidR="004D50BB" w:rsidRPr="00E35A5E" w:rsidP="004D50BB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360FC1" w:rsidRPr="00E35A5E" w:rsidP="004D50BB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3C6B13" w:rsidRPr="00E35A5E" w:rsidP="00FD7C73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35A5E" w:rsidR="00360FC1">
        <w:rPr>
          <w:rFonts w:ascii="Times New Roman" w:hAnsi="Times New Roman"/>
          <w:b/>
          <w:bCs/>
          <w:sz w:val="22"/>
          <w:szCs w:val="22"/>
        </w:rPr>
        <w:t>ANALÝZA VPLYVOV</w:t>
      </w:r>
    </w:p>
    <w:p w:rsidR="00EA5D0F" w:rsidRPr="00E35A5E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35A5E">
        <w:rPr>
          <w:rFonts w:ascii="Times New Roman" w:hAnsi="Times New Roman"/>
          <w:b/>
          <w:bCs/>
          <w:sz w:val="22"/>
          <w:szCs w:val="22"/>
        </w:rPr>
        <w:t>Vplyvy na rozpočet verejnej správy,</w:t>
      </w:r>
    </w:p>
    <w:p w:rsidR="00EA5D0F" w:rsidRPr="00E35A5E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35A5E">
        <w:rPr>
          <w:rFonts w:ascii="Times New Roman" w:hAnsi="Times New Roman"/>
          <w:b/>
          <w:bCs/>
          <w:sz w:val="22"/>
          <w:szCs w:val="22"/>
        </w:rPr>
        <w:t>na zamestnanosť vo verejnej správe a financovanie návrhu</w:t>
      </w:r>
    </w:p>
    <w:p w:rsidR="00EA5D0F" w:rsidRPr="00E35A5E" w:rsidP="00EA5D0F">
      <w:pPr>
        <w:bidi w:val="0"/>
        <w:rPr>
          <w:rFonts w:ascii="Times New Roman" w:hAnsi="Times New Roman"/>
          <w:sz w:val="22"/>
          <w:szCs w:val="22"/>
        </w:rPr>
      </w:pPr>
    </w:p>
    <w:p w:rsidR="00EA5D0F" w:rsidRPr="00E35A5E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EA5D0F" w:rsidRPr="00E35A5E" w:rsidP="00EA5D0F">
      <w:pPr>
        <w:bidi w:val="0"/>
        <w:rPr>
          <w:rFonts w:ascii="Times New Roman" w:hAnsi="Times New Roman"/>
          <w:sz w:val="22"/>
          <w:szCs w:val="22"/>
        </w:rPr>
      </w:pPr>
      <w:r w:rsidRPr="00E35A5E">
        <w:rPr>
          <w:rFonts w:ascii="Times New Roman" w:hAnsi="Times New Roman"/>
          <w:b/>
          <w:bCs/>
          <w:sz w:val="22"/>
          <w:szCs w:val="22"/>
        </w:rPr>
        <w:t>2.1. Zhrnutie vplyvov na rozpočet verejnej správy v návrhu</w:t>
      </w:r>
    </w:p>
    <w:p w:rsidR="00EA5D0F" w:rsidRPr="00E35A5E" w:rsidP="00EA5D0F">
      <w:pPr>
        <w:bidi w:val="0"/>
        <w:ind w:left="7080" w:firstLine="708"/>
        <w:jc w:val="center"/>
        <w:rPr>
          <w:rFonts w:ascii="Times New Roman" w:hAnsi="Times New Roman"/>
          <w:sz w:val="22"/>
          <w:szCs w:val="22"/>
        </w:rPr>
      </w:pPr>
    </w:p>
    <w:p w:rsidR="00EA5D0F" w:rsidRPr="00E35A5E" w:rsidP="00EA5D0F">
      <w:pPr>
        <w:bidi w:val="0"/>
        <w:ind w:left="7080" w:firstLine="708"/>
        <w:jc w:val="center"/>
        <w:rPr>
          <w:rFonts w:ascii="Times New Roman" w:hAnsi="Times New Roman"/>
          <w:sz w:val="22"/>
          <w:szCs w:val="22"/>
        </w:rPr>
      </w:pPr>
      <w:r w:rsidRPr="00E35A5E">
        <w:rPr>
          <w:rFonts w:ascii="Times New Roman" w:hAnsi="Times New Roman"/>
          <w:sz w:val="22"/>
          <w:szCs w:val="22"/>
        </w:rPr>
        <w:t xml:space="preserve">Tabuľka č. 1 </w:t>
      </w:r>
    </w:p>
    <w:p w:rsidR="00EA5D0F" w:rsidRPr="00E35A5E" w:rsidP="00EA5D0F">
      <w:pPr>
        <w:bidi w:val="0"/>
        <w:ind w:left="7080" w:firstLine="708"/>
        <w:jc w:val="center"/>
        <w:rPr>
          <w:rFonts w:ascii="Times New Roman" w:hAnsi="Times New Roman"/>
          <w:sz w:val="22"/>
          <w:szCs w:val="22"/>
        </w:rPr>
      </w:pPr>
    </w:p>
    <w:p w:rsidR="00EA5D0F" w:rsidRPr="00E35A5E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Normal"/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00"/>
        <w:gridCol w:w="1357"/>
        <w:gridCol w:w="1357"/>
        <w:gridCol w:w="1357"/>
        <w:gridCol w:w="1358"/>
      </w:tblGrid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A5D0F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  <w:r w:rsidRPr="00E35A5E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Rozpočet verejnej správy (v tis. eur)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EA5D0F" w:rsidRPr="00E35A5E" w:rsidP="002842F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 xml:space="preserve">Vplyv na rozpočet verejnej správy 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00" w:type="dxa"/>
            <w:vMerge/>
            <w:tcBorders>
              <w:top w:val="none" w:sz="0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D06598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D06598" w:rsidRPr="00E35A5E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D06598" w:rsidRPr="00E35A5E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D06598" w:rsidRPr="00E35A5E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D06598" w:rsidRPr="00E35A5E" w:rsidP="002842F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2018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EA5D0F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Príjmy verejnej správy celkom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5D0F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(VPS)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5D0F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z toho: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5D0F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5D0F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- vplyv na ŠR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5D0F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- vplyv na územnú samosprávu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EA5D0F" w:rsidRPr="00E35A5E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97C18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Výdavky verejnej správy celkom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sz w:val="22"/>
                <w:szCs w:val="22"/>
              </w:rPr>
              <w:t>2 524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sz w:val="22"/>
                <w:szCs w:val="22"/>
              </w:rPr>
              <w:t> 6 362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5 178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5 178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97C18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tom: </w:t>
            </w:r>
            <w:r w:rsidRPr="00E35A5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MF/0A9 Medzirezortný program OP Informatizácia spoločnosti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sz w:val="22"/>
                <w:szCs w:val="22"/>
              </w:rPr>
              <w:t>2 524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sz w:val="22"/>
                <w:szCs w:val="22"/>
              </w:rPr>
              <w:t> 6 362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5 178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5 178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97C18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97C18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E35A5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vplyv na ŠR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sz w:val="22"/>
                <w:szCs w:val="22"/>
              </w:rPr>
              <w:t>2 324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sz w:val="22"/>
                <w:szCs w:val="22"/>
              </w:rPr>
              <w:t>5 762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sz w:val="22"/>
                <w:szCs w:val="22"/>
              </w:rPr>
              <w:t>4 778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7C18" w:rsidRPr="00E35A5E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E35A5E">
              <w:rPr>
                <w:rFonts w:ascii="Times New Roman" w:hAnsi="Times New Roman"/>
                <w:b/>
                <w:sz w:val="22"/>
                <w:szCs w:val="22"/>
              </w:rPr>
              <w:t>4 778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- MF SR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E35A5E" w:rsidP="003B207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Pr="00E35A5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E35A5E" w:rsidP="0095199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35A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E35A5E" w:rsidP="003B207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980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E35A5E" w:rsidP="0004291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980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E35A5E" w:rsidP="002842F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5A5E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- ÚV SR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95199C" w:rsidP="003B207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  <w:r w:rsidRPr="0095199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95199C" w:rsidP="00062F6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5199C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7F2552" w:rsidP="00062F6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95199C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7F2552" w:rsidP="007F255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95199C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- MV SR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062F60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062F6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1 3</w:t>
            </w:r>
            <w:r w:rsidRPr="00062F60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062F6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</w:t>
            </w:r>
            <w:r w:rsidRPr="00062F60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04291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</w:t>
            </w:r>
            <w:r w:rsidRPr="00062F60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7A743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– MS SR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846E44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Pr="007F25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E35A5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062F6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7F2552" w:rsidP="00062F6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  <w:r w:rsidRPr="007F25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7F2552" w:rsidP="007F255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  <w:r w:rsidRPr="007F25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B678C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EÚ prostriedky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1 598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4 340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3 598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3 598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B678C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Spolufinancovanie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374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766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636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636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B678C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Pro Rata   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 352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656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544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544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B678C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062F6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vplyv na územnú samosprávu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  <w:hideMark/>
          </w:tcPr>
          <w:p w:rsidR="004B678C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062F60">
              <w:rPr>
                <w:rFonts w:ascii="Times New Roman" w:hAnsi="Times New Roman"/>
                <w:b/>
                <w:sz w:val="22"/>
                <w:szCs w:val="22"/>
              </w:rPr>
              <w:t>Financovanie zabezpečené v rozpočte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B678C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V tom za každý subjekt verejnej správy / program zvlášť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2 524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6 362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5 178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678C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5 178</w:t>
            </w:r>
          </w:p>
        </w:tc>
      </w:tr>
    </w:tbl>
    <w:p w:rsidR="00EA5D0F" w:rsidRPr="00062F60" w:rsidP="00EA5D0F">
      <w:pPr>
        <w:bidi w:val="0"/>
        <w:rPr>
          <w:rFonts w:ascii="Times New Roman" w:hAnsi="Times New Roman"/>
          <w:bCs/>
          <w:sz w:val="22"/>
          <w:szCs w:val="22"/>
        </w:rPr>
      </w:pPr>
    </w:p>
    <w:p w:rsidR="00EA5D0F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EA5D0F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EA5D0F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  <w:r w:rsidRPr="00062F60">
        <w:rPr>
          <w:rFonts w:ascii="Times New Roman" w:hAnsi="Times New Roman"/>
          <w:b/>
          <w:bCs/>
          <w:sz w:val="22"/>
          <w:szCs w:val="22"/>
        </w:rPr>
        <w:t>2.2. Financovanie návrhu</w:t>
      </w:r>
    </w:p>
    <w:p w:rsidR="00EA5D0F" w:rsidRPr="00062F60" w:rsidP="00EA5D0F">
      <w:pPr>
        <w:bidi w:val="0"/>
        <w:ind w:left="7080" w:firstLine="708"/>
        <w:jc w:val="center"/>
        <w:rPr>
          <w:rFonts w:ascii="Times New Roman" w:hAnsi="Times New Roman"/>
          <w:sz w:val="22"/>
          <w:szCs w:val="22"/>
        </w:rPr>
      </w:pPr>
      <w:r w:rsidRPr="00062F60">
        <w:rPr>
          <w:rFonts w:ascii="Times New Roman" w:hAnsi="Times New Roman"/>
          <w:sz w:val="22"/>
          <w:szCs w:val="22"/>
        </w:rPr>
        <w:t>Tabuľka č. 2</w:t>
      </w:r>
    </w:p>
    <w:p w:rsidR="00EA5D0F" w:rsidRPr="00062F60" w:rsidP="00EA5D0F">
      <w:pPr>
        <w:bidi w:val="0"/>
        <w:ind w:left="7080" w:firstLine="708"/>
        <w:jc w:val="center"/>
        <w:rPr>
          <w:rFonts w:ascii="Times New Roman" w:hAnsi="Times New Roman"/>
          <w:sz w:val="22"/>
          <w:szCs w:val="22"/>
        </w:rPr>
      </w:pPr>
    </w:p>
    <w:p w:rsidR="00EA5D0F" w:rsidRPr="00062F60" w:rsidP="00EA5D0F">
      <w:pPr>
        <w:bidi w:val="0"/>
        <w:ind w:left="7080" w:firstLine="708"/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Ind w:w="-1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A5D0F" w:rsidRPr="00062F60" w:rsidP="002842F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Financovanie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A5D0F" w:rsidRPr="00062F60" w:rsidP="008D1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 xml:space="preserve">Vplyv na rozpočet verejnej správy 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598" w:rsidRPr="00062F60" w:rsidP="002842F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06598" w:rsidRPr="00062F60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06598" w:rsidRPr="00062F60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06598" w:rsidRPr="00062F60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06598" w:rsidRPr="00062F60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2018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97C18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sz w:val="22"/>
                <w:szCs w:val="22"/>
              </w:rPr>
              <w:t>2 524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sz w:val="22"/>
                <w:szCs w:val="22"/>
              </w:rPr>
              <w:t> 6 362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5 178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5 178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97C18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  z toho vplyv na ŠR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sz w:val="22"/>
                <w:szCs w:val="22"/>
              </w:rPr>
              <w:t>2 324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5 762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4 778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97C18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4 778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62F60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- MF SR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E35A5E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Pr="00E35A5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E35A5E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35A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E35A5E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980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E35A5E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980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62F60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- ÚV SR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95199C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  <w:r w:rsidRPr="0095199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95199C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5199C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7F2552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95199C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7F2552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95199C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62F60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- MV SR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062F60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1 3</w:t>
            </w:r>
            <w:r w:rsidRPr="00062F60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</w:t>
            </w:r>
            <w:r w:rsidRPr="00062F60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</w:t>
            </w:r>
            <w:r w:rsidRPr="00062F60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62F60" w:rsidRPr="00062F60" w:rsidP="005852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– MS SR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Pr="007F25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062F6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  <w:r w:rsidRPr="007F25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2F60" w:rsidRPr="00062F60" w:rsidP="005852E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  <w:r w:rsidRPr="007F25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62F60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  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sz w:val="22"/>
                <w:szCs w:val="22"/>
              </w:rPr>
              <w:t>2 524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5 762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4 778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4 778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62F60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  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62F60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2F60" w:rsidRPr="00062F60" w:rsidP="00D07A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</w:tbl>
    <w:p w:rsidR="00EA5D0F" w:rsidRPr="00062F60" w:rsidP="00EA5D0F">
      <w:pPr>
        <w:bidi w:val="0"/>
        <w:rPr>
          <w:rFonts w:ascii="Times New Roman" w:hAnsi="Times New Roman"/>
          <w:sz w:val="22"/>
          <w:szCs w:val="22"/>
        </w:rPr>
      </w:pPr>
    </w:p>
    <w:p w:rsidR="00EA5D0F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7B538A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EA5D0F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EA5D0F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  <w:r w:rsidRPr="00062F60">
        <w:rPr>
          <w:rFonts w:ascii="Times New Roman" w:hAnsi="Times New Roman"/>
          <w:b/>
          <w:bCs/>
          <w:sz w:val="22"/>
          <w:szCs w:val="22"/>
        </w:rPr>
        <w:t>Návrh na riešenie úbytku príjmov alebo zvýšených výdavkov podľa § 33 ods. 1 zákona č. 523/2004 Z. z. o rozpočtových pravidlách verejnej správy:</w:t>
      </w:r>
    </w:p>
    <w:p w:rsidR="00EA5D0F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EA5D0F" w:rsidRPr="00062F60" w:rsidP="00EA5D0F">
      <w:pPr>
        <w:bidi w:val="0"/>
        <w:ind w:firstLine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062F60">
        <w:rPr>
          <w:rFonts w:ascii="Times New Roman" w:hAnsi="Times New Roman"/>
          <w:sz w:val="22"/>
          <w:szCs w:val="22"/>
        </w:rPr>
        <w:t xml:space="preserve">Projekty financované v rámci Prioritnej osi č. 1, opatrenia 1.1 Elektronizácia verejnej správy a rozvoj elektronických služieb na centrálnej úrovni sú financované z Operačného programu Informatizácia spoločnosti (OPIS) v plnej výške cez rozpočet Platobnej jednotky Ministerstva financií SR, a teda nesmú byť rozpočtované duplicitne v rozpočtoch príslušných kapitol. Projekty v rámci Prioritnej osi č. 1, opatrenia 1.1 Elektronizácia verejnej správy a elektronických služieb na centrálnej úrovni sú financované z  EÚ vo výške 75,31% a spolufinancované zo štátneho rozpočtu vo výške 13,29% a systémom pro rata 11,4 % projektu zabezpečované transferom z  rozpočtu  Platobnej jednotky   MF SR. </w:t>
      </w:r>
      <w:r w:rsidRPr="00062F60">
        <w:rPr>
          <w:rFonts w:ascii="Times New Roman" w:hAnsi="Times New Roman"/>
          <w:color w:val="000000"/>
          <w:sz w:val="22"/>
          <w:szCs w:val="22"/>
        </w:rPr>
        <w:t xml:space="preserve">Vzhľadom na to, že tento proces je čo do rozsahu bezprostredne závislý od spôsobu realizácie a nasadenia spoločných modulov a ďalších elektronických prostriedkov komunikácie, ako aj vzhľadom na to, že v určitom rozsahu existuje výkon verejnej moci elektronicky aj v súčasnosti, konkrétne cieľové odhadované finančné dosahy  budú závislé na stave realizácie konkrétnych projektov. </w:t>
      </w:r>
    </w:p>
    <w:p w:rsidR="00D54CD7" w:rsidRPr="00062F60" w:rsidP="00164B1B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062F60">
        <w:rPr>
          <w:rFonts w:ascii="Times New Roman" w:hAnsi="Times New Roman"/>
          <w:sz w:val="22"/>
          <w:szCs w:val="22"/>
        </w:rPr>
        <w:t xml:space="preserve">Dôsledkom zjednotenia pravidiel pre prístup k údajom, bude jednoduchšie prepojenie informačných systémov, a tým lacnejšia realizácia povinností na zdieľanie údajov, ktoré budú vychádzať z rôznych právnych predpisov, a ktorých cieľom je odstránenie byrokratickej záťaže právnických a fyzických osôb. </w:t>
      </w:r>
    </w:p>
    <w:p w:rsidR="00EA5D0F" w:rsidRPr="00062F60" w:rsidP="00164B1B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062F60">
        <w:rPr>
          <w:rFonts w:ascii="Times New Roman" w:hAnsi="Times New Roman"/>
          <w:color w:val="000000"/>
          <w:sz w:val="22"/>
          <w:szCs w:val="22"/>
        </w:rPr>
        <w:t>V budúcnosti, t.j. až po zabezpečení všetkých krokov k úplnej elektronizácii administratívnych procesov, možno  očakávať úsporu rozpočtových nákladov verejnej správy, a to nákladov na, archívne kapacity, kancelársky spotrebný materiál atď.</w:t>
      </w:r>
    </w:p>
    <w:p w:rsidR="00EA5D0F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EA5D0F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  <w:r w:rsidRPr="00062F60">
        <w:rPr>
          <w:rFonts w:ascii="Times New Roman" w:hAnsi="Times New Roman"/>
          <w:b/>
          <w:bCs/>
          <w:sz w:val="22"/>
          <w:szCs w:val="22"/>
        </w:rPr>
        <w:t>2.3. Popis a charakteristika návrhu</w:t>
      </w:r>
    </w:p>
    <w:p w:rsidR="00EA5D0F" w:rsidRPr="00062F60" w:rsidP="00EA5D0F">
      <w:pPr>
        <w:bidi w:val="0"/>
        <w:rPr>
          <w:rFonts w:ascii="Times New Roman" w:hAnsi="Times New Roman"/>
          <w:sz w:val="22"/>
          <w:szCs w:val="22"/>
        </w:rPr>
      </w:pPr>
    </w:p>
    <w:p w:rsidR="00EA5D0F" w:rsidRPr="00062F60" w:rsidP="00EA5D0F">
      <w:p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062F60">
        <w:rPr>
          <w:rFonts w:ascii="Times New Roman" w:hAnsi="Times New Roman"/>
          <w:b/>
          <w:bCs/>
          <w:sz w:val="22"/>
          <w:szCs w:val="22"/>
        </w:rPr>
        <w:t>2.3.1. Popis návrhu:</w:t>
      </w:r>
      <w:r w:rsidRPr="00062F60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EA5D0F" w:rsidRPr="00062F60" w:rsidP="00164B1B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062F60">
        <w:rPr>
          <w:rFonts w:ascii="Times New Roman" w:hAnsi="Times New Roman"/>
          <w:sz w:val="22"/>
          <w:szCs w:val="22"/>
        </w:rPr>
        <w:t xml:space="preserve">Cieľom návrhu zákona je </w:t>
      </w:r>
      <w:r w:rsidRPr="00062F60" w:rsidR="00EB3BB4">
        <w:rPr>
          <w:rFonts w:ascii="Times New Roman" w:hAnsi="Times New Roman"/>
          <w:sz w:val="22"/>
          <w:szCs w:val="22"/>
        </w:rPr>
        <w:t xml:space="preserve">zdokonalenie </w:t>
      </w:r>
      <w:r w:rsidRPr="00062F60">
        <w:rPr>
          <w:rFonts w:ascii="Times New Roman" w:hAnsi="Times New Roman"/>
          <w:sz w:val="22"/>
          <w:szCs w:val="22"/>
        </w:rPr>
        <w:t xml:space="preserve">modelu elektronických služieb orgánov verejnej správy a verejnej moci a prepojenie </w:t>
      </w:r>
      <w:r w:rsidRPr="00062F60" w:rsidR="00EB3BB4">
        <w:rPr>
          <w:rFonts w:ascii="Times New Roman" w:hAnsi="Times New Roman"/>
          <w:sz w:val="22"/>
          <w:szCs w:val="22"/>
        </w:rPr>
        <w:t xml:space="preserve">referenčných </w:t>
      </w:r>
      <w:r w:rsidRPr="00062F60">
        <w:rPr>
          <w:rFonts w:ascii="Times New Roman" w:hAnsi="Times New Roman"/>
          <w:sz w:val="22"/>
          <w:szCs w:val="22"/>
        </w:rPr>
        <w:t>registrov verejnej správy</w:t>
      </w:r>
      <w:r w:rsidRPr="00062F60" w:rsidR="00EB3BB4">
        <w:rPr>
          <w:rFonts w:ascii="Times New Roman" w:hAnsi="Times New Roman"/>
          <w:sz w:val="22"/>
          <w:szCs w:val="22"/>
        </w:rPr>
        <w:t xml:space="preserve"> a vytvorenie zdrojových registrov, rovnako ako úprava existujúcich vzťahov medzi orgánmi verejnej moci s cieľom zlepšenia a zefektívnenia dátových tokov</w:t>
      </w:r>
      <w:r w:rsidRPr="00062F60">
        <w:rPr>
          <w:rFonts w:ascii="Times New Roman" w:hAnsi="Times New Roman"/>
          <w:sz w:val="22"/>
          <w:szCs w:val="22"/>
        </w:rPr>
        <w:t>.</w:t>
      </w:r>
      <w:r w:rsidRPr="00062F6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62F60">
        <w:rPr>
          <w:rFonts w:ascii="Times New Roman" w:hAnsi="Times New Roman"/>
          <w:sz w:val="22"/>
          <w:szCs w:val="22"/>
        </w:rPr>
        <w:t xml:space="preserve">Návrh zákona </w:t>
      </w:r>
      <w:r w:rsidRPr="00062F60" w:rsidR="00EB3BB4">
        <w:rPr>
          <w:rFonts w:ascii="Times New Roman" w:hAnsi="Times New Roman"/>
          <w:sz w:val="22"/>
          <w:szCs w:val="22"/>
        </w:rPr>
        <w:t xml:space="preserve">vylepšuje </w:t>
      </w:r>
      <w:r w:rsidRPr="00062F60">
        <w:rPr>
          <w:rFonts w:ascii="Times New Roman" w:hAnsi="Times New Roman"/>
          <w:sz w:val="22"/>
          <w:szCs w:val="22"/>
        </w:rPr>
        <w:t xml:space="preserve">spoločné modelové rozhranie pre interoperabilitu a využívanie údajov z nich za účelom jednotného spôsobu využívania spravovaných dát, ktoré sa v nich nachádzajú. Súčasne sa bude redukovať </w:t>
      </w:r>
      <w:r w:rsidRPr="00062F60" w:rsidR="00EB3BB4">
        <w:rPr>
          <w:rFonts w:ascii="Times New Roman" w:hAnsi="Times New Roman"/>
          <w:sz w:val="22"/>
          <w:szCs w:val="22"/>
        </w:rPr>
        <w:t>fyzická autentifikácia účastníkov právnych vzťahov v prípadoch automatickej autentifikácie prostredníctvom informačného systému verejnej správy</w:t>
      </w:r>
      <w:r w:rsidRPr="00062F60" w:rsidR="00646787">
        <w:rPr>
          <w:rFonts w:ascii="Times New Roman" w:hAnsi="Times New Roman"/>
          <w:sz w:val="22"/>
          <w:szCs w:val="22"/>
        </w:rPr>
        <w:t xml:space="preserve">. </w:t>
      </w:r>
      <w:r w:rsidRPr="00062F60" w:rsidR="006522EF">
        <w:rPr>
          <w:rFonts w:ascii="Times New Roman" w:hAnsi="Times New Roman"/>
          <w:sz w:val="22"/>
          <w:szCs w:val="22"/>
        </w:rPr>
        <w:t>Z</w:t>
      </w:r>
      <w:r w:rsidRPr="00062F60" w:rsidR="006522EF">
        <w:rPr>
          <w:rFonts w:ascii="Times New Roman" w:hAnsi="Times New Roman"/>
          <w:iCs/>
          <w:sz w:val="22"/>
          <w:szCs w:val="22"/>
        </w:rPr>
        <w:t xml:space="preserve">avádzajú sa tiež platené služby časovej pečiatky. </w:t>
      </w:r>
      <w:r w:rsidRPr="00062F60" w:rsidR="00646787">
        <w:rPr>
          <w:rFonts w:ascii="Times New Roman" w:hAnsi="Times New Roman"/>
          <w:sz w:val="22"/>
          <w:szCs w:val="22"/>
        </w:rPr>
        <w:t>Zároveň sa vynímajú spod pôsobnosti zákona zdravotnícke ISVS, čím sa liberalizuje ich prevádzkový režim a zároveň znižujú finančné nároky na zosúladenie s  podmienkami stanovenými zákonom</w:t>
      </w:r>
      <w:r w:rsidRPr="00062F60" w:rsidR="006522EF">
        <w:rPr>
          <w:rFonts w:ascii="Times New Roman" w:hAnsi="Times New Roman"/>
          <w:sz w:val="22"/>
          <w:szCs w:val="22"/>
        </w:rPr>
        <w:t>.</w:t>
      </w:r>
    </w:p>
    <w:p w:rsidR="00EA5D0F" w:rsidRPr="00062F60" w:rsidP="00EA5D0F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EA5D0F" w:rsidRPr="00062F60" w:rsidP="00EA5D0F">
      <w:pPr>
        <w:bidi w:val="0"/>
        <w:rPr>
          <w:rFonts w:ascii="Times New Roman" w:hAnsi="Times New Roman"/>
          <w:sz w:val="22"/>
          <w:szCs w:val="22"/>
        </w:rPr>
      </w:pPr>
    </w:p>
    <w:p w:rsidR="00EA5D0F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  <w:r w:rsidRPr="00062F60">
        <w:rPr>
          <w:rFonts w:ascii="Times New Roman" w:hAnsi="Times New Roman"/>
          <w:b/>
          <w:bCs/>
          <w:sz w:val="22"/>
          <w:szCs w:val="22"/>
        </w:rPr>
        <w:t>2.3.2. Charakteristika návrhu podľa bodu  2.3.2. Metodiky :</w:t>
      </w:r>
    </w:p>
    <w:p w:rsidR="00EA5D0F" w:rsidRPr="00062F60" w:rsidP="00EA5D0F">
      <w:pPr>
        <w:bidi w:val="0"/>
        <w:rPr>
          <w:rFonts w:ascii="Times New Roman" w:hAnsi="Times New Roman"/>
          <w:sz w:val="22"/>
          <w:szCs w:val="22"/>
        </w:rPr>
      </w:pPr>
    </w:p>
    <w:p w:rsidR="00EA5D0F" w:rsidRPr="00062F60" w:rsidP="00EA5D0F">
      <w:pPr>
        <w:pStyle w:val="BodyText"/>
        <w:bidi w:val="0"/>
        <w:rPr>
          <w:rFonts w:ascii="Times New Roman" w:hAnsi="Times New Roman"/>
          <w:b w:val="0"/>
          <w:sz w:val="22"/>
          <w:szCs w:val="22"/>
        </w:rPr>
      </w:pPr>
      <w:r w:rsidRPr="00062F60">
        <w:rPr>
          <w:rFonts w:ascii="Times New Roman" w:hAnsi="Times New Roman"/>
          <w:b w:val="0"/>
          <w:sz w:val="22"/>
          <w:szCs w:val="22"/>
          <w:bdr w:val="single" w:sz="4" w:space="0" w:color="auto"/>
        </w:rPr>
        <w:t xml:space="preserve">  X   </w:t>
      </w:r>
      <w:r w:rsidRPr="00062F60">
        <w:rPr>
          <w:rFonts w:ascii="Times New Roman" w:hAnsi="Times New Roman"/>
          <w:b w:val="0"/>
          <w:sz w:val="22"/>
          <w:szCs w:val="22"/>
        </w:rPr>
        <w:t xml:space="preserve">  nová služba alebo nariadenie</w:t>
      </w:r>
    </w:p>
    <w:p w:rsidR="00EA5D0F" w:rsidRPr="00062F60" w:rsidP="00EA5D0F">
      <w:pPr>
        <w:bidi w:val="0"/>
        <w:rPr>
          <w:rFonts w:ascii="Times New Roman" w:hAnsi="Times New Roman"/>
          <w:sz w:val="22"/>
          <w:szCs w:val="22"/>
        </w:rPr>
      </w:pPr>
    </w:p>
    <w:p w:rsidR="00EA5D0F" w:rsidRPr="00062F60" w:rsidP="00EA5D0F">
      <w:pPr>
        <w:bidi w:val="0"/>
        <w:rPr>
          <w:rFonts w:ascii="Times New Roman" w:hAnsi="Times New Roman"/>
          <w:sz w:val="22"/>
          <w:szCs w:val="22"/>
        </w:rPr>
      </w:pPr>
    </w:p>
    <w:p w:rsidR="00EA5D0F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  <w:r w:rsidRPr="00062F60">
        <w:rPr>
          <w:rFonts w:ascii="Times New Roman" w:hAnsi="Times New Roman"/>
          <w:b/>
          <w:bCs/>
          <w:sz w:val="22"/>
          <w:szCs w:val="22"/>
        </w:rPr>
        <w:t>2.3.4. Výpočty vplyvov na verejné financie</w:t>
      </w:r>
    </w:p>
    <w:p w:rsidR="00EA5D0F" w:rsidRPr="00062F60" w:rsidP="00EA5D0F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EA5D0F" w:rsidRPr="00062F60" w:rsidP="00EB3BB4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062F60">
        <w:rPr>
          <w:rFonts w:ascii="Times New Roman" w:hAnsi="Times New Roman"/>
          <w:color w:val="000000"/>
          <w:sz w:val="22"/>
          <w:szCs w:val="22"/>
        </w:rPr>
        <w:t xml:space="preserve">Návrh zákona bude mať </w:t>
      </w:r>
      <w:r w:rsidRPr="00062F60">
        <w:rPr>
          <w:rFonts w:ascii="Times New Roman" w:hAnsi="Times New Roman"/>
          <w:sz w:val="22"/>
          <w:szCs w:val="22"/>
        </w:rPr>
        <w:t>z dôvodu realizácie projektov informatizácie spoločnosti</w:t>
      </w:r>
      <w:r w:rsidRPr="00062F60">
        <w:rPr>
          <w:rFonts w:ascii="Times New Roman" w:hAnsi="Times New Roman"/>
          <w:color w:val="000000"/>
          <w:sz w:val="22"/>
          <w:szCs w:val="22"/>
        </w:rPr>
        <w:t xml:space="preserve"> výrazný hospodársky a finančný dosah, a to na verejné financie formou </w:t>
      </w:r>
      <w:r w:rsidRPr="00062F60" w:rsidR="00EB3BB4">
        <w:rPr>
          <w:rFonts w:ascii="Times New Roman" w:hAnsi="Times New Roman"/>
          <w:color w:val="000000"/>
          <w:sz w:val="22"/>
          <w:szCs w:val="22"/>
        </w:rPr>
        <w:t>presunu plánovaných výdavkov medzi rozpočtové kapitoly nových navrhnutých správcov ISVS resp. modulov</w:t>
      </w:r>
      <w:r w:rsidRPr="00062F60" w:rsidR="00BF7F92">
        <w:rPr>
          <w:rFonts w:ascii="Times New Roman" w:hAnsi="Times New Roman"/>
          <w:color w:val="000000"/>
          <w:sz w:val="22"/>
          <w:szCs w:val="22"/>
        </w:rPr>
        <w:t xml:space="preserve"> a vzniku nových nákladov pri implementácii novovzniknutých požiadaviek na úpravu existujúcich a vytvorenie nových informačných systémov.</w:t>
      </w:r>
      <w:r w:rsidRPr="00062F60" w:rsidR="00EB3BB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62F60">
        <w:rPr>
          <w:rFonts w:ascii="Times New Roman" w:hAnsi="Times New Roman"/>
          <w:sz w:val="22"/>
          <w:szCs w:val="22"/>
        </w:rPr>
        <w:t>Výdavky si jednotlivé inštitúcie uplatnia v rámci príslušnej rozpočtovej kapitoly a rozpisu východísk rozpo</w:t>
      </w:r>
      <w:r w:rsidRPr="00062F60" w:rsidR="00EB3BB4">
        <w:rPr>
          <w:rFonts w:ascii="Times New Roman" w:hAnsi="Times New Roman"/>
          <w:sz w:val="22"/>
          <w:szCs w:val="22"/>
        </w:rPr>
        <w:t>čtu verejnej správy na roky 2015 až 201</w:t>
      </w:r>
      <w:r w:rsidRPr="00062F60" w:rsidR="00D06598">
        <w:rPr>
          <w:rFonts w:ascii="Times New Roman" w:hAnsi="Times New Roman"/>
          <w:sz w:val="22"/>
          <w:szCs w:val="22"/>
        </w:rPr>
        <w:t>8</w:t>
      </w:r>
      <w:r w:rsidRPr="00062F60">
        <w:rPr>
          <w:rFonts w:ascii="Times New Roman" w:hAnsi="Times New Roman"/>
          <w:sz w:val="22"/>
          <w:szCs w:val="22"/>
        </w:rPr>
        <w:t xml:space="preserve"> na základe predložených požiadaviek. Schválená výška výdavkov bude zabezpečená v rozpočte príslušnej kapitoly.</w:t>
      </w:r>
    </w:p>
    <w:p w:rsidR="00EA5D0F" w:rsidRPr="00062F60" w:rsidP="00EA5D0F">
      <w:pPr>
        <w:bidi w:val="0"/>
        <w:ind w:firstLine="70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A5D0F" w:rsidRPr="00062F60" w:rsidP="00164B1B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062F60">
        <w:rPr>
          <w:rFonts w:ascii="Times New Roman" w:hAnsi="Times New Roman"/>
          <w:sz w:val="22"/>
          <w:szCs w:val="22"/>
        </w:rPr>
        <w:t xml:space="preserve">Prínosom bude lepší výkon verejnej moci, založený na rýchlom a účelnom zdieľaní dát, kde možno očakávať celkové zníženie nákladov na získavanie údajov, napríklad o podnikateľských subjektoch, vrátane zníženia s tým súvisiacich administratívnych a materiálových nákladov. Súčasne dôjde ku skvalitneniu obsahu informačných systémov verejnej správy, a tým aj výkonu verejnej moci. </w:t>
      </w:r>
    </w:p>
    <w:p w:rsidR="00EA5D0F" w:rsidRPr="00062F60" w:rsidP="00D54CD7">
      <w:pPr>
        <w:pStyle w:val="BodyTextIndent"/>
        <w:bidi w:val="0"/>
        <w:spacing w:before="120"/>
        <w:ind w:left="0"/>
        <w:jc w:val="both"/>
        <w:rPr>
          <w:rFonts w:ascii="Times New Roman" w:hAnsi="Times New Roman"/>
          <w:sz w:val="22"/>
          <w:szCs w:val="22"/>
        </w:rPr>
      </w:pPr>
      <w:r w:rsidRPr="00062F60">
        <w:rPr>
          <w:rFonts w:ascii="Times New Roman" w:hAnsi="Times New Roman"/>
          <w:sz w:val="22"/>
          <w:szCs w:val="22"/>
        </w:rPr>
        <w:t>Výdavky spojené s realizáciou zákona budú zabezpečené</w:t>
      </w:r>
      <w:r w:rsidRPr="00062F60" w:rsidR="00202ADD">
        <w:rPr>
          <w:rFonts w:ascii="Times New Roman" w:hAnsi="Times New Roman"/>
          <w:sz w:val="22"/>
          <w:szCs w:val="22"/>
        </w:rPr>
        <w:t xml:space="preserve"> jednak</w:t>
      </w:r>
      <w:r w:rsidRPr="00062F60">
        <w:rPr>
          <w:rFonts w:ascii="Times New Roman" w:hAnsi="Times New Roman"/>
          <w:sz w:val="22"/>
          <w:szCs w:val="22"/>
        </w:rPr>
        <w:t xml:space="preserve"> z Operačného programu Informatizácia spoločnosti (1. prioritná os)</w:t>
      </w:r>
      <w:r w:rsidRPr="00062F60" w:rsidR="00EB3BB4">
        <w:rPr>
          <w:rFonts w:ascii="Times New Roman" w:hAnsi="Times New Roman"/>
          <w:sz w:val="22"/>
          <w:szCs w:val="22"/>
        </w:rPr>
        <w:t xml:space="preserve"> a nového operačného programu OPII (integrované infraštruktúra)</w:t>
      </w:r>
      <w:r w:rsidRPr="00062F60">
        <w:rPr>
          <w:rFonts w:ascii="Times New Roman" w:hAnsi="Times New Roman"/>
          <w:sz w:val="22"/>
          <w:szCs w:val="22"/>
        </w:rPr>
        <w:t xml:space="preserve"> a v rámci schválených limitov výdavkov jednotlivých kapitol štátneho rozpočtu na príslušný rozpočtový rok. </w:t>
      </w:r>
    </w:p>
    <w:p w:rsidR="00EA5D0F" w:rsidRPr="00062F60" w:rsidP="00EA5D0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sz w:val="22"/>
          <w:szCs w:val="22"/>
        </w:rPr>
      </w:pPr>
      <w:r w:rsidRPr="00062F60">
        <w:rPr>
          <w:rFonts w:ascii="Times New Roman" w:hAnsi="Times New Roman"/>
          <w:sz w:val="22"/>
          <w:szCs w:val="22"/>
        </w:rPr>
        <w:t xml:space="preserve">V zmysle uznesenia vlády SR </w:t>
      </w:r>
      <w:r w:rsidRPr="00062F60">
        <w:rPr>
          <w:rFonts w:ascii="Times New Roman" w:hAnsi="Times New Roman"/>
          <w:bCs/>
          <w:sz w:val="22"/>
          <w:szCs w:val="22"/>
        </w:rPr>
        <w:t xml:space="preserve">č. 387 </w:t>
      </w:r>
      <w:r w:rsidRPr="00062F60">
        <w:rPr>
          <w:rFonts w:ascii="Times New Roman" w:hAnsi="Times New Roman"/>
          <w:sz w:val="22"/>
          <w:szCs w:val="22"/>
        </w:rPr>
        <w:t xml:space="preserve">z 30. júla 2012  </w:t>
      </w:r>
      <w:r w:rsidRPr="00062F60">
        <w:rPr>
          <w:rFonts w:ascii="Times New Roman" w:hAnsi="Times New Roman"/>
          <w:bCs/>
          <w:sz w:val="22"/>
          <w:szCs w:val="22"/>
        </w:rPr>
        <w:t>k Správe o makroekonomickom vývoji a vývoji verejných financií za prvý polrok 2012 a predikcii vývoja do konca roka bolo v bode C. 1 ministrovi financií SR uložené viazať v kapitolách štátneho rozpočtu prostriedky v objeme 120 mil. eur a v bode D. 2 primátorom miest, starostom obcí a predsedom vyšších územných celkov odporučené prispôsobovať v záujme konsolidácie verejných financií výdavky miest, obcí a vyšších územných celkov vývoju ich príjmov. Uvedené opatrenie je záväzným limitom pre zamedzenie zvyšovania nákladov na bežnú prevádzku i investičné projekty, nekryté schválenými rozpočtovými opatreniami.</w:t>
      </w:r>
    </w:p>
    <w:p w:rsidR="00EA5D0F" w:rsidRPr="00062F60" w:rsidP="00EA5D0F">
      <w:pPr>
        <w:pStyle w:val="NormalWeb"/>
        <w:tabs>
          <w:tab w:val="left" w:pos="0"/>
        </w:tabs>
        <w:bidi w:val="0"/>
        <w:spacing w:before="0" w:beforeAutospacing="0" w:after="0" w:afterAutospacing="0"/>
        <w:jc w:val="both"/>
        <w:rPr>
          <w:rFonts w:ascii="Times New Roman" w:hAnsi="Times New Roman"/>
          <w:bCs/>
          <w:sz w:val="22"/>
          <w:szCs w:val="22"/>
        </w:rPr>
      </w:pPr>
    </w:p>
    <w:p w:rsidR="00EA5D0F" w:rsidRPr="00062F60" w:rsidP="00EA5D0F">
      <w:pPr>
        <w:pStyle w:val="NormalWeb"/>
        <w:tabs>
          <w:tab w:val="left" w:pos="0"/>
        </w:tabs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062F60">
        <w:rPr>
          <w:rFonts w:ascii="Times New Roman" w:hAnsi="Times New Roman"/>
          <w:bCs/>
          <w:sz w:val="22"/>
          <w:szCs w:val="22"/>
        </w:rPr>
        <w:t xml:space="preserve">Všetky moduly Ústredného portálu verejnej správy ako aj všetky referenčné registre sú v správe ústredných orgánov verejnej správy (ÚOŠS). Ich tvorba a prevádzka je krytá z rozpočtovej kapitoly príslušného ÚOŠS, preto sa územnej samosprávy uvedené náklady priamo netýkajú. </w:t>
      </w:r>
      <w:r w:rsidRPr="00062F60">
        <w:rPr>
          <w:rFonts w:ascii="Times New Roman" w:hAnsi="Times New Roman"/>
          <w:sz w:val="22"/>
          <w:szCs w:val="22"/>
        </w:rPr>
        <w:t xml:space="preserve">Orgány územnej samosprávy sú do systému elektronickej verejnej správy osobitne zapojené najmä Národným projektom Dátového centra miest a obcí. </w:t>
      </w:r>
    </w:p>
    <w:p w:rsidR="00EA5D0F" w:rsidRPr="00062F60" w:rsidP="00D54CD7">
      <w:pPr>
        <w:pStyle w:val="BodyTextIndent"/>
        <w:bidi w:val="0"/>
        <w:spacing w:before="120"/>
        <w:ind w:left="0"/>
        <w:jc w:val="both"/>
        <w:rPr>
          <w:rFonts w:ascii="Times New Roman" w:hAnsi="Times New Roman"/>
          <w:sz w:val="22"/>
          <w:szCs w:val="22"/>
        </w:rPr>
      </w:pPr>
      <w:r w:rsidRPr="00062F60">
        <w:rPr>
          <w:rFonts w:ascii="Times New Roman" w:hAnsi="Times New Roman"/>
          <w:sz w:val="22"/>
          <w:szCs w:val="22"/>
        </w:rPr>
        <w:t>K realizácii niektorých ustanovení zákona sú využívané nástroje, ktoré už v súčasnosti slúžia na realizáciu povinností vyplývajúcich z iných predpisov. Týmito nástrojmi sú napríklad elektronický podpis a elektronická podateľňa, ktoré sú orgány povinné využívať na základe zákona o elektronickom podpise a procesných predpisoch upravujúcich výkon ich pôsobnosti.</w:t>
      </w:r>
    </w:p>
    <w:p w:rsidR="00EA5D0F" w:rsidRPr="00062F60" w:rsidP="00D54CD7">
      <w:pPr>
        <w:pStyle w:val="BodyTextIndent"/>
        <w:bidi w:val="0"/>
        <w:spacing w:before="120"/>
        <w:ind w:left="0"/>
        <w:jc w:val="both"/>
        <w:rPr>
          <w:rFonts w:ascii="Times New Roman" w:hAnsi="Times New Roman"/>
          <w:sz w:val="22"/>
          <w:szCs w:val="22"/>
        </w:rPr>
      </w:pPr>
      <w:r w:rsidRPr="00062F60">
        <w:rPr>
          <w:rFonts w:ascii="Times New Roman" w:hAnsi="Times New Roman"/>
          <w:sz w:val="22"/>
          <w:szCs w:val="22"/>
        </w:rPr>
        <w:t>Obstarávacie náklady na IKT sú už v súčasnosti vo väčšine preinvestované v rámci obnovy životného cyklu, a  napr. "logovanie" prístupu k dátam a uchovávanie záznamov o ňom je štandardnou súčasťou moderného zabezpečenia informačného systému, a preto je možné tieto náklady uhradiť účelnou alokáciou prostriedkov v rámci obnovy životného cyklu informačných systémov.</w:t>
      </w:r>
    </w:p>
    <w:p w:rsidR="00EA5D0F" w:rsidRPr="00062F60" w:rsidP="00360FC1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062F60">
        <w:rPr>
          <w:rStyle w:val="spanr"/>
          <w:rFonts w:ascii="Times New Roman" w:hAnsi="Times New Roman"/>
          <w:bCs/>
          <w:sz w:val="22"/>
          <w:szCs w:val="22"/>
        </w:rPr>
        <w:t xml:space="preserve">Vzhľadom na fakt, že vláda SR schválila svojim uznesením č. 561 zo 17. 10. 2012 </w:t>
      </w:r>
      <w:r w:rsidRPr="00062F60">
        <w:rPr>
          <w:rStyle w:val="spanr"/>
          <w:rFonts w:ascii="Times New Roman" w:hAnsi="Times New Roman"/>
          <w:bCs/>
          <w:i/>
          <w:sz w:val="22"/>
          <w:szCs w:val="22"/>
        </w:rPr>
        <w:t>Návrh nového systému platenia, evidencie a zúčtovania správnych, a súdnych poplatkov</w:t>
      </w:r>
      <w:r w:rsidRPr="00062F60">
        <w:rPr>
          <w:rStyle w:val="spanr"/>
          <w:rFonts w:ascii="Times New Roman" w:hAnsi="Times New Roman"/>
          <w:bCs/>
          <w:sz w:val="22"/>
          <w:szCs w:val="22"/>
        </w:rPr>
        <w:t>, ktorý predstavuje komplexný spôsob úhrady správnych a súdnych poplatkov, z toho dôvodu neobsahuje návrh tohto zákona úpravu elektronického platenia týchto poplatkov. Z uvedeného dôvodu sa nepredpokladá rast príjmov štátneho rozpočtu zo správnych a súdnych poplatkov zabezpečovaných prostredníctvom návrhu tohto zákona.</w:t>
      </w:r>
    </w:p>
    <w:p w:rsidR="00EA5D0F" w:rsidRPr="00062F6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D54CD7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B02E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B02E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B02E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B02E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B02E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B02E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B02E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B02E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B02E0" w:rsidRPr="00062F6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4B678C" w:rsidRPr="00062F60" w:rsidP="004B678C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 w:val="22"/>
          <w:szCs w:val="22"/>
        </w:rPr>
      </w:pPr>
      <w:r w:rsidRPr="00062F60">
        <w:rPr>
          <w:rFonts w:ascii="Times New Roman" w:hAnsi="Times New Roman"/>
          <w:b w:val="0"/>
          <w:bCs/>
          <w:sz w:val="22"/>
          <w:szCs w:val="22"/>
        </w:rPr>
        <w:t>Tabuľka č. 4</w:t>
      </w:r>
    </w:p>
    <w:p w:rsidR="00D54CD7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B02E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B02E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Normal"/>
        <w:tblpPr w:leftFromText="141" w:rightFromText="141" w:vertAnchor="page" w:horzAnchor="margin" w:tblpY="3085"/>
        <w:tblW w:w="9568" w:type="dxa"/>
        <w:tblCellMar>
          <w:left w:w="70" w:type="dxa"/>
          <w:right w:w="70" w:type="dxa"/>
        </w:tblCellMar>
      </w:tblPr>
      <w:tblGrid>
        <w:gridCol w:w="3938"/>
        <w:gridCol w:w="1128"/>
        <w:gridCol w:w="1128"/>
        <w:gridCol w:w="1128"/>
        <w:gridCol w:w="1128"/>
        <w:gridCol w:w="1118"/>
      </w:tblGrid>
      <w:tr>
        <w:tblPrEx>
          <w:tblW w:w="9568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2B02E0" w:rsidRPr="00062F60" w:rsidP="002B02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 xml:space="preserve">Príjmy </w:t>
            </w: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(v tis. eur)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rozpočet verejnej správy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2B02E0" w:rsidRPr="00062F60" w:rsidP="002B02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poznámka</w:t>
            </w:r>
          </w:p>
        </w:tc>
      </w:tr>
      <w:tr>
        <w:tblPrEx>
          <w:tblW w:w="9568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2B02E0" w:rsidRPr="00062F60" w:rsidP="002B02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2B02E0" w:rsidRPr="00062F60" w:rsidP="002B02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2B02E0" w:rsidRPr="00062F60" w:rsidP="002B02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2B02E0" w:rsidRPr="00062F60" w:rsidP="002B02E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</w:p>
        </w:tc>
      </w:tr>
      <w:tr>
        <w:tblPrEx>
          <w:tblW w:w="9568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</w:pP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Daňové príjmy (100)</w:t>
            </w:r>
            <w:r w:rsidRPr="00062F60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568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Nedaňové príjmy (200)</w:t>
            </w:r>
            <w:r w:rsidRPr="00062F60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 xml:space="preserve">1 </w:t>
            </w: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221004 -  správne poplatky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568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Granty a transfery (300)</w:t>
            </w:r>
            <w:r w:rsidRPr="00062F60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568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Príjmy z transakcií s finančnými aktívami a finančnými pasívami (400)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568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Cs/>
                <w:sz w:val="22"/>
                <w:szCs w:val="22"/>
              </w:rPr>
              <w:t>Prijaté úvery, pôžičky a návratné finančné výpomoci (500)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568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Dopad na príjmy verejnej správy celkom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 w:themeColor="bg1" w:themeShade="FF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 w:themeColor="bg1" w:themeShade="FF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B02E0" w:rsidRPr="00062F60" w:rsidP="002B02E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 w:themeColor="bg1" w:themeShade="FF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2B02E0" w:rsidRPr="00062F60" w:rsidP="002B02E0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 </w:t>
            </w:r>
          </w:p>
        </w:tc>
      </w:tr>
    </w:tbl>
    <w:p w:rsidR="002B02E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B02E0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8452B" w:rsidRPr="00062F60" w:rsidP="0043573D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EA5D0F" w:rsidRPr="00062F60" w:rsidP="00EA5D0F">
      <w:pPr>
        <w:pStyle w:val="BodyText"/>
        <w:tabs>
          <w:tab w:val="num" w:pos="1080"/>
        </w:tabs>
        <w:bidi w:val="0"/>
        <w:ind w:right="-578"/>
        <w:jc w:val="center"/>
        <w:rPr>
          <w:rFonts w:ascii="Times New Roman" w:hAnsi="Times New Roman"/>
          <w:b w:val="0"/>
          <w:bCs/>
          <w:sz w:val="22"/>
          <w:szCs w:val="22"/>
        </w:rPr>
      </w:pPr>
      <w:r w:rsidRPr="00062F60">
        <w:rPr>
          <w:rFonts w:ascii="Times New Roman" w:hAnsi="Times New Roman"/>
          <w:b w:val="0"/>
          <w:bCs/>
          <w:sz w:val="22"/>
          <w:szCs w:val="22"/>
        </w:rPr>
        <w:tab/>
        <w:tab/>
        <w:tab/>
        <w:tab/>
        <w:tab/>
        <w:tab/>
        <w:tab/>
        <w:tab/>
        <w:tab/>
        <w:tab/>
        <w:tab/>
        <w:t>Tabuľka č. 5</w:t>
      </w:r>
    </w:p>
    <w:p w:rsidR="00EA5D0F" w:rsidRPr="00062F60" w:rsidP="00EA5D0F">
      <w:pPr>
        <w:pStyle w:val="BodyText"/>
        <w:tabs>
          <w:tab w:val="num" w:pos="1080"/>
        </w:tabs>
        <w:bidi w:val="0"/>
        <w:ind w:right="-578"/>
        <w:jc w:val="center"/>
        <w:rPr>
          <w:rFonts w:ascii="Times New Roman" w:hAnsi="Times New Roman"/>
          <w:b w:val="0"/>
          <w:bCs/>
          <w:sz w:val="22"/>
          <w:szCs w:val="22"/>
        </w:rPr>
      </w:pPr>
    </w:p>
    <w:p w:rsidR="00EA5D0F" w:rsidRPr="00062F60" w:rsidP="00EA5D0F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XSpec="center" w:tblpY="2"/>
        <w:tblW w:w="9709" w:type="dxa"/>
        <w:tblCellMar>
          <w:left w:w="70" w:type="dxa"/>
          <w:right w:w="70" w:type="dxa"/>
        </w:tblCellMar>
      </w:tblPr>
      <w:tblGrid>
        <w:gridCol w:w="4142"/>
        <w:gridCol w:w="800"/>
        <w:gridCol w:w="1187"/>
        <w:gridCol w:w="1189"/>
        <w:gridCol w:w="1256"/>
        <w:gridCol w:w="1135"/>
      </w:tblGrid>
      <w:tr>
        <w:tblPrEx>
          <w:tblW w:w="9709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A5D0F" w:rsidRPr="00062F60" w:rsidP="002842F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 xml:space="preserve">Výdavky </w:t>
            </w: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(v tis. eur)</w:t>
            </w: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A5D0F" w:rsidRPr="00062F60" w:rsidP="002842F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rozpočet verejnej správy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EA5D0F" w:rsidRPr="00062F60" w:rsidP="002842F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poznámka</w:t>
            </w: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D06598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06598" w:rsidRPr="00062F60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06598" w:rsidRPr="00062F60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06598" w:rsidRPr="00062F60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06598" w:rsidRPr="00062F60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6598" w:rsidRPr="00062F60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650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1 562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1 380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1 380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7C18" w:rsidRPr="00062F60" w:rsidP="00597C18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  Mzdy, platy, služobné príjmy a ostatné osobné vyrovnania (610)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7C18" w:rsidRPr="00062F60" w:rsidP="00597C18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  Poistné a príspevok do poisťovní (620)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7C18" w:rsidRPr="00062F60" w:rsidP="00597C18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  Tovary a služby (630)</w:t>
            </w:r>
            <w:r w:rsidRPr="00062F60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580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1 392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1 200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7C18" w:rsidRPr="00062F60" w:rsidP="00597C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1 200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7C18" w:rsidRPr="00062F60" w:rsidP="00597C18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Z toho: Štátny rozpočet - MF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>350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>350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3B2073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ÚV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Pr="003B207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  <w:r w:rsidRPr="003B207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B2073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3B207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B2073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3B207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95199C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MV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242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E35A5E" w:rsidP="0088528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</w:t>
            </w:r>
            <w:r w:rsidRPr="00F25F34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- M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F25F3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46E44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3B2073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  Bežné transfery (640)</w:t>
            </w:r>
            <w:r w:rsidRPr="00062F60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B2073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3B2073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B207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Z toho: Štátny rozpočet - MF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3B207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3B2073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ÚV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2</w:t>
            </w:r>
            <w:r w:rsidRPr="003B207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5199C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3B2073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MV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E35A5E" w:rsidP="0088528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</w:t>
            </w:r>
            <w:r w:rsidRPr="00F25F34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- M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F25F3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46E44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3B2073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  Splácanie úrokov a ostatné platby súvisiace s úvermi, pôžičkami a NFV (650)</w:t>
            </w:r>
            <w:r w:rsidRPr="00062F60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Kapitálové výdavky (700)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1 674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sz w:val="22"/>
                <w:szCs w:val="22"/>
              </w:rPr>
              <w:t>4 198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3 398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2F60">
              <w:rPr>
                <w:rFonts w:ascii="Times New Roman" w:hAnsi="Times New Roman"/>
                <w:b/>
                <w:bCs/>
                <w:sz w:val="22"/>
                <w:szCs w:val="22"/>
              </w:rPr>
              <w:t>3 398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  Obstarávanie kapitálových aktív (710)</w:t>
            </w:r>
            <w:r w:rsidRPr="00062F60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1 116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3 062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2 218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2 218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02AD" w:rsidRPr="00062F60" w:rsidP="00F902A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Z toho: Štátny rozpočet - MF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902AD" w:rsidRPr="00062F60" w:rsidP="00F902A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02AD" w:rsidRPr="00362D95" w:rsidP="00F902A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ÚV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902AD" w:rsidRPr="00062F60" w:rsidP="00F902A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02AD" w:rsidRPr="00362D95" w:rsidP="00F902A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MV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902AD" w:rsidRPr="00062F60" w:rsidP="00F902A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02AD" w:rsidRPr="00E35A5E" w:rsidP="00F902A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</w:t>
            </w:r>
            <w:r w:rsidRPr="00F25F34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- M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F25F3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062F60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902AD" w:rsidRPr="00062F60" w:rsidP="00F902A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 xml:space="preserve">  Kapitálové transfery (720)</w:t>
            </w:r>
            <w:r w:rsidRPr="00062F60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558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1 136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1 180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062F60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1 180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062F60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2F60">
              <w:rPr>
                <w:rFonts w:ascii="Times New Roman" w:hAnsi="Times New Roman"/>
                <w:color w:val="000000"/>
                <w:sz w:val="22"/>
                <w:szCs w:val="22"/>
              </w:rPr>
              <w:t>Z toho: Štátny rozpočet - MF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B2073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E40F58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362D95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ÚV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362D9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  <w:r w:rsidRPr="00362D9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362D9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362D9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362D95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362D95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MV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362D9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362D95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362D95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362D95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362D95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E35A5E" w:rsidP="0088528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</w:t>
            </w:r>
            <w:r w:rsidRPr="00F25F34">
              <w:rPr>
                <w:rFonts w:ascii="Times New Roman" w:hAnsi="Times New Roman"/>
                <w:color w:val="000000"/>
                <w:sz w:val="22"/>
                <w:szCs w:val="22"/>
              </w:rPr>
              <w:t>Štátny rozpočet - M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F25F3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E35A5E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46E44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3B2073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Dopad na výdavky verejnej správy celkom</w:t>
            </w:r>
          </w:p>
        </w:tc>
        <w:tc>
          <w:tcPr>
            <w:tcW w:w="80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/>
                <w:sz w:val="22"/>
                <w:szCs w:val="22"/>
              </w:rPr>
              <w:t>2 524</w:t>
            </w:r>
          </w:p>
        </w:tc>
        <w:tc>
          <w:tcPr>
            <w:tcW w:w="1187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6 362</w:t>
            </w:r>
          </w:p>
        </w:tc>
        <w:tc>
          <w:tcPr>
            <w:tcW w:w="1189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5 178</w:t>
            </w:r>
          </w:p>
        </w:tc>
        <w:tc>
          <w:tcPr>
            <w:tcW w:w="1256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5 178</w:t>
            </w:r>
          </w:p>
        </w:tc>
        <w:tc>
          <w:tcPr>
            <w:tcW w:w="1135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88528B" w:rsidRPr="00362D95" w:rsidP="0088528B">
            <w:pPr>
              <w:bidi w:val="0"/>
              <w:spacing w:after="0" w:line="240" w:lineRule="auto"/>
              <w:rPr>
                <w:rFonts w:ascii="Times New Roman" w:hAnsi="Times New Roman"/>
                <w:color w:val="FFFFFF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color w:val="FFFFFF"/>
                <w:sz w:val="22"/>
                <w:szCs w:val="22"/>
              </w:rPr>
              <w:t> </w:t>
            </w: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z toho výdavky na ŠR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sz w:val="22"/>
                <w:szCs w:val="22"/>
              </w:rPr>
              <w:t>2 324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/>
                <w:sz w:val="22"/>
                <w:szCs w:val="22"/>
              </w:rPr>
              <w:t>5 760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4 778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4 778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362D95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Cs/>
                <w:sz w:val="22"/>
                <w:szCs w:val="22"/>
              </w:rPr>
              <w:t xml:space="preserve">        Bežné výdavky</w:t>
            </w:r>
            <w:r w:rsidRPr="00362D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362D95">
              <w:rPr>
                <w:rFonts w:ascii="Times New Roman" w:hAnsi="Times New Roman"/>
                <w:bCs/>
                <w:sz w:val="22"/>
                <w:szCs w:val="22"/>
              </w:rPr>
              <w:t>(600)</w:t>
            </w:r>
            <w:r w:rsidRPr="00362D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Cs/>
                <w:sz w:val="22"/>
                <w:szCs w:val="22"/>
              </w:rPr>
              <w:t>650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Cs/>
                <w:sz w:val="22"/>
                <w:szCs w:val="22"/>
              </w:rPr>
              <w:t>1 562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Cs/>
                <w:sz w:val="22"/>
                <w:szCs w:val="22"/>
              </w:rPr>
              <w:t>1 380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362D95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62D95">
              <w:rPr>
                <w:rFonts w:ascii="Times New Roman" w:hAnsi="Times New Roman"/>
                <w:bCs/>
                <w:sz w:val="22"/>
                <w:szCs w:val="22"/>
              </w:rPr>
              <w:t>1 380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362D95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362D95" w:rsidP="0088528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62D95">
              <w:rPr>
                <w:rFonts w:ascii="Times New Roman" w:hAnsi="Times New Roman"/>
                <w:color w:val="000000"/>
                <w:sz w:val="22"/>
                <w:szCs w:val="22"/>
              </w:rPr>
              <w:t>Z toho: Štátny rozpočet - MF SR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E40F58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E40F58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512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E40F58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418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E40F58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E40F58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88528B" w:rsidP="0088528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852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ÚV SR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713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675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675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88528B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88528B" w:rsidP="0088528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852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MV SR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267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88528B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528B" w:rsidRPr="00E35A5E" w:rsidP="0088528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MS</w:t>
            </w:r>
            <w:r w:rsidRPr="00F25F3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E35A5E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46E44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95199C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3B2073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74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8528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</w:t>
            </w:r>
            <w:r w:rsidRPr="0088528B">
              <w:rPr>
                <w:rFonts w:ascii="Times New Roman" w:hAnsi="Times New Roman"/>
                <w:sz w:val="22"/>
                <w:szCs w:val="22"/>
              </w:rPr>
              <w:t xml:space="preserve"> Mzdy, platy, služobné príjmy a ostatné osobné vyrovnania (610)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88528B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8528B">
              <w:rPr>
                <w:rFonts w:ascii="Times New Roman" w:hAnsi="Times New Roman"/>
                <w:bCs/>
                <w:sz w:val="22"/>
                <w:szCs w:val="22"/>
              </w:rPr>
              <w:t xml:space="preserve">        Kapitálové výdavky (700)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88528B">
              <w:rPr>
                <w:rFonts w:ascii="Times New Roman" w:hAnsi="Times New Roman"/>
                <w:bCs/>
                <w:sz w:val="22"/>
                <w:szCs w:val="22"/>
              </w:rPr>
              <w:t>1 674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88528B">
              <w:rPr>
                <w:rFonts w:ascii="Times New Roman" w:hAnsi="Times New Roman"/>
                <w:sz w:val="22"/>
                <w:szCs w:val="22"/>
              </w:rPr>
              <w:t>4 198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88528B">
              <w:rPr>
                <w:rFonts w:ascii="Times New Roman" w:hAnsi="Times New Roman"/>
                <w:bCs/>
                <w:sz w:val="22"/>
                <w:szCs w:val="22"/>
              </w:rPr>
              <w:t>3 398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528B" w:rsidRPr="0088528B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88528B">
              <w:rPr>
                <w:rFonts w:ascii="Times New Roman" w:hAnsi="Times New Roman"/>
                <w:bCs/>
                <w:sz w:val="22"/>
                <w:szCs w:val="22"/>
              </w:rPr>
              <w:t>3 398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8528B" w:rsidRPr="0088528B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02AD" w:rsidRPr="0088528B" w:rsidP="00F902AD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8528B">
              <w:rPr>
                <w:rFonts w:ascii="Times New Roman" w:hAnsi="Times New Roman"/>
                <w:color w:val="000000"/>
                <w:sz w:val="22"/>
                <w:szCs w:val="22"/>
              </w:rPr>
              <w:t>Z toho: Štátny rozpočet - MF SR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E40F58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E40F58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E40F58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675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E40F58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675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902AD" w:rsidRPr="00062F60" w:rsidP="00F902A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02AD" w:rsidRPr="00F902AD" w:rsidP="00F902AD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ÚV SR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F902AD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520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F902AD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1 420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F902AD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1 23</w:t>
            </w:r>
            <w:r w:rsidRPr="00F902AD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F902AD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1 23</w:t>
            </w:r>
            <w:r w:rsidRPr="00F902AD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902AD" w:rsidRPr="00F902AD" w:rsidP="00F902A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02AD" w:rsidRPr="00F902AD" w:rsidP="00F902AD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MV SR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F902AD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548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F902AD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1 036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F902AD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F902AD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902AD" w:rsidRPr="00F902AD" w:rsidP="00F902A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02AD" w:rsidRPr="00E35A5E" w:rsidP="00F902A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Štátny rozpočet - MS</w:t>
            </w:r>
            <w:r w:rsidRPr="00F25F3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846E44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95199C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3B2073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633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02AD" w:rsidRPr="003B2073" w:rsidP="00F902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633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902AD" w:rsidRPr="003B2073" w:rsidP="00F902AD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09" w:type="dxa"/>
        </w:tblPrEx>
        <w:trPr>
          <w:trHeight w:val="255"/>
        </w:trPr>
        <w:tc>
          <w:tcPr>
            <w:tcW w:w="4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8528B" w:rsidRPr="00F902AD" w:rsidP="0088528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8528B" w:rsidRPr="00F902AD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8528B" w:rsidRPr="00F902AD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8528B" w:rsidRPr="00F902AD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8528B" w:rsidRPr="00F902AD" w:rsidP="0088528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88528B" w:rsidRPr="00F902AD" w:rsidP="0088528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8452B" w:rsidRPr="00F902AD" w:rsidP="00EA5D0F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 w:val="22"/>
          <w:szCs w:val="22"/>
        </w:rPr>
      </w:pPr>
    </w:p>
    <w:p w:rsidR="00EA5D0F" w:rsidRPr="00F902AD" w:rsidP="00EA5D0F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 w:val="22"/>
          <w:szCs w:val="22"/>
        </w:rPr>
      </w:pPr>
      <w:r w:rsidRPr="00F902AD">
        <w:rPr>
          <w:rFonts w:ascii="Times New Roman" w:hAnsi="Times New Roman"/>
          <w:b w:val="0"/>
          <w:bCs/>
          <w:sz w:val="22"/>
          <w:szCs w:val="22"/>
        </w:rPr>
        <w:t xml:space="preserve">Tabuľka č. 6  </w:t>
      </w:r>
    </w:p>
    <w:p w:rsidR="00EA5D0F" w:rsidRPr="00F902AD" w:rsidP="00EA5D0F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 w:val="22"/>
          <w:szCs w:val="22"/>
        </w:rPr>
      </w:pPr>
    </w:p>
    <w:p w:rsidR="00EA5D0F" w:rsidRPr="00F902AD" w:rsidP="00EA5D0F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 w:val="22"/>
          <w:szCs w:val="22"/>
        </w:rPr>
      </w:pPr>
      <w:r w:rsidRPr="00F902AD">
        <w:rPr>
          <w:rFonts w:ascii="Times New Roman" w:hAnsi="Times New Roman"/>
          <w:b w:val="0"/>
          <w:bCs/>
          <w:sz w:val="22"/>
          <w:szCs w:val="22"/>
        </w:rPr>
        <w:t xml:space="preserve">            </w:t>
      </w:r>
    </w:p>
    <w:tbl>
      <w:tblPr>
        <w:tblStyle w:val="TableNormal"/>
        <w:tblW w:w="10657" w:type="dxa"/>
        <w:tblInd w:w="-522" w:type="dxa"/>
        <w:tblCellMar>
          <w:left w:w="70" w:type="dxa"/>
          <w:right w:w="70" w:type="dxa"/>
        </w:tblCellMar>
      </w:tblPr>
      <w:tblGrid>
        <w:gridCol w:w="4625"/>
        <w:gridCol w:w="762"/>
        <w:gridCol w:w="1275"/>
        <w:gridCol w:w="1134"/>
        <w:gridCol w:w="1134"/>
        <w:gridCol w:w="1727"/>
      </w:tblGrid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A5D0F" w:rsidRPr="00F902AD" w:rsidP="002842F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Zamestnanosť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A5D0F" w:rsidRPr="00F902AD" w:rsidP="008D1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 xml:space="preserve">Vplyv na rozpočet verejnej správy 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EA5D0F" w:rsidRPr="00F902AD" w:rsidP="002842F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poznámka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6598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06598" w:rsidRPr="00F902AD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06598" w:rsidRPr="00F902AD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06598" w:rsidRPr="00F902AD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06598" w:rsidRPr="00F902AD" w:rsidP="00D07A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6598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Cs/>
                <w:sz w:val="22"/>
                <w:szCs w:val="22"/>
              </w:rPr>
              <w:t>Počet zamestnancov celkom*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Cs/>
                <w:sz w:val="22"/>
                <w:szCs w:val="22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Cs/>
                <w:sz w:val="22"/>
                <w:szCs w:val="22"/>
              </w:rPr>
              <w:t>Priemerný mzdový výdavok (v eurách)*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Cs/>
                <w:sz w:val="22"/>
                <w:szCs w:val="22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Osobné výdavky celkom (v eurách)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Cs/>
                <w:sz w:val="22"/>
                <w:szCs w:val="22"/>
              </w:rPr>
              <w:t xml:space="preserve">Mzdy, platy, služobné príjmy a ostatné osobné vyrovnania (610)*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Cs/>
                <w:sz w:val="22"/>
                <w:szCs w:val="22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Cs/>
                <w:sz w:val="22"/>
                <w:szCs w:val="22"/>
              </w:rPr>
              <w:t>Poistné a príspevok do poisťovní (620)*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Cs/>
                <w:sz w:val="22"/>
                <w:szCs w:val="22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5D0F" w:rsidRPr="00F902AD" w:rsidP="002842F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5D0F" w:rsidRPr="00F902AD" w:rsidP="002842F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EA5D0F" w:rsidRPr="00F902AD" w:rsidP="00EA5D0F">
      <w:pPr>
        <w:bidi w:val="0"/>
        <w:ind w:left="-567"/>
        <w:rPr>
          <w:rFonts w:ascii="Times New Roman" w:hAnsi="Times New Roman"/>
          <w:i/>
          <w:sz w:val="22"/>
          <w:szCs w:val="22"/>
        </w:rPr>
      </w:pPr>
      <w:r w:rsidRPr="00F902AD">
        <w:rPr>
          <w:rFonts w:ascii="Times New Roman" w:hAnsi="Times New Roman"/>
          <w:bCs/>
          <w:i/>
          <w:sz w:val="22"/>
          <w:szCs w:val="22"/>
        </w:rPr>
        <w:t>*Mzdové náklady sú marginálne, pretože o</w:t>
      </w:r>
      <w:r w:rsidRPr="00F902AD">
        <w:rPr>
          <w:rFonts w:ascii="Times New Roman" w:hAnsi="Times New Roman"/>
          <w:i/>
          <w:sz w:val="22"/>
          <w:szCs w:val="22"/>
        </w:rPr>
        <w:t>bslužné činnosti budú v absolútnej väčšine vykonávať preškolení súčasní pracovníci povinných osôb (orgánov verejnej správy a verejnej moci).</w:t>
      </w:r>
    </w:p>
    <w:p w:rsidR="00EA5D0F" w:rsidRPr="00F902AD" w:rsidP="00EA5D0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481005" w:rsidRPr="00F902AD" w:rsidP="004D50BB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4D50BB" w:rsidRPr="00F902AD" w:rsidP="004D50BB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F902AD">
        <w:rPr>
          <w:rFonts w:ascii="Times New Roman" w:hAnsi="Times New Roman"/>
          <w:b/>
          <w:bCs/>
          <w:sz w:val="22"/>
          <w:szCs w:val="22"/>
        </w:rPr>
        <w:t>Vplyvy na podnikateľské prostredie</w:t>
      </w:r>
    </w:p>
    <w:p w:rsidR="004D50BB" w:rsidRPr="00F902AD" w:rsidP="004D50BB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p w:rsidR="004D50BB" w:rsidRPr="00F902AD" w:rsidP="004D50BB">
      <w:pPr>
        <w:bidi w:val="0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4D50BB" w:rsidRPr="00F902AD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3.1</w:t>
            </w:r>
            <w:r w:rsidRPr="00F902AD">
              <w:rPr>
                <w:rFonts w:ascii="Times New Roman" w:hAnsi="Times New Roman"/>
                <w:sz w:val="22"/>
                <w:szCs w:val="22"/>
              </w:rPr>
              <w:t>. Ktoré podnikateľské subjekty budú predkladaným návrhom ovplyvnené a aký je ich počet?</w:t>
            </w:r>
          </w:p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D50BB" w:rsidRPr="00F902AD" w:rsidP="00360FC1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 w:rsidR="0059028A">
              <w:rPr>
                <w:rFonts w:ascii="Times New Roman" w:hAnsi="Times New Roman"/>
                <w:sz w:val="22"/>
                <w:szCs w:val="22"/>
              </w:rPr>
              <w:t>Notári</w:t>
            </w:r>
            <w:r w:rsidRPr="00F902AD" w:rsidR="008C7261">
              <w:rPr>
                <w:rFonts w:ascii="Times New Roman" w:hAnsi="Times New Roman"/>
                <w:sz w:val="22"/>
                <w:szCs w:val="22"/>
              </w:rPr>
              <w:t>, patentoví zástupcovia</w:t>
            </w:r>
            <w:r w:rsidRPr="00F902AD" w:rsidR="00360FC1">
              <w:rPr>
                <w:rFonts w:ascii="Times New Roman" w:hAnsi="Times New Roman"/>
                <w:sz w:val="22"/>
                <w:szCs w:val="22"/>
              </w:rPr>
              <w:t xml:space="preserve">, novovzniknuté právnické osoby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74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3.2</w:t>
            </w:r>
            <w:r w:rsidRPr="00F902AD">
              <w:rPr>
                <w:rFonts w:ascii="Times New Roman" w:hAnsi="Times New Roman"/>
                <w:sz w:val="22"/>
                <w:szCs w:val="22"/>
              </w:rPr>
              <w:t>. Aký je predpokladaný charakter a rozsah nákladov a prínosov?</w:t>
            </w:r>
          </w:p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D50BB" w:rsidRPr="00F902AD" w:rsidP="0059028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2"/>
                <w:szCs w:val="22"/>
                <w:lang w:eastAsia="en-US"/>
              </w:rPr>
            </w:pPr>
            <w:r w:rsidRPr="00F902AD" w:rsidR="0059028A">
              <w:rPr>
                <w:rFonts w:ascii="Times New Roman" w:hAnsi="Times New Roman"/>
                <w:sz w:val="22"/>
                <w:szCs w:val="22"/>
              </w:rPr>
              <w:t xml:space="preserve">Odstránenie povinnosti vykonávať zadarmo </w:t>
            </w:r>
            <w:r w:rsidRPr="00F902AD" w:rsidR="0059028A">
              <w:rPr>
                <w:rFonts w:ascii="Times New Roman" w:hAnsi="Times New Roman"/>
                <w:color w:val="231F20"/>
                <w:sz w:val="22"/>
                <w:szCs w:val="22"/>
                <w:lang w:eastAsia="en-US"/>
              </w:rPr>
              <w:t xml:space="preserve">zaručenú </w:t>
            </w:r>
            <w:r w:rsidRPr="00F902AD" w:rsidR="0059028A">
              <w:rPr>
                <w:rFonts w:ascii="Times New Roman" w:hAnsi="Times New Roman"/>
                <w:sz w:val="22"/>
                <w:szCs w:val="22"/>
              </w:rPr>
              <w:t xml:space="preserve">konverziu dokumentov, </w:t>
            </w:r>
            <w:r w:rsidRPr="00F902AD" w:rsidR="0059028A">
              <w:rPr>
                <w:rFonts w:ascii="Times New Roman" w:hAnsi="Times New Roman"/>
                <w:color w:val="231F20"/>
                <w:sz w:val="22"/>
                <w:szCs w:val="22"/>
                <w:lang w:eastAsia="en-US"/>
              </w:rPr>
              <w:t>ak ide o konverziu dokumentov, ktoré vznikli z činnosti notárskeho úradu s inou miestnou príslušnosťou.</w:t>
            </w:r>
          </w:p>
          <w:p w:rsidR="008C7261" w:rsidRPr="00F902AD" w:rsidP="008C726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sz w:val="22"/>
                <w:szCs w:val="22"/>
              </w:rPr>
              <w:t>Patentoví zástupcovia budú oprávnenými osobami pre výkon konverzií.</w:t>
            </w:r>
          </w:p>
          <w:p w:rsidR="00360FC1" w:rsidRPr="00F902AD" w:rsidP="0077730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sz w:val="22"/>
                <w:szCs w:val="22"/>
              </w:rPr>
              <w:t>Aktivácia elektronických schránok právnickým osobám  zriadeným po účinnosti zákona automaticky pri ich vzniku a zapísaní do príslušného registra</w:t>
            </w:r>
            <w:r w:rsidRPr="00F902AD" w:rsidR="00777304">
              <w:rPr>
                <w:rFonts w:ascii="Times New Roman" w:hAnsi="Times New Roman"/>
                <w:sz w:val="22"/>
                <w:szCs w:val="22"/>
              </w:rPr>
              <w:t>. Zároveň sa vynímajú zdravotnícke IS</w:t>
            </w:r>
            <w:r w:rsidRPr="00F902AD" w:rsidR="00646787">
              <w:rPr>
                <w:rFonts w:ascii="Times New Roman" w:hAnsi="Times New Roman"/>
                <w:sz w:val="22"/>
                <w:szCs w:val="22"/>
              </w:rPr>
              <w:t>VS</w:t>
            </w:r>
            <w:r w:rsidRPr="00F902AD" w:rsidR="00777304">
              <w:rPr>
                <w:rFonts w:ascii="Times New Roman" w:hAnsi="Times New Roman"/>
                <w:sz w:val="22"/>
                <w:szCs w:val="22"/>
              </w:rPr>
              <w:t xml:space="preserve"> spod pôsobnosti zákona, čím sa im liberalizuje prevádzkový režim.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3.3</w:t>
            </w:r>
            <w:r w:rsidRPr="00F902AD">
              <w:rPr>
                <w:rFonts w:ascii="Times New Roman" w:hAnsi="Times New Roman"/>
                <w:sz w:val="22"/>
                <w:szCs w:val="22"/>
              </w:rPr>
              <w:t>. Aká je predpokladaná výška administratívnych nákladov, ktoré podniky vynaložia v súvislosti s implementáciou návrhu?</w:t>
            </w:r>
          </w:p>
          <w:p w:rsidR="004D50BB" w:rsidRPr="00F902AD" w:rsidP="0059703B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:rsidR="004D50BB" w:rsidRPr="00F902AD" w:rsidP="0059028A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 w:rsidR="0059028A">
              <w:rPr>
                <w:rFonts w:ascii="Times New Roman" w:hAnsi="Times New Roman"/>
                <w:sz w:val="22"/>
                <w:szCs w:val="22"/>
              </w:rPr>
              <w:t xml:space="preserve">Žiadne.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3.4</w:t>
            </w:r>
            <w:r w:rsidRPr="00F902AD">
              <w:rPr>
                <w:rFonts w:ascii="Times New Roman" w:hAnsi="Times New Roman"/>
                <w:sz w:val="22"/>
                <w:szCs w:val="22"/>
              </w:rPr>
              <w:t>. Aké sú dôsledky pripravovaného návrhu pre fungovanie podnikateľských subjektov na slovenskom trhu (ako sa zmenia operácie na trhu?)</w:t>
            </w:r>
          </w:p>
          <w:p w:rsidR="004D50BB" w:rsidRPr="00F902AD" w:rsidP="0059703B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902AD" w:rsidR="0059028A">
              <w:rPr>
                <w:rFonts w:ascii="Times New Roman" w:hAnsi="Times New Roman"/>
                <w:color w:val="000000"/>
                <w:sz w:val="22"/>
                <w:szCs w:val="22"/>
              </w:rPr>
              <w:t>P</w:t>
            </w:r>
            <w:r w:rsidRPr="00F902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ozitívne dôsledky budú v oblasti zvýšenia efektivity a odstraňovaním administratívnej </w:t>
            </w:r>
            <w:r w:rsidRPr="00F902AD" w:rsidR="005902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 finančnej </w:t>
            </w:r>
            <w:r w:rsidRPr="00F902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náročnosti </w:t>
            </w:r>
            <w:r w:rsidRPr="00F902AD" w:rsidR="0059028A">
              <w:rPr>
                <w:rFonts w:ascii="Times New Roman" w:hAnsi="Times New Roman"/>
                <w:color w:val="000000"/>
                <w:sz w:val="22"/>
                <w:szCs w:val="22"/>
              </w:rPr>
              <w:t>úkonu.</w:t>
            </w:r>
          </w:p>
          <w:p w:rsidR="004D50BB" w:rsidRPr="00F902AD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3.5</w:t>
            </w:r>
            <w:r w:rsidRPr="00F902AD">
              <w:rPr>
                <w:rFonts w:ascii="Times New Roman" w:hAnsi="Times New Roman"/>
                <w:sz w:val="22"/>
                <w:szCs w:val="22"/>
              </w:rPr>
              <w:t>. Aké sú predpokladané spoločensko – ekonomické dôsledky pripravovaných regulácií?</w:t>
            </w:r>
          </w:p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D50BB" w:rsidRPr="00F902AD" w:rsidP="00AC35AF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sz w:val="22"/>
                <w:szCs w:val="22"/>
              </w:rPr>
              <w:t xml:space="preserve"> Výrazné </w:t>
            </w:r>
            <w:r w:rsidRPr="00F902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odstránenie administratívnej </w:t>
            </w:r>
            <w:r w:rsidRPr="00F902AD" w:rsidR="005902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 finančnej </w:t>
            </w:r>
            <w:r w:rsidRPr="00F902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náročnosti pri </w:t>
            </w:r>
            <w:r w:rsidRPr="00F902AD" w:rsidR="0059028A">
              <w:rPr>
                <w:rFonts w:ascii="Times New Roman" w:hAnsi="Times New Roman"/>
                <w:color w:val="000000"/>
                <w:sz w:val="22"/>
                <w:szCs w:val="22"/>
              </w:rPr>
              <w:t>zabezpečovaní konverzie dokumentov.</w:t>
            </w:r>
          </w:p>
        </w:tc>
      </w:tr>
    </w:tbl>
    <w:p w:rsidR="00264DC2" w:rsidRPr="00F902AD" w:rsidP="004D50BB">
      <w:pPr>
        <w:pStyle w:val="BodyText"/>
        <w:bidi w:val="0"/>
        <w:jc w:val="center"/>
        <w:rPr>
          <w:rFonts w:ascii="Times New Roman" w:hAnsi="Times New Roman"/>
          <w:bCs/>
          <w:sz w:val="22"/>
          <w:szCs w:val="22"/>
        </w:rPr>
      </w:pPr>
    </w:p>
    <w:p w:rsidR="004D50BB" w:rsidRPr="00F902AD" w:rsidP="004D50BB">
      <w:pPr>
        <w:pStyle w:val="BodyText"/>
        <w:bidi w:val="0"/>
        <w:jc w:val="center"/>
        <w:rPr>
          <w:rFonts w:ascii="Times New Roman" w:hAnsi="Times New Roman"/>
          <w:bCs/>
          <w:sz w:val="22"/>
          <w:szCs w:val="22"/>
        </w:rPr>
      </w:pPr>
      <w:r w:rsidRPr="00F902AD">
        <w:rPr>
          <w:rFonts w:ascii="Times New Roman" w:hAnsi="Times New Roman"/>
          <w:bCs/>
          <w:sz w:val="22"/>
          <w:szCs w:val="22"/>
        </w:rPr>
        <w:t>Vplyvy na informatizáciu spoločnosti</w:t>
      </w:r>
    </w:p>
    <w:p w:rsidR="004D50BB" w:rsidRPr="00F902AD" w:rsidP="004D50BB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 w:val="22"/>
          <w:szCs w:val="22"/>
        </w:rPr>
      </w:pPr>
    </w:p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4136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F902AD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Budovanie základných pilierov informatizácie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FFFFFF"/>
                <w:sz w:val="22"/>
                <w:szCs w:val="22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D50BB" w:rsidRPr="00F902AD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Obsah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6.1.</w:t>
            </w:r>
            <w:r w:rsidRPr="00F902AD">
              <w:rPr>
                <w:rFonts w:ascii="Times New Roman" w:hAnsi="Times New Roman"/>
                <w:sz w:val="22"/>
                <w:szCs w:val="22"/>
              </w:rPr>
              <w:t xml:space="preserve"> Rozširujú alebo inovujú  sa existujúce alebo vytvárajú sa či zavádzajú  sa nové elektronické služby?</w:t>
            </w:r>
          </w:p>
          <w:p w:rsidR="004D50BB" w:rsidRPr="00F902AD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/>
                <w:iCs/>
                <w:sz w:val="22"/>
                <w:szCs w:val="22"/>
              </w:rPr>
              <w:t>(Popíšte ich funkciu a úroveň poskytovania.)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Cs/>
                <w:sz w:val="22"/>
                <w:szCs w:val="22"/>
              </w:rPr>
              <w:t xml:space="preserve">Áno, </w:t>
            </w:r>
            <w:r w:rsidRPr="00F902AD" w:rsidR="00A96883">
              <w:rPr>
                <w:rFonts w:ascii="Times New Roman" w:hAnsi="Times New Roman"/>
                <w:iCs/>
                <w:sz w:val="22"/>
                <w:szCs w:val="22"/>
              </w:rPr>
              <w:t xml:space="preserve">upravuje sa gestorstvo </w:t>
            </w:r>
            <w:r w:rsidRPr="00F902AD" w:rsidR="00C309BC">
              <w:rPr>
                <w:rFonts w:ascii="Times New Roman" w:hAnsi="Times New Roman"/>
                <w:iCs/>
                <w:sz w:val="22"/>
                <w:szCs w:val="22"/>
              </w:rPr>
              <w:t xml:space="preserve">niektorých </w:t>
            </w:r>
            <w:r w:rsidRPr="00F902AD" w:rsidR="00A96883">
              <w:rPr>
                <w:rFonts w:ascii="Times New Roman" w:hAnsi="Times New Roman"/>
                <w:iCs/>
                <w:sz w:val="22"/>
                <w:szCs w:val="22"/>
              </w:rPr>
              <w:t>spoločných modulov,</w:t>
            </w:r>
            <w:r w:rsidRPr="00F902AD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F902AD" w:rsidR="00C309BC">
              <w:rPr>
                <w:rFonts w:ascii="Times New Roman" w:hAnsi="Times New Roman"/>
                <w:iCs/>
                <w:sz w:val="22"/>
                <w:szCs w:val="22"/>
              </w:rPr>
              <w:t>zavádzajú sa zdrojové registre, upravuje sa mechanizmus platieb cez platobný modul, upravuje sa pripájanie platobných príkazov, register systémových certifikátov, časové pečiatky bez obmedzení pre spracovanie podaní a vyhotovovanie rozhodnutí.</w:t>
            </w:r>
          </w:p>
          <w:p w:rsidR="004D50BB" w:rsidRPr="00F902AD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D50BB" w:rsidRPr="00F902AD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sz w:val="22"/>
                <w:szCs w:val="22"/>
              </w:rPr>
              <w:t>Úroveň IV (transakčná).</w:t>
            </w:r>
          </w:p>
          <w:p w:rsidR="004D50BB" w:rsidRPr="00F902AD" w:rsidP="0059703B">
            <w:pPr>
              <w:bidi w:val="0"/>
              <w:spacing w:after="0" w:line="240" w:lineRule="auto"/>
              <w:ind w:firstLine="7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6.2.</w:t>
            </w:r>
            <w:r w:rsidRPr="00F902AD">
              <w:rPr>
                <w:rFonts w:ascii="Times New Roman" w:hAnsi="Times New Roman"/>
                <w:sz w:val="22"/>
                <w:szCs w:val="22"/>
              </w:rPr>
              <w:t xml:space="preserve"> Vytvárajú sa podmienky pre sémantickú interoperabilitu?</w:t>
            </w:r>
          </w:p>
          <w:p w:rsidR="004D50BB" w:rsidRPr="00F902AD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/>
                <w:iCs/>
                <w:sz w:val="22"/>
                <w:szCs w:val="22"/>
              </w:rPr>
              <w:t>(Popíšte spôsob jej zabezpečenia.)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Cs/>
                <w:sz w:val="22"/>
                <w:szCs w:val="22"/>
              </w:rPr>
              <w:t xml:space="preserve">Áno, </w:t>
            </w:r>
            <w:r w:rsidRPr="00F902AD">
              <w:rPr>
                <w:rFonts w:ascii="Times New Roman" w:hAnsi="Times New Roman"/>
                <w:color w:val="000000"/>
                <w:sz w:val="22"/>
                <w:szCs w:val="22"/>
              </w:rPr>
              <w:t>predmetom úpravy návrhu zákona sú aj pravidlá prepojiteľnosti ISVS.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D50BB" w:rsidRPr="00F902AD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Ľudia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D50BB" w:rsidRPr="00F902AD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6.3.</w:t>
            </w:r>
            <w:r w:rsidRPr="00F902AD">
              <w:rPr>
                <w:rFonts w:ascii="Times New Roman" w:hAnsi="Times New Roman"/>
                <w:sz w:val="22"/>
                <w:szCs w:val="22"/>
              </w:rPr>
              <w:t xml:space="preserve"> Zabezpečuje sa vzdelávanie v oblasti počítačovej gramotnosti a rozširovanie vedomostí o IKT?</w:t>
            </w:r>
          </w:p>
          <w:p w:rsidR="004D50BB" w:rsidRPr="00F902AD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/>
                <w:iCs/>
                <w:sz w:val="22"/>
                <w:szCs w:val="22"/>
              </w:rPr>
              <w:t>(Uveďte spôsob, napr. projekty, školenia.)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F902AD" w:rsidP="00A9688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Cs/>
                <w:sz w:val="22"/>
                <w:szCs w:val="22"/>
              </w:rPr>
              <w:t xml:space="preserve">Nie, </w:t>
            </w:r>
            <w:r w:rsidRPr="00F902AD" w:rsidR="00A96883">
              <w:rPr>
                <w:rFonts w:ascii="Times New Roman" w:hAnsi="Times New Roman"/>
                <w:iCs/>
                <w:sz w:val="22"/>
                <w:szCs w:val="22"/>
              </w:rPr>
              <w:t xml:space="preserve">novela </w:t>
            </w:r>
            <w:r w:rsidRPr="00F902AD">
              <w:rPr>
                <w:rFonts w:ascii="Times New Roman" w:hAnsi="Times New Roman"/>
                <w:iCs/>
                <w:sz w:val="22"/>
                <w:szCs w:val="22"/>
              </w:rPr>
              <w:t>zákon</w:t>
            </w:r>
            <w:r w:rsidRPr="00F902AD" w:rsidR="00A96883">
              <w:rPr>
                <w:rFonts w:ascii="Times New Roman" w:hAnsi="Times New Roman"/>
                <w:iCs/>
                <w:sz w:val="22"/>
                <w:szCs w:val="22"/>
              </w:rPr>
              <w:t>a</w:t>
            </w:r>
            <w:r w:rsidRPr="00F902AD">
              <w:rPr>
                <w:rFonts w:ascii="Times New Roman" w:hAnsi="Times New Roman"/>
                <w:iCs/>
                <w:sz w:val="22"/>
                <w:szCs w:val="22"/>
              </w:rPr>
              <w:t xml:space="preserve"> je </w:t>
            </w:r>
            <w:r w:rsidRPr="00F902AD" w:rsidR="00360FC1">
              <w:rPr>
                <w:rFonts w:ascii="Times New Roman" w:hAnsi="Times New Roman"/>
                <w:iCs/>
                <w:sz w:val="22"/>
                <w:szCs w:val="22"/>
              </w:rPr>
              <w:t>primárne zameraná</w:t>
            </w:r>
            <w:r w:rsidRPr="00F902AD">
              <w:rPr>
                <w:rFonts w:ascii="Times New Roman" w:hAnsi="Times New Roman"/>
                <w:iCs/>
                <w:sz w:val="22"/>
                <w:szCs w:val="22"/>
              </w:rPr>
              <w:t xml:space="preserve"> na správcov a prevádzkovateľov ISVS povinných osôb, zabezpečujúcich v rámci svojej vnútornej organizácie aj prevádzku IS, vzdelanie pracovníkov v oblasti IKT vyplýva z ich pracovného zaradenia. U používateľskej verejnosti sa týmto zákonom nepredpokladá štátom zabezpečované IKT vzdelávanie na tieto účely.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6.4.</w:t>
            </w:r>
            <w:r w:rsidRPr="00F902AD">
              <w:rPr>
                <w:rFonts w:ascii="Times New Roman" w:hAnsi="Times New Roman"/>
                <w:sz w:val="22"/>
                <w:szCs w:val="22"/>
              </w:rPr>
              <w:t xml:space="preserve"> Zabezpečuje sa rozvoj elektronického vzdelávania?</w:t>
            </w:r>
          </w:p>
          <w:p w:rsidR="004D50BB" w:rsidRPr="00F902AD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/>
                <w:iCs/>
                <w:sz w:val="22"/>
                <w:szCs w:val="22"/>
              </w:rPr>
              <w:t>(Uveďte typ a spôsob zabezpečenia vzdelávacích aktivít.)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Cs/>
                <w:sz w:val="22"/>
                <w:szCs w:val="22"/>
              </w:rPr>
              <w:t>Nie.</w:t>
            </w:r>
          </w:p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6.5.</w:t>
            </w:r>
            <w:r w:rsidRPr="00F902AD">
              <w:rPr>
                <w:rFonts w:ascii="Times New Roman" w:hAnsi="Times New Roman"/>
                <w:sz w:val="22"/>
                <w:szCs w:val="22"/>
              </w:rPr>
              <w:t xml:space="preserve"> Zabezpečuje sa podporná a propagačná aktivita zameraná na zvyšovanie povedomia o informatizácii a IKT?</w:t>
            </w:r>
          </w:p>
          <w:p w:rsidR="004D50BB" w:rsidRPr="00F902AD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/>
                <w:iCs/>
                <w:sz w:val="22"/>
                <w:szCs w:val="22"/>
              </w:rPr>
              <w:t>(Uveďte typ a spôsob zabezpečenia propagačných aktivít.)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Cs/>
                <w:sz w:val="22"/>
                <w:szCs w:val="22"/>
              </w:rPr>
              <w:t>Áno, hoci zákon je technicko-procesnou normou zameranou na IT architektúru verejnej správy, propagácia je nevyhnutná pre rozšírenie používania e-služieb.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6.6.</w:t>
            </w:r>
            <w:r w:rsidRPr="00F902AD">
              <w:rPr>
                <w:rFonts w:ascii="Times New Roman" w:hAnsi="Times New Roman"/>
                <w:sz w:val="22"/>
                <w:szCs w:val="22"/>
              </w:rPr>
              <w:t xml:space="preserve"> Zabezpečuje/zohľadňuje/zlepšuje sa prístup znevýhodnených osôb k službám informačnej spoločnosti?</w:t>
            </w:r>
          </w:p>
          <w:p w:rsidR="004D50BB" w:rsidRPr="00F902AD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/>
                <w:iCs/>
                <w:sz w:val="22"/>
                <w:szCs w:val="22"/>
              </w:rPr>
              <w:t>(Uveďte spôsob sprístupnenia digitálneho prostredia.)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Cs/>
                <w:sz w:val="22"/>
                <w:szCs w:val="22"/>
              </w:rPr>
              <w:t>Áno, prostredníctvom technických štandardov prístupnosti a využívaním tzv. prístupových miest  sa zlepšuje ich prístupnosť k službám verejnej správy a verejnej moci.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D50BB" w:rsidRPr="00F902AD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Infraštruktúra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F902AD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b/>
                <w:sz w:val="22"/>
                <w:szCs w:val="22"/>
              </w:rPr>
              <w:t>6.7.</w:t>
            </w:r>
            <w:r w:rsidRPr="00F902AD">
              <w:rPr>
                <w:rFonts w:ascii="Times New Roman" w:hAnsi="Times New Roman"/>
                <w:sz w:val="22"/>
                <w:szCs w:val="22"/>
              </w:rPr>
              <w:t xml:space="preserve"> Rozširuje, inovuje, vytvára alebo zavádza sa nový informačný systém?</w:t>
            </w:r>
          </w:p>
          <w:p w:rsidR="004D50BB" w:rsidRPr="00F902AD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2AD">
              <w:rPr>
                <w:rFonts w:ascii="Times New Roman" w:hAnsi="Times New Roman"/>
                <w:i/>
                <w:iCs/>
                <w:sz w:val="22"/>
                <w:szCs w:val="22"/>
              </w:rPr>
              <w:t>(Uveďte jeho funkciu.)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A16" w:rsidRPr="00E35A5E" w:rsidP="00E35A5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F902AD" w:rsidR="004D50BB">
              <w:rPr>
                <w:rFonts w:ascii="Times New Roman" w:hAnsi="Times New Roman"/>
                <w:iCs/>
                <w:sz w:val="22"/>
                <w:szCs w:val="22"/>
              </w:rPr>
              <w:t xml:space="preserve">Áno, zákon predpokladá </w:t>
            </w:r>
            <w:r w:rsidRPr="00F902AD" w:rsidR="00A96883">
              <w:rPr>
                <w:rFonts w:ascii="Times New Roman" w:hAnsi="Times New Roman"/>
                <w:iCs/>
                <w:sz w:val="22"/>
                <w:szCs w:val="22"/>
              </w:rPr>
              <w:t xml:space="preserve">úpravu pravidiel fungovania </w:t>
            </w:r>
            <w:r w:rsidRPr="00F902AD" w:rsidR="004D50BB">
              <w:rPr>
                <w:rFonts w:ascii="Times New Roman" w:hAnsi="Times New Roman"/>
                <w:iCs/>
                <w:sz w:val="22"/>
                <w:szCs w:val="22"/>
              </w:rPr>
              <w:t xml:space="preserve">ISVS, napr. </w:t>
            </w:r>
            <w:r w:rsidRPr="00F902AD" w:rsidR="00360FC1">
              <w:rPr>
                <w:rFonts w:ascii="Times New Roman" w:hAnsi="Times New Roman"/>
                <w:iCs/>
                <w:sz w:val="22"/>
                <w:szCs w:val="22"/>
              </w:rPr>
              <w:t>gestorstvo spoločných modulov</w:t>
            </w:r>
            <w:r w:rsidRPr="00F902AD" w:rsidR="004D50BB">
              <w:rPr>
                <w:rFonts w:ascii="Times New Roman" w:hAnsi="Times New Roman"/>
                <w:iCs/>
                <w:sz w:val="22"/>
                <w:szCs w:val="22"/>
              </w:rPr>
              <w:t xml:space="preserve"> UPVS,</w:t>
            </w:r>
            <w:r w:rsidRPr="00F902AD" w:rsidR="00360FC1">
              <w:rPr>
                <w:rFonts w:ascii="Times New Roman" w:hAnsi="Times New Roman"/>
                <w:iCs/>
                <w:sz w:val="22"/>
                <w:szCs w:val="22"/>
              </w:rPr>
              <w:t xml:space="preserve"> centrálna registrácia</w:t>
            </w:r>
            <w:r w:rsidRPr="00F902AD" w:rsidR="00361E80">
              <w:rPr>
                <w:rFonts w:ascii="Times New Roman" w:hAnsi="Times New Roman"/>
                <w:iCs/>
                <w:sz w:val="22"/>
                <w:szCs w:val="22"/>
              </w:rPr>
              <w:t xml:space="preserve"> osvedčovacích doložiek </w:t>
            </w:r>
            <w:r w:rsidRPr="00F902AD" w:rsidR="00360FC1">
              <w:rPr>
                <w:rFonts w:ascii="Times New Roman" w:hAnsi="Times New Roman"/>
                <w:iCs/>
                <w:sz w:val="22"/>
                <w:szCs w:val="22"/>
              </w:rPr>
              <w:t xml:space="preserve">pre </w:t>
            </w:r>
            <w:r w:rsidRPr="00F902AD" w:rsidR="00361E80">
              <w:rPr>
                <w:rFonts w:ascii="Times New Roman" w:hAnsi="Times New Roman"/>
                <w:iCs/>
                <w:sz w:val="22"/>
                <w:szCs w:val="22"/>
              </w:rPr>
              <w:t>konverzi</w:t>
            </w:r>
            <w:r w:rsidRPr="00F902AD" w:rsidR="00360FC1">
              <w:rPr>
                <w:rFonts w:ascii="Times New Roman" w:hAnsi="Times New Roman"/>
                <w:iCs/>
                <w:sz w:val="22"/>
                <w:szCs w:val="22"/>
              </w:rPr>
              <w:t>e</w:t>
            </w:r>
            <w:r w:rsidRPr="00F902AD" w:rsidR="00D822CE">
              <w:rPr>
                <w:rFonts w:ascii="Times New Roman" w:hAnsi="Times New Roman"/>
                <w:iCs/>
                <w:sz w:val="22"/>
                <w:szCs w:val="22"/>
              </w:rPr>
              <w:t xml:space="preserve">, </w:t>
            </w:r>
            <w:r w:rsidRPr="00F902AD">
              <w:rPr>
                <w:rFonts w:ascii="Times New Roman" w:hAnsi="Times New Roman"/>
                <w:iCs/>
                <w:sz w:val="22"/>
                <w:szCs w:val="22"/>
              </w:rPr>
              <w:t xml:space="preserve">kodifikujú </w:t>
            </w:r>
            <w:r w:rsidRPr="00F902AD" w:rsidR="00D822CE">
              <w:rPr>
                <w:rFonts w:ascii="Times New Roman" w:hAnsi="Times New Roman"/>
                <w:iCs/>
                <w:sz w:val="22"/>
                <w:szCs w:val="22"/>
              </w:rPr>
              <w:t xml:space="preserve"> sa zdrojové registre</w:t>
            </w:r>
            <w:r w:rsidRPr="00F902AD" w:rsidR="00360FC1">
              <w:rPr>
                <w:rFonts w:ascii="Times New Roman" w:hAnsi="Times New Roman"/>
                <w:iCs/>
                <w:sz w:val="22"/>
                <w:szCs w:val="22"/>
              </w:rPr>
              <w:t>, autentifikačné certifikáty</w:t>
            </w:r>
            <w:r w:rsidRPr="00F902AD" w:rsidR="00621E99">
              <w:rPr>
                <w:rFonts w:ascii="Times New Roman" w:hAnsi="Times New Roman"/>
                <w:iCs/>
                <w:sz w:val="22"/>
                <w:szCs w:val="22"/>
              </w:rPr>
              <w:t xml:space="preserve">, </w:t>
            </w:r>
            <w:r w:rsidRPr="00F902AD">
              <w:rPr>
                <w:rFonts w:ascii="Times New Roman" w:hAnsi="Times New Roman"/>
                <w:iCs/>
                <w:sz w:val="22"/>
                <w:szCs w:val="22"/>
              </w:rPr>
              <w:t xml:space="preserve">register systémových certifikátov, </w:t>
            </w:r>
            <w:r w:rsidRPr="00F902AD" w:rsidR="00621E99">
              <w:rPr>
                <w:rFonts w:ascii="Times New Roman" w:hAnsi="Times New Roman"/>
                <w:iCs/>
                <w:sz w:val="22"/>
                <w:szCs w:val="22"/>
              </w:rPr>
              <w:t>zavádzajú sa služby časovej pečiatky</w:t>
            </w:r>
            <w:r w:rsidRPr="00F902AD" w:rsidR="00E35A5E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Pr="00537697" w:rsidR="00E35A5E">
              <w:rPr>
                <w:rFonts w:ascii="Times New Roman" w:hAnsi="Times New Roman"/>
                <w:iCs/>
                <w:sz w:val="22"/>
                <w:szCs w:val="22"/>
              </w:rPr>
              <w:t xml:space="preserve"> centrálny register elektronických plnomocestiev, ráta sa </w:t>
            </w:r>
            <w:r w:rsidRPr="00537697" w:rsidR="00E35A5E">
              <w:rPr>
                <w:rFonts w:ascii="Times New Roman" w:hAnsi="Times New Roman"/>
                <w:sz w:val="20"/>
                <w:szCs w:val="20"/>
              </w:rPr>
              <w:t>so vzájomným prepojením referenčných registrov so systémami pripravovanými v rámci rezortných projektov (napr. e-justice)</w:t>
            </w:r>
            <w:r w:rsidRPr="00537697" w:rsidR="00E35A5E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b/>
                <w:sz w:val="22"/>
                <w:szCs w:val="22"/>
              </w:rPr>
              <w:t>6.8.</w:t>
            </w:r>
            <w:r w:rsidRPr="00537697">
              <w:rPr>
                <w:rFonts w:ascii="Times New Roman" w:hAnsi="Times New Roman"/>
                <w:sz w:val="22"/>
                <w:szCs w:val="22"/>
              </w:rPr>
              <w:t xml:space="preserve"> Rozširuje sa prístupnosť k internetu?</w:t>
            </w:r>
          </w:p>
          <w:p w:rsidR="004D50BB" w:rsidRPr="00537697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/>
                <w:iCs/>
                <w:sz w:val="22"/>
                <w:szCs w:val="22"/>
              </w:rPr>
              <w:t>(Uveďte spôsob rozširovania prístupnosti.)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D822C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 xml:space="preserve">Áno, prostredníctvom </w:t>
            </w:r>
            <w:r w:rsidRPr="00537697" w:rsidR="00D822CE">
              <w:rPr>
                <w:rFonts w:ascii="Times New Roman" w:hAnsi="Times New Roman"/>
                <w:iCs/>
                <w:sz w:val="22"/>
                <w:szCs w:val="22"/>
              </w:rPr>
              <w:t xml:space="preserve">povinností orgánov verejnej moci </w:t>
            </w:r>
            <w:r w:rsidRPr="00537697" w:rsidR="00360FC1">
              <w:rPr>
                <w:rFonts w:ascii="Times New Roman" w:hAnsi="Times New Roman"/>
                <w:iCs/>
                <w:sz w:val="22"/>
                <w:szCs w:val="22"/>
              </w:rPr>
              <w:t xml:space="preserve">a právnických osôb s aktivovanými elektronickými schránkami </w:t>
            </w:r>
            <w:r w:rsidRPr="00537697" w:rsidR="00D822CE">
              <w:rPr>
                <w:rFonts w:ascii="Times New Roman" w:hAnsi="Times New Roman"/>
                <w:iCs/>
                <w:sz w:val="22"/>
                <w:szCs w:val="22"/>
              </w:rPr>
              <w:t xml:space="preserve">komunikovať elektronicky, povinného využívania modulu úradnej komunikácie a iných nástrojov </w:t>
            </w: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>sa rozširuje rozsah poskytovaných služieb</w:t>
            </w:r>
            <w:r w:rsidRPr="00537697" w:rsidR="00D822CE">
              <w:rPr>
                <w:rFonts w:ascii="Times New Roman" w:hAnsi="Times New Roman"/>
                <w:iCs/>
                <w:sz w:val="22"/>
                <w:szCs w:val="22"/>
              </w:rPr>
              <w:t xml:space="preserve">. 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b/>
                <w:sz w:val="22"/>
                <w:szCs w:val="22"/>
              </w:rPr>
              <w:t>6.9.</w:t>
            </w:r>
            <w:r w:rsidRPr="00537697">
              <w:rPr>
                <w:rFonts w:ascii="Times New Roman" w:hAnsi="Times New Roman"/>
                <w:sz w:val="22"/>
                <w:szCs w:val="22"/>
              </w:rPr>
              <w:t xml:space="preserve"> Rozširuje sa prístupnosť k elektronickým službám?</w:t>
            </w:r>
          </w:p>
          <w:p w:rsidR="004D50BB" w:rsidRPr="00537697" w:rsidP="0059703B">
            <w:pPr>
              <w:bidi w:val="0"/>
              <w:spacing w:after="0"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/>
                <w:iCs/>
                <w:sz w:val="22"/>
                <w:szCs w:val="22"/>
              </w:rPr>
              <w:t>(Uveďte spôsob rozširovania prístupnosti.)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361E8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 xml:space="preserve">Áno, </w:t>
            </w:r>
            <w:r w:rsidRPr="00537697" w:rsidR="00361E80">
              <w:rPr>
                <w:rFonts w:ascii="Times New Roman" w:hAnsi="Times New Roman"/>
                <w:iCs/>
                <w:sz w:val="22"/>
                <w:szCs w:val="22"/>
              </w:rPr>
              <w:t xml:space="preserve">v malom rozsahu sa </w:t>
            </w: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>rozširuje okruh poskytujúcich subjektov a rozsah poskytovaných služieb</w:t>
            </w:r>
            <w:r w:rsidRPr="00537697" w:rsidR="00361E80">
              <w:rPr>
                <w:rFonts w:ascii="Times New Roman" w:hAnsi="Times New Roman"/>
                <w:iCs/>
                <w:sz w:val="22"/>
                <w:szCs w:val="22"/>
              </w:rPr>
              <w:t xml:space="preserve"> (patentoví zástupcova ako oprávnené osoby pre výkon konverzie)</w:t>
            </w: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>. Posilňuje sa význam prístupových miest  ako miest jednotného kontaktu pri realizácii služieb  verejných orgánov.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b/>
                <w:sz w:val="22"/>
                <w:szCs w:val="22"/>
              </w:rPr>
              <w:t>6.10.</w:t>
            </w:r>
            <w:r w:rsidRPr="00537697">
              <w:rPr>
                <w:rFonts w:ascii="Times New Roman" w:hAnsi="Times New Roman"/>
                <w:sz w:val="22"/>
                <w:szCs w:val="22"/>
              </w:rPr>
              <w:t xml:space="preserve"> Zabezpečuje sa technická interoperabilita?</w:t>
            </w:r>
          </w:p>
          <w:p w:rsidR="004D50BB" w:rsidRPr="00537697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/>
                <w:iCs/>
                <w:sz w:val="22"/>
                <w:szCs w:val="22"/>
              </w:rPr>
              <w:t>(Uveďte spôsob jej zabezpečenia.)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>Áno, prostredníctvom štandardov pre ISVS sa zabezpečuje rozšírená úroveň interoperability.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b/>
                <w:sz w:val="22"/>
                <w:szCs w:val="22"/>
              </w:rPr>
              <w:t>6.11.</w:t>
            </w:r>
            <w:r w:rsidRPr="00537697">
              <w:rPr>
                <w:rFonts w:ascii="Times New Roman" w:hAnsi="Times New Roman"/>
                <w:sz w:val="22"/>
                <w:szCs w:val="22"/>
              </w:rPr>
              <w:t xml:space="preserve"> Zvyšuje sa bezpečnosť IT?</w:t>
            </w:r>
          </w:p>
          <w:p w:rsidR="004D50BB" w:rsidRPr="00537697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sz w:val="22"/>
                <w:szCs w:val="22"/>
              </w:rPr>
              <w:t>(</w:t>
            </w:r>
            <w:r w:rsidRPr="00537697">
              <w:rPr>
                <w:rFonts w:ascii="Times New Roman" w:hAnsi="Times New Roman"/>
                <w:i/>
                <w:iCs/>
                <w:sz w:val="22"/>
                <w:szCs w:val="22"/>
              </w:rPr>
              <w:t>Uveďte spôsob zvýšenia bezpečnosti a ochrany IT.)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 xml:space="preserve">Áno, prostredníctvom povinností správcov a prevádzkovateľov ISVS. </w:t>
            </w:r>
            <w:r w:rsidRPr="00537697">
              <w:rPr>
                <w:rFonts w:ascii="Times New Roman" w:hAnsi="Times New Roman"/>
                <w:color w:val="000000"/>
                <w:sz w:val="22"/>
                <w:szCs w:val="22"/>
              </w:rPr>
              <w:t>Bezpečnosť a ochranu digitálneho prostredia je možné zlepšiť na programovej úrovni (softvérovej) alebo technickej (hardvérovej).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b/>
                <w:sz w:val="22"/>
                <w:szCs w:val="22"/>
              </w:rPr>
              <w:t>6.12.</w:t>
            </w:r>
            <w:r w:rsidRPr="00537697">
              <w:rPr>
                <w:rFonts w:ascii="Times New Roman" w:hAnsi="Times New Roman"/>
                <w:sz w:val="22"/>
                <w:szCs w:val="22"/>
              </w:rPr>
              <w:t xml:space="preserve"> Rozširuje sa technická infraštruktúra?</w:t>
            </w:r>
          </w:p>
          <w:p w:rsidR="004D50BB" w:rsidRPr="00537697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sz w:val="22"/>
                <w:szCs w:val="22"/>
              </w:rPr>
              <w:t>(</w:t>
            </w:r>
            <w:r w:rsidRPr="00537697">
              <w:rPr>
                <w:rFonts w:ascii="Times New Roman" w:hAnsi="Times New Roman"/>
                <w:i/>
                <w:iCs/>
                <w:sz w:val="22"/>
                <w:szCs w:val="22"/>
              </w:rPr>
              <w:t>Uveďte stručný popis zavádzanej infraštruktúry.)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360FC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>Áno, podmienkou pre zavedenie nových prvkov a služieb verejnej správy je rozšírenie technickej infraštruktúry.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537697" w:rsidP="0059703B">
            <w:pPr>
              <w:bidi w:val="0"/>
              <w:spacing w:after="0" w:line="20" w:lineRule="atLeast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Riadenie procesu informatizácie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b/>
                <w:sz w:val="22"/>
                <w:szCs w:val="22"/>
              </w:rPr>
              <w:t>6.13.</w:t>
            </w:r>
            <w:r w:rsidRPr="00537697">
              <w:rPr>
                <w:rFonts w:ascii="Times New Roman" w:hAnsi="Times New Roman"/>
                <w:sz w:val="22"/>
                <w:szCs w:val="22"/>
              </w:rPr>
              <w:t xml:space="preserve"> Predpokladajú sa zmeny v riadení procesu informatizácie?</w:t>
            </w:r>
          </w:p>
          <w:p w:rsidR="004D50BB" w:rsidRPr="00537697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/>
                <w:iCs/>
                <w:sz w:val="22"/>
                <w:szCs w:val="22"/>
              </w:rPr>
              <w:t>(Uveďte popis zmien.)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360FC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537697" w:rsidR="00A96883">
              <w:rPr>
                <w:rFonts w:ascii="Times New Roman" w:hAnsi="Times New Roman"/>
                <w:iCs/>
                <w:sz w:val="22"/>
                <w:szCs w:val="22"/>
              </w:rPr>
              <w:t xml:space="preserve">Áno, </w:t>
            </w: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 xml:space="preserve">kompetenčné zmeny na úrovni gestorstva </w:t>
            </w:r>
            <w:r w:rsidRPr="00537697" w:rsidR="00361E80">
              <w:rPr>
                <w:rFonts w:ascii="Times New Roman" w:hAnsi="Times New Roman"/>
                <w:iCs/>
                <w:sz w:val="22"/>
                <w:szCs w:val="22"/>
              </w:rPr>
              <w:t xml:space="preserve">niektorých </w:t>
            </w:r>
            <w:r w:rsidRPr="00537697" w:rsidR="00360FC1">
              <w:rPr>
                <w:rFonts w:ascii="Times New Roman" w:hAnsi="Times New Roman"/>
                <w:iCs/>
                <w:sz w:val="22"/>
                <w:szCs w:val="22"/>
              </w:rPr>
              <w:t xml:space="preserve">spoločných </w:t>
            </w: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>modulov</w:t>
            </w:r>
            <w:r w:rsidRPr="00537697" w:rsidR="00361E80">
              <w:rPr>
                <w:rFonts w:ascii="Times New Roman" w:hAnsi="Times New Roman"/>
                <w:iCs/>
                <w:sz w:val="22"/>
                <w:szCs w:val="22"/>
              </w:rPr>
              <w:t xml:space="preserve"> a</w:t>
            </w:r>
            <w:r w:rsidRPr="00537697" w:rsidR="00360FC1">
              <w:rPr>
                <w:rFonts w:ascii="Times New Roman" w:hAnsi="Times New Roman"/>
                <w:iCs/>
                <w:sz w:val="22"/>
                <w:szCs w:val="22"/>
              </w:rPr>
              <w:t> </w:t>
            </w:r>
            <w:r w:rsidRPr="00537697" w:rsidR="00361E80">
              <w:rPr>
                <w:rFonts w:ascii="Times New Roman" w:hAnsi="Times New Roman"/>
                <w:iCs/>
                <w:sz w:val="22"/>
                <w:szCs w:val="22"/>
              </w:rPr>
              <w:t>informačných systémov.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537697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Financovanie procesu informatizácie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b/>
                <w:sz w:val="22"/>
                <w:szCs w:val="22"/>
              </w:rPr>
              <w:t>6.14.</w:t>
            </w:r>
            <w:r w:rsidRPr="00537697">
              <w:rPr>
                <w:rFonts w:ascii="Times New Roman" w:hAnsi="Times New Roman"/>
                <w:sz w:val="22"/>
                <w:szCs w:val="22"/>
              </w:rPr>
              <w:t xml:space="preserve"> Vyžaduje si proces informatizácie  finančné investície?</w:t>
            </w:r>
          </w:p>
          <w:p w:rsidR="004D50BB" w:rsidRPr="00537697" w:rsidP="0059703B">
            <w:pPr>
              <w:bidi w:val="0"/>
              <w:spacing w:after="0"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/>
                <w:iCs/>
                <w:sz w:val="22"/>
                <w:szCs w:val="22"/>
              </w:rPr>
              <w:t>(Popíšte príslušnú úroveň financovania.)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>Áno, hlavne z prostriedkov OPIS na projekty 1. prioritnej osi</w:t>
            </w:r>
            <w:r w:rsidRPr="00537697" w:rsidR="00360FC1">
              <w:rPr>
                <w:rFonts w:ascii="Times New Roman" w:hAnsi="Times New Roman"/>
                <w:iCs/>
                <w:sz w:val="22"/>
                <w:szCs w:val="22"/>
              </w:rPr>
              <w:t>, nového operačného programu Integrovaná infraštruktúra</w:t>
            </w: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537697" w:rsidR="00777304">
              <w:rPr>
                <w:rFonts w:ascii="Times New Roman" w:hAnsi="Times New Roman"/>
                <w:iCs/>
                <w:sz w:val="22"/>
                <w:szCs w:val="22"/>
              </w:rPr>
              <w:t xml:space="preserve">(OPII) </w:t>
            </w: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>a tiež čiastočne v rámci rozpočtových kapitol jednotlivých povinných osôb. Do výšky 85 % financovaných v rámci OPIS</w:t>
            </w:r>
            <w:r w:rsidRPr="00537697" w:rsidR="00597C18">
              <w:rPr>
                <w:rFonts w:ascii="Times New Roman" w:hAnsi="Times New Roman"/>
                <w:iCs/>
                <w:sz w:val="22"/>
                <w:szCs w:val="22"/>
              </w:rPr>
              <w:t xml:space="preserve"> (OPII)</w:t>
            </w: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537697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Legislatívne prostredie procesu informatizácie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31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b/>
                <w:sz w:val="22"/>
                <w:szCs w:val="22"/>
              </w:rPr>
              <w:t>6.15.</w:t>
            </w:r>
            <w:r w:rsidRPr="00537697">
              <w:rPr>
                <w:rFonts w:ascii="Times New Roman" w:hAnsi="Times New Roman"/>
                <w:sz w:val="22"/>
                <w:szCs w:val="22"/>
              </w:rPr>
              <w:t xml:space="preserve"> Predpokladá nelegislatívny materiál potrebu úpravy legislatívneho prostredia  procesu informatizácie?</w:t>
            </w:r>
          </w:p>
          <w:p w:rsidR="004D50BB" w:rsidRPr="00537697" w:rsidP="0059703B">
            <w:pPr>
              <w:bidi w:val="0"/>
              <w:spacing w:after="0"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/>
                <w:iCs/>
                <w:sz w:val="22"/>
                <w:szCs w:val="22"/>
              </w:rPr>
              <w:t>(Stručne popíšte navrhované legislatívne zmeny.)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537697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537697">
              <w:rPr>
                <w:rFonts w:ascii="Times New Roman" w:hAnsi="Times New Roman"/>
                <w:iCs/>
                <w:sz w:val="22"/>
                <w:szCs w:val="22"/>
              </w:rPr>
              <w:t>Nejde o nelegislatívny materiál.</w:t>
            </w:r>
          </w:p>
        </w:tc>
      </w:tr>
    </w:tbl>
    <w:p w:rsidR="00A8025E" w:rsidRPr="00537697">
      <w:pPr>
        <w:bidi w:val="0"/>
        <w:rPr>
          <w:rFonts w:ascii="Times New Roman" w:hAnsi="Times New Roman"/>
          <w:sz w:val="22"/>
          <w:szCs w:val="22"/>
        </w:rPr>
      </w:pPr>
    </w:p>
    <w:p w:rsidR="00360FC1" w:rsidRPr="00537697">
      <w:pPr>
        <w:bidi w:val="0"/>
        <w:rPr>
          <w:rFonts w:ascii="Times New Roman" w:hAnsi="Times New Roman"/>
          <w:sz w:val="22"/>
          <w:szCs w:val="22"/>
        </w:rPr>
      </w:pPr>
    </w:p>
    <w:sectPr w:rsidSect="00703C47">
      <w:footerReference w:type="even" r:id="rId5"/>
      <w:footerReference w:type="default" r:id="rId6"/>
      <w:headerReference w:type="first" r:id="rId7"/>
      <w:pgSz w:w="11906" w:h="16838"/>
      <w:pgMar w:top="1417" w:right="991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C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4D50BB">
      <w:rPr>
        <w:rStyle w:val="PageNumber"/>
        <w:rFonts w:ascii="Times New Roman" w:hAnsi="Times New Roman"/>
      </w:rPr>
      <w:fldChar w:fldCharType="begin"/>
    </w:r>
    <w:r w:rsidR="004D50BB">
      <w:rPr>
        <w:rStyle w:val="PageNumber"/>
        <w:rFonts w:ascii="Times New Roman" w:hAnsi="Times New Roman"/>
      </w:rPr>
      <w:instrText xml:space="preserve">PAGE  </w:instrText>
    </w:r>
    <w:r w:rsidR="004D50BB">
      <w:rPr>
        <w:rStyle w:val="PageNumber"/>
        <w:rFonts w:ascii="Times New Roman" w:hAnsi="Times New Roman"/>
      </w:rPr>
      <w:fldChar w:fldCharType="separate"/>
    </w:r>
    <w:r w:rsidR="004D50BB">
      <w:rPr>
        <w:rStyle w:val="PageNumber"/>
        <w:rFonts w:ascii="Times New Roman" w:hAnsi="Times New Roman"/>
      </w:rPr>
      <w:fldChar w:fldCharType="end"/>
    </w:r>
  </w:p>
  <w:p w:rsidR="00584EC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C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4D50BB">
      <w:rPr>
        <w:rStyle w:val="PageNumber"/>
        <w:rFonts w:ascii="Times New Roman" w:hAnsi="Times New Roman"/>
      </w:rPr>
      <w:fldChar w:fldCharType="begin"/>
    </w:r>
    <w:r w:rsidR="004D50BB">
      <w:rPr>
        <w:rStyle w:val="PageNumber"/>
        <w:rFonts w:ascii="Times New Roman" w:hAnsi="Times New Roman"/>
      </w:rPr>
      <w:instrText xml:space="preserve">PAGE  </w:instrText>
    </w:r>
    <w:r w:rsidR="004D50BB">
      <w:rPr>
        <w:rStyle w:val="PageNumber"/>
        <w:rFonts w:ascii="Times New Roman" w:hAnsi="Times New Roman"/>
      </w:rPr>
      <w:fldChar w:fldCharType="separate"/>
    </w:r>
    <w:r w:rsidR="007C1D75">
      <w:rPr>
        <w:rStyle w:val="PageNumber"/>
        <w:rFonts w:ascii="Times New Roman" w:hAnsi="Times New Roman"/>
        <w:noProof/>
      </w:rPr>
      <w:t>1</w:t>
    </w:r>
    <w:r w:rsidR="004D50BB">
      <w:rPr>
        <w:rStyle w:val="PageNumber"/>
        <w:rFonts w:ascii="Times New Roman" w:hAnsi="Times New Roman"/>
      </w:rPr>
      <w:fldChar w:fldCharType="end"/>
    </w:r>
  </w:p>
  <w:p w:rsidR="00584EC8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C8" w:rsidP="00E0548F">
    <w:pPr>
      <w:pStyle w:val="Header"/>
      <w:bidi w:val="0"/>
      <w:jc w:val="right"/>
      <w:rPr>
        <w:rFonts w:ascii="Times New Roman" w:hAnsi="Times New Roman"/>
      </w:rPr>
    </w:pPr>
    <w:r w:rsidR="004D50BB">
      <w:rPr>
        <w:rFonts w:ascii="Times New Roman" w:hAnsi="Times New Roman"/>
      </w:rPr>
      <w:t>Príloha č. 2</w:t>
    </w:r>
  </w:p>
  <w:p w:rsidR="00584EC8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D50BB"/>
    <w:rsid w:val="00013459"/>
    <w:rsid w:val="00022A91"/>
    <w:rsid w:val="00022CC5"/>
    <w:rsid w:val="00030EFD"/>
    <w:rsid w:val="000354CF"/>
    <w:rsid w:val="0004291A"/>
    <w:rsid w:val="00062F60"/>
    <w:rsid w:val="00093230"/>
    <w:rsid w:val="000A0E7A"/>
    <w:rsid w:val="000B4D70"/>
    <w:rsid w:val="000C6866"/>
    <w:rsid w:val="0011072F"/>
    <w:rsid w:val="001557E7"/>
    <w:rsid w:val="00164B1B"/>
    <w:rsid w:val="001700F4"/>
    <w:rsid w:val="001971E3"/>
    <w:rsid w:val="00197390"/>
    <w:rsid w:val="001B1648"/>
    <w:rsid w:val="00202ADD"/>
    <w:rsid w:val="002244AD"/>
    <w:rsid w:val="00264DC2"/>
    <w:rsid w:val="002842F2"/>
    <w:rsid w:val="00286A97"/>
    <w:rsid w:val="002B02E0"/>
    <w:rsid w:val="002F6A16"/>
    <w:rsid w:val="002F6FC9"/>
    <w:rsid w:val="0031749D"/>
    <w:rsid w:val="00337737"/>
    <w:rsid w:val="00345401"/>
    <w:rsid w:val="00360FC1"/>
    <w:rsid w:val="00361E80"/>
    <w:rsid w:val="00362D95"/>
    <w:rsid w:val="00363758"/>
    <w:rsid w:val="00375296"/>
    <w:rsid w:val="00397926"/>
    <w:rsid w:val="003A0D40"/>
    <w:rsid w:val="003A15CA"/>
    <w:rsid w:val="003A564D"/>
    <w:rsid w:val="003B2073"/>
    <w:rsid w:val="003C6B13"/>
    <w:rsid w:val="003F24DD"/>
    <w:rsid w:val="00430374"/>
    <w:rsid w:val="0043573D"/>
    <w:rsid w:val="00466A96"/>
    <w:rsid w:val="004677CD"/>
    <w:rsid w:val="00481005"/>
    <w:rsid w:val="00487B68"/>
    <w:rsid w:val="004B678C"/>
    <w:rsid w:val="004D50BB"/>
    <w:rsid w:val="005109FE"/>
    <w:rsid w:val="00537697"/>
    <w:rsid w:val="005775A4"/>
    <w:rsid w:val="00584EC8"/>
    <w:rsid w:val="005852E4"/>
    <w:rsid w:val="0059028A"/>
    <w:rsid w:val="0059703B"/>
    <w:rsid w:val="00597C18"/>
    <w:rsid w:val="005B57C9"/>
    <w:rsid w:val="005C459C"/>
    <w:rsid w:val="00605011"/>
    <w:rsid w:val="00621E99"/>
    <w:rsid w:val="006466A8"/>
    <w:rsid w:val="00646787"/>
    <w:rsid w:val="00650BB5"/>
    <w:rsid w:val="006522EF"/>
    <w:rsid w:val="00665F6D"/>
    <w:rsid w:val="006A5B00"/>
    <w:rsid w:val="00703C47"/>
    <w:rsid w:val="0070435F"/>
    <w:rsid w:val="00707804"/>
    <w:rsid w:val="00712E3C"/>
    <w:rsid w:val="00751016"/>
    <w:rsid w:val="0075341C"/>
    <w:rsid w:val="0077372F"/>
    <w:rsid w:val="00776D3B"/>
    <w:rsid w:val="00777304"/>
    <w:rsid w:val="00791144"/>
    <w:rsid w:val="007A7432"/>
    <w:rsid w:val="007B538A"/>
    <w:rsid w:val="007C1D75"/>
    <w:rsid w:val="007F2552"/>
    <w:rsid w:val="008037F5"/>
    <w:rsid w:val="008162E4"/>
    <w:rsid w:val="00826FBA"/>
    <w:rsid w:val="00846E44"/>
    <w:rsid w:val="00865EE1"/>
    <w:rsid w:val="008819B0"/>
    <w:rsid w:val="00882FC1"/>
    <w:rsid w:val="0088528B"/>
    <w:rsid w:val="0089177B"/>
    <w:rsid w:val="0089342B"/>
    <w:rsid w:val="008C7261"/>
    <w:rsid w:val="008D13D6"/>
    <w:rsid w:val="008F3D07"/>
    <w:rsid w:val="009037F5"/>
    <w:rsid w:val="0095199C"/>
    <w:rsid w:val="0096359C"/>
    <w:rsid w:val="00972F15"/>
    <w:rsid w:val="0098786B"/>
    <w:rsid w:val="009C2B53"/>
    <w:rsid w:val="009D3E13"/>
    <w:rsid w:val="00A004A3"/>
    <w:rsid w:val="00A31E3F"/>
    <w:rsid w:val="00A4147D"/>
    <w:rsid w:val="00A60735"/>
    <w:rsid w:val="00A8025E"/>
    <w:rsid w:val="00A82A14"/>
    <w:rsid w:val="00A96883"/>
    <w:rsid w:val="00AB1923"/>
    <w:rsid w:val="00AB29E3"/>
    <w:rsid w:val="00AC35AF"/>
    <w:rsid w:val="00AD5418"/>
    <w:rsid w:val="00AF75E0"/>
    <w:rsid w:val="00B309AC"/>
    <w:rsid w:val="00B31439"/>
    <w:rsid w:val="00B60A11"/>
    <w:rsid w:val="00B82941"/>
    <w:rsid w:val="00B82C94"/>
    <w:rsid w:val="00BB3CC4"/>
    <w:rsid w:val="00BC5FAC"/>
    <w:rsid w:val="00BF7F92"/>
    <w:rsid w:val="00C113C7"/>
    <w:rsid w:val="00C13326"/>
    <w:rsid w:val="00C3088B"/>
    <w:rsid w:val="00C309BC"/>
    <w:rsid w:val="00C64DC4"/>
    <w:rsid w:val="00CB6939"/>
    <w:rsid w:val="00D06598"/>
    <w:rsid w:val="00D07A17"/>
    <w:rsid w:val="00D10A1C"/>
    <w:rsid w:val="00D159F3"/>
    <w:rsid w:val="00D25029"/>
    <w:rsid w:val="00D32A23"/>
    <w:rsid w:val="00D3362A"/>
    <w:rsid w:val="00D419CB"/>
    <w:rsid w:val="00D54CD7"/>
    <w:rsid w:val="00D822CE"/>
    <w:rsid w:val="00D9389D"/>
    <w:rsid w:val="00DC5029"/>
    <w:rsid w:val="00DE6DB9"/>
    <w:rsid w:val="00DF0C13"/>
    <w:rsid w:val="00E0548F"/>
    <w:rsid w:val="00E26DC8"/>
    <w:rsid w:val="00E27DD0"/>
    <w:rsid w:val="00E3471A"/>
    <w:rsid w:val="00E35A5E"/>
    <w:rsid w:val="00E40F58"/>
    <w:rsid w:val="00E57C67"/>
    <w:rsid w:val="00E610A8"/>
    <w:rsid w:val="00E8452B"/>
    <w:rsid w:val="00EA5D0F"/>
    <w:rsid w:val="00EA733C"/>
    <w:rsid w:val="00EB3BB4"/>
    <w:rsid w:val="00F25F34"/>
    <w:rsid w:val="00F37F17"/>
    <w:rsid w:val="00F5110D"/>
    <w:rsid w:val="00F902AD"/>
    <w:rsid w:val="00FA72FF"/>
    <w:rsid w:val="00FC4243"/>
    <w:rsid w:val="00FD7C73"/>
    <w:rsid w:val="00FF411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B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4D50BB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D50BB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4D50B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4D50BB"/>
    <w:pPr>
      <w:widowControl w:val="0"/>
      <w:tabs>
        <w:tab w:val="center" w:pos="4536"/>
        <w:tab w:val="right" w:pos="9072"/>
      </w:tabs>
      <w:jc w:val="left"/>
    </w:pPr>
    <w:rPr>
      <w:sz w:val="20"/>
      <w:szCs w:val="20"/>
      <w:lang w:val="en-GB"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4D50BB"/>
    <w:rPr>
      <w:rFonts w:ascii="Times New Roman" w:hAnsi="Times New Roman" w:cs="Times New Roman"/>
      <w:sz w:val="20"/>
      <w:szCs w:val="20"/>
      <w:rtl w:val="0"/>
      <w:cs w:val="0"/>
      <w:lang w:val="en-GB" w:eastAsia="x-none"/>
    </w:rPr>
  </w:style>
  <w:style w:type="paragraph" w:styleId="Header">
    <w:name w:val="header"/>
    <w:basedOn w:val="Normal"/>
    <w:link w:val="HlavikaChar"/>
    <w:uiPriority w:val="99"/>
    <w:rsid w:val="004D50B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D50B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nadpiszkona">
    <w:name w:val="nadpis zákona"/>
    <w:basedOn w:val="Normal"/>
    <w:next w:val="Normal"/>
    <w:rsid w:val="004D50BB"/>
    <w:pPr>
      <w:keepNext/>
      <w:keepLines/>
      <w:spacing w:before="120"/>
      <w:jc w:val="center"/>
      <w:outlineLvl w:val="0"/>
    </w:pPr>
    <w:rPr>
      <w:b/>
      <w:bCs/>
      <w:lang w:eastAsia="en-US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4D50BB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D50B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4D50BB"/>
    <w:pPr>
      <w:spacing w:before="100" w:beforeAutospacing="1" w:after="100" w:afterAutospacing="1"/>
      <w:jc w:val="left"/>
    </w:pPr>
  </w:style>
  <w:style w:type="character" w:customStyle="1" w:styleId="spanr">
    <w:name w:val="span_r"/>
    <w:rsid w:val="004D50BB"/>
  </w:style>
  <w:style w:type="character" w:customStyle="1" w:styleId="ppp-input-value1">
    <w:name w:val="ppp-input-value1"/>
    <w:basedOn w:val="DefaultParagraphFont"/>
    <w:rsid w:val="004D50BB"/>
    <w:rPr>
      <w:rFonts w:ascii="Tahoma" w:hAnsi="Tahoma" w:cs="Tahoma"/>
      <w:color w:val="837A73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9028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9028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9028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9028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9028A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9028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9028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semiHidden/>
    <w:unhideWhenUsed/>
    <w:rsid w:val="00FD7C73"/>
    <w:pPr>
      <w:jc w:val="left"/>
    </w:pPr>
    <w:rPr>
      <w:rFonts w:ascii="Calibri" w:hAnsi="Calibri"/>
      <w:sz w:val="22"/>
      <w:szCs w:val="22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FD7C73"/>
    <w:rPr>
      <w:rFonts w:ascii="Calibri" w:hAnsi="Calibri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D7C73"/>
    <w:pPr>
      <w:ind w:left="720"/>
      <w:contextualSpacing/>
      <w:jc w:val="left"/>
    </w:pPr>
  </w:style>
  <w:style w:type="paragraph" w:customStyle="1" w:styleId="CharCharCharChar">
    <w:name w:val="Char Char Char Char"/>
    <w:basedOn w:val="Normal"/>
    <w:semiHidden/>
    <w:rsid w:val="00FD7C73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0A96-A001-427E-A5DB-85DEB50B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9</Pages>
  <Words>3011</Words>
  <Characters>17163</Characters>
  <Application>Microsoft Office Word</Application>
  <DocSecurity>0</DocSecurity>
  <Lines>0</Lines>
  <Paragraphs>0</Paragraphs>
  <ScaleCrop>false</ScaleCrop>
  <Company/>
  <LinksUpToDate>false</LinksUpToDate>
  <CharactersWithSpaces>20134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Strehar Ronald</dc:creator>
  <cp:lastModifiedBy>Strehar Ronald</cp:lastModifiedBy>
  <cp:revision>14</cp:revision>
  <cp:lastPrinted>2014-08-21T08:51:00Z</cp:lastPrinted>
  <dcterms:created xsi:type="dcterms:W3CDTF">2015-02-06T17:05:00Z</dcterms:created>
  <dcterms:modified xsi:type="dcterms:W3CDTF">2015-05-14T08:41:00Z</dcterms:modified>
</cp:coreProperties>
</file>