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28C3" w:rsidP="008528C3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Style w:val="PlaceholderText"/>
          <w:b/>
        </w:rPr>
        <w:t>B. Osobitná časť</w:t>
      </w:r>
    </w:p>
    <w:p w:rsidR="008528C3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K § 1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Upravuje sa predmet úpravy návrhu zákona, ktorým je ustanovenie pôsobnosti orgánov štátnej správy a právnických osôb  a   zodpovednosti za porušenie povinností pre oblasť upravenej nariadením Európskeho parlamentu a Rady č. 511/2014 zo 16. apríla 2014 o opatreniach na zaistenie súladu pre používateľov Nagojského protokolu o prístupe ku genetickým zdrojom a spravodlivom a rovnocennom spoločnom využívaní prínosov vyplývajúcich z ich používania v Únii (ďalej len „nariadenie EÚ“). V súvislosti s úpravou návrhu zákona je potrebné zdôrazniť, že tohto času je v legislatívnom procese návrh vykonávacieho aktu Európskej komisie, ktorým sa majú ustanoviť postupy vykonávania k relevatným čl. 5   ods. 1 až 4 a čl. 7 ods. 1 až 3 nariadenia EÚ, a z uvedeného dôvodu sa v texte návrhu zákona odkazuje na vykonávací akt Európskej komisie. 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K § 2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            Upravuje sa pôsobnosť Ministerstva životného prostredia Slovenskej republiky ako ústredného orgánu štátnej správy v oblasti dodržiavania podmienok prístupu ku genetickým zdrojom a tradičným poznatkom súvisiacim s genetickými zdrojmi a spravodlivého a rovnocenného spoločného využívania prínosov vyplývajúcich z ich používania. Ministerstvu sa ustanovujú pôsobnosti, ktoré nariadenie EÚ určuje orgánom členských štátov Európskej únie s výnimkou prípadov, kde je vzhľadom na povahu veci potrebné alebo účelné ustanoviť pôsobnosť inému orgánu uvedenému v § 3 až 8 alebo Slovenskej inšpekcii životného prostredia.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Potreba rozdelenia pôsobnosti medzi viaceré orgány sa vzťahuje k čl. 7 ods. 1 a 2 a k  čl. 7 ods. 3, ktorý upravuje informačnú povinnosť k uvedeným článkom nariadenia EÚ. Do návrhu zákona je premietnutá v § 2 písm. d), podľa ktorého, ministerstvo prijíma vyhlásenia a informácie a plní informačnú povinnosť podľa uvedených článkov, ak na ich prijímanie nie sú príslušné iné orgány podľa § 3 až 8.               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Ministerstvu sa ďalej ustanovuje pôsobnosť pre posudzovanie zaradenia zbierky do registra zbierok v rámci Európskej únie podľa čl. 5 ods. 2 až 3 nariadenia EÚ, ale pôsobnosť pre  overovanie splnenia kritérií už zaradenej zbierky podľa čl. 5 ods. 4 sa vzhľadom na povahu veci určuje Slovenskej inšpekcii životného prostredia. Informačná povinnosť súvisiaca s uvedenými článkami nariadenia EÚ  vo vzťahu k Európskej komisii je v pôsobnosti ministerstva.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Ministerstvu sa ustanovuje  pôsobnosť v oblasti spolupráce, zabezpečovanie vykonávania opatrení a podávanie správ v zmysle príslušných článkov nariadenia EÚ a pôsobnosť v oblasti medzinárodnej spolupráce pre oblasť využívania genetických zdrojov.  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K § 3 až 8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K § 3 až 7: V zmysle čl. 7 ods. 2 nariadenia EÚ v záverečnom štádiu vývoja produktu vyvinutého použitím genetických zdrojov alebo tradičných poznatkov súvisiacich s týmito zdrojmi, používatelia genetických zdrojov sú povinní predložiť príslušným orgánom členských štátov Európskej únie vyhlásenie, že si splnili povinnosti týkajúce sa uplatňovania náležitej starostlivosti podľa článku 4 tohto nariadenia a predložiť relevantné informácie.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Podľa čl. 7 ods. 6 nariadenia EÚ má vykonávací akt  Európskej komisie určiť postup vykonávania čl. 7 ods. 2 a záverečné štádium vývoja produktu s cieľom identifikovať záverečné štádium používania v rôznych sektoroch. Tento vykonávací akt, ktorý je v súčasnosti v legislatívnom procese, by mal upraviť, za akých podmienok a akým spôsobom  má používateľ deklarovať splnenie povinností podľa čl. 7 ods. 2 nariadenia EÚ, teda predloženie vyhlásenia a relevatných informácií  príslušnému orgánu. Vykonávací akt Európskej komisie by mal teda spresniť okolnosti, s ktorými sa spája predloženie vyhlásenie  a informácií pre produkty vyvinuté  s použitím genetických zdrojov alebo tradičných poznatkov súvisiacich s genetickými zdrojmi  a predpokladá sa aj  ustanovenie jednotného a formalizovaného spôsobu predkladania týchto vyhlásení a informácií.   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Príslušnými orgánmi, ktoré budú od používateľov získavať uvedené vyhlásenia a informácie sú tie štátne orgány, ktoré podľa súčasného právneho stavu majú v jednotlivých odvetviach  upravenú pôsobnosť na úseku povoľovania, autorizácie alebo notifikácie pre produkty, ktoré môžu byť vyvinuté s využitím genetických zdrojov alebo tradičných poznatkov súvisiacich s genetickými zdrojmi, a to pre ich uvedením na trh. Pre všetky iné okolnosti, s ktorými podľa vykonávacieho aktu Európskej komisie by mala byť spojená povinnosť používateľa predkladať tieto vyhlásenia a informácie, je určená pôsobnosť ministerstva (§ 2 písm. d) zákona).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Vykonávací akt má upraviť aj postup pri plnení informačnej povinnosti podľa čl. 7 ods. 3 nariadenia EÚ. 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K § 8: Upravuje sa pôsobnosť štátnych orgánov a právnických osôb poskytujúcich finančné prostriedky určené na výskum zahrňujúci používanie genetických zdrojov a tradičných poznatkov na prijímanie vyhlásení podľa čl. 7 ods. 1 nariadenia EÚ. Vykonávací akt Európskej komisie by mal upraviť postup vykonávania čl. 7 ods. 1 a 3  podobne ako v prípade vyhlásení podľa čl. 7 ods. 2. Z uvedeného dôvodu sa ustanovila pôsobnosť orgánov a právnických osôb pre prípady, keď rozhodujú o poskytnutí finančných prostriedkov určených na tento výskum, a pre všetky iné okolnosti, s ktorými podľa vykonávacieho aktu Európskej komisie by mala byť spojená povinnosť príjemcu financií (napríklad zo súkromných zdrojov) predkladať tieto vyhlásenia a informácie, je určená pôsobnosť ministerstva (§ 2 písm. d) zákona).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.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K § 9 až 11 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           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Za účelom implementácie čl. 9 až 11 nariadenia EÚ sa upravuje pôsobnosť Slovenskej inšpekcie životného prostredia ako kontrolného orgánu a upravuje sa ukladanie sankcií za porušenia ustanovení článkov 4 až 7 nariadenia EÚ. </w:t>
      </w:r>
    </w:p>
    <w:p w:rsidR="000B6664" w:rsidP="000B6664">
      <w:pPr>
        <w:widowControl/>
        <w:bidi w:val="0"/>
        <w:spacing w:line="276" w:lineRule="auto"/>
        <w:ind w:firstLine="708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 xml:space="preserve">Slovenskej inšpekcii  životného prostredia sa ustanovuje aj pôsobnosť pri overovaní splnenia kritérií pre zaradenie zbierky do registra podľa čl. 5 ods. 4 a 5 nariadenia EÚ, teda pokiaľ ide o už zaradenú zbierku. 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K § 12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b/>
          <w:lang w:val="en-US"/>
        </w:rPr>
        <w:t xml:space="preserve">            </w:t>
      </w:r>
      <w:r>
        <w:rPr>
          <w:rStyle w:val="PlaceholderText"/>
          <w:lang w:val="en-US"/>
        </w:rPr>
        <w:t xml:space="preserve">Ustanovuje sa, že na jednotlivé konania sa bude vzťahovať správny poriadok s výnimkou konania o zaradení zbierky a konania o overovaní zaradenia zbierky do registra zbierok v rámci Európskej únie, ktoré sú procesne osobitne upravené v čl. 5 nariadenia  EÚ </w:t>
      </w:r>
      <w:r w:rsidR="00EE190D">
        <w:rPr>
          <w:rStyle w:val="PlaceholderText"/>
          <w:lang w:val="en-US"/>
        </w:rPr>
        <w:t xml:space="preserve">    </w:t>
      </w:r>
      <w:r>
        <w:rPr>
          <w:rStyle w:val="PlaceholderText"/>
          <w:lang w:val="en-US"/>
        </w:rPr>
        <w:t xml:space="preserve">s podrobnejšou úpravou vo vykonávacom akte Komisie. Súčasne sa ustanovuje elektronická forma podávania vyhlásení a informácií podľa čl. 5 ods. 2 a čl. 7 ods. 1 a 2, vzhľadom </w:t>
      </w:r>
      <w:r w:rsidR="00EE190D">
        <w:rPr>
          <w:rStyle w:val="PlaceholderText"/>
          <w:lang w:val="en-US"/>
        </w:rPr>
        <w:t xml:space="preserve">          </w:t>
      </w:r>
      <w:r>
        <w:rPr>
          <w:rStyle w:val="PlaceholderText"/>
          <w:lang w:val="en-US"/>
        </w:rPr>
        <w:t xml:space="preserve">na následnú informačnú povinnosť orgánov príjímajúcich tieto vyhlásenia a informácie </w:t>
      </w:r>
      <w:r w:rsidR="00EE190D">
        <w:rPr>
          <w:rStyle w:val="PlaceholderText"/>
          <w:lang w:val="en-US"/>
        </w:rPr>
        <w:t xml:space="preserve">         </w:t>
      </w:r>
      <w:r>
        <w:rPr>
          <w:rStyle w:val="PlaceholderText"/>
          <w:lang w:val="en-US"/>
        </w:rPr>
        <w:t>vo vzťahu k dalších subjektom podľa čl. 5 ods. 2 a čl. 7 ods. 3 nariadenia EÚ.   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              </w:t>
      </w:r>
    </w:p>
    <w:p w:rsidR="000B6664" w:rsidRP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 w:rsidRPr="000B6664">
        <w:rPr>
          <w:rStyle w:val="PlaceholderText"/>
          <w:lang w:val="en-US"/>
        </w:rPr>
        <w:t>K § 13</w:t>
      </w:r>
    </w:p>
    <w:p w:rsidR="000B6664" w:rsidP="000B6664">
      <w:pPr>
        <w:widowControl/>
        <w:bidi w:val="0"/>
        <w:spacing w:line="276" w:lineRule="auto"/>
        <w:jc w:val="both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jc w:val="both"/>
        <w:rPr>
          <w:rStyle w:val="PlaceholderText"/>
          <w:lang w:val="en-US"/>
        </w:rPr>
      </w:pPr>
      <w:r>
        <w:rPr>
          <w:rStyle w:val="PlaceholderText"/>
          <w:b/>
          <w:sz w:val="20"/>
          <w:lang w:val="en-US"/>
        </w:rPr>
        <w:t xml:space="preserve">                </w:t>
      </w:r>
      <w:r>
        <w:rPr>
          <w:rStyle w:val="PlaceholderText"/>
          <w:lang w:val="en-US"/>
        </w:rPr>
        <w:t xml:space="preserve">Dátum účinnosti návrhu zákona je navrhnutý tak, aby bol zosúladený s dátumom účinnosti relevantných </w:t>
      </w:r>
      <w:r w:rsidR="00C12FDA">
        <w:rPr>
          <w:rStyle w:val="PlaceholderText"/>
          <w:lang w:val="en-US"/>
        </w:rPr>
        <w:t xml:space="preserve">článkov 4, 7 a 9  nariadenia EÚ. </w:t>
      </w:r>
      <w:r>
        <w:rPr>
          <w:rStyle w:val="PlaceholderText"/>
          <w:lang w:val="en-US"/>
        </w:rPr>
        <w:t xml:space="preserve"> </w:t>
      </w:r>
    </w:p>
    <w:p w:rsidR="000B6664" w:rsidP="000B6664">
      <w:pPr>
        <w:widowControl/>
        <w:bidi w:val="0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0B6664" w:rsidP="000B6664">
      <w:pPr>
        <w:widowControl/>
        <w:bidi w:val="0"/>
        <w:rPr>
          <w:rStyle w:val="PlaceholderText"/>
          <w:lang w:val="en-US"/>
        </w:rPr>
      </w:pPr>
      <w:r>
        <w:rPr>
          <w:rStyle w:val="PlaceholderText"/>
          <w:lang w:val="en-US"/>
        </w:rPr>
        <w:t> </w:t>
      </w:r>
    </w:p>
    <w:p w:rsidR="00EE190D" w:rsidRPr="00F144C5" w:rsidP="00EE190D">
      <w:pPr>
        <w:widowControl/>
        <w:bidi w:val="0"/>
        <w:spacing w:after="280" w:afterAutospacing="1"/>
        <w:rPr>
          <w:rStyle w:val="PlaceholderText"/>
        </w:rPr>
      </w:pPr>
      <w:r w:rsidRPr="00956B14">
        <w:rPr>
          <w:rStyle w:val="PlaceholderText"/>
        </w:rPr>
        <w:t>  </w:t>
      </w:r>
      <w:r w:rsidRPr="00F144C5">
        <w:rPr>
          <w:rStyle w:val="PlaceholderText"/>
        </w:rPr>
        <w:t>V Bratislave 27. mája 2015</w:t>
      </w:r>
    </w:p>
    <w:p w:rsidR="00EE190D" w:rsidRPr="00F144C5" w:rsidP="00EE190D">
      <w:pPr>
        <w:widowControl/>
        <w:bidi w:val="0"/>
        <w:spacing w:line="276" w:lineRule="auto"/>
        <w:jc w:val="both"/>
        <w:rPr>
          <w:rStyle w:val="PlaceholderText"/>
        </w:rPr>
      </w:pPr>
    </w:p>
    <w:p w:rsidR="00EE190D" w:rsidRPr="00F144C5" w:rsidP="00EE190D">
      <w:pPr>
        <w:widowControl/>
        <w:bidi w:val="0"/>
        <w:spacing w:line="276" w:lineRule="auto"/>
        <w:jc w:val="both"/>
        <w:rPr>
          <w:rStyle w:val="PlaceholderText"/>
        </w:rPr>
      </w:pPr>
    </w:p>
    <w:p w:rsidR="00EE190D" w:rsidRPr="00F144C5" w:rsidP="00EE190D">
      <w:pPr>
        <w:widowControl/>
        <w:bidi w:val="0"/>
        <w:jc w:val="center"/>
        <w:rPr>
          <w:rStyle w:val="PlaceholderText"/>
        </w:rPr>
      </w:pPr>
    </w:p>
    <w:p w:rsidR="00EE190D" w:rsidRPr="00F144C5" w:rsidP="00EE190D">
      <w:pPr>
        <w:widowControl/>
        <w:bidi w:val="0"/>
        <w:jc w:val="center"/>
        <w:rPr>
          <w:rStyle w:val="PlaceholderText"/>
        </w:rPr>
      </w:pPr>
    </w:p>
    <w:p w:rsidR="00EE190D" w:rsidRPr="00F144C5" w:rsidP="00EE190D">
      <w:pPr>
        <w:widowControl/>
        <w:bidi w:val="0"/>
        <w:jc w:val="center"/>
        <w:rPr>
          <w:rStyle w:val="PlaceholderText"/>
        </w:rPr>
      </w:pPr>
    </w:p>
    <w:p w:rsidR="00D03D87" w:rsidRPr="00D03D87" w:rsidP="00D03D87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  <w:r>
        <w:rPr>
          <w:rStyle w:val="PlaceholderText"/>
        </w:rPr>
        <w:t>Robert Fico</w:t>
      </w:r>
      <w:r w:rsidRPr="00D03D87">
        <w:rPr>
          <w:rFonts w:ascii="Times New Roman" w:hAnsi="Times New Roman"/>
        </w:rPr>
        <w:t xml:space="preserve">, v. r. </w:t>
      </w: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  <w:r w:rsidRPr="00F144C5">
        <w:rPr>
          <w:rStyle w:val="PlaceholderText"/>
        </w:rPr>
        <w:t>predseda vlády</w:t>
      </w: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  <w:r w:rsidRPr="00F144C5">
        <w:rPr>
          <w:rStyle w:val="PlaceholderText"/>
        </w:rPr>
        <w:t>Slovenskej republiky</w:t>
      </w: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  <w:r w:rsidRPr="00F144C5">
        <w:rPr>
          <w:rStyle w:val="PlaceholderText"/>
        </w:rPr>
        <w:t>  </w:t>
      </w:r>
    </w:p>
    <w:p w:rsidR="00EE190D" w:rsidRPr="00F144C5" w:rsidP="00EE190D">
      <w:pPr>
        <w:widowControl/>
        <w:bidi w:val="0"/>
        <w:spacing w:after="100" w:afterAutospacing="1"/>
        <w:rPr>
          <w:rStyle w:val="PlaceholderText"/>
        </w:rPr>
      </w:pPr>
      <w:r w:rsidRPr="00F144C5">
        <w:rPr>
          <w:rFonts w:ascii="Times New Roman" w:hAnsi="Times New Roman"/>
          <w:color w:val="000000"/>
        </w:rPr>
        <w:br/>
      </w:r>
      <w:r w:rsidRPr="00F144C5">
        <w:rPr>
          <w:rStyle w:val="PlaceholderText"/>
        </w:rPr>
        <w:t> </w:t>
      </w:r>
    </w:p>
    <w:p w:rsidR="00D03D87" w:rsidRPr="00D03D87" w:rsidP="00D03D87">
      <w:pPr>
        <w:pStyle w:val="BodyText"/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ascii="Times New Roman" w:hAnsi="Times New Roman"/>
        </w:rPr>
      </w:pPr>
      <w:r w:rsidRPr="00F144C5" w:rsidR="00EE190D">
        <w:rPr>
          <w:rStyle w:val="PlaceholderText"/>
        </w:rPr>
        <w:t> Peter Žiga</w:t>
      </w:r>
      <w:r w:rsidRPr="00D03D87">
        <w:rPr>
          <w:rFonts w:ascii="Times New Roman" w:hAnsi="Times New Roman"/>
        </w:rPr>
        <w:t xml:space="preserve">, v. r. </w:t>
      </w: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</w:p>
    <w:p w:rsidR="00EE190D" w:rsidRPr="00F144C5" w:rsidP="00EE190D">
      <w:pPr>
        <w:widowControl/>
        <w:bidi w:val="0"/>
        <w:spacing w:after="100" w:afterAutospacing="1"/>
        <w:jc w:val="center"/>
        <w:rPr>
          <w:rStyle w:val="PlaceholderText"/>
        </w:rPr>
      </w:pPr>
      <w:r w:rsidRPr="00F144C5">
        <w:rPr>
          <w:rStyle w:val="PlaceholderText"/>
        </w:rPr>
        <w:t>minister životného prostredia</w:t>
      </w:r>
    </w:p>
    <w:p w:rsidR="00EE190D" w:rsidRPr="00956B14" w:rsidP="00EE190D">
      <w:pPr>
        <w:widowControl/>
        <w:bidi w:val="0"/>
        <w:spacing w:after="280" w:afterAutospacing="1"/>
        <w:ind w:left="2880" w:firstLine="720"/>
        <w:rPr>
          <w:rStyle w:val="PlaceholderText"/>
        </w:rPr>
      </w:pPr>
      <w:r w:rsidRPr="00F144C5">
        <w:rPr>
          <w:rStyle w:val="PlaceholderText"/>
        </w:rPr>
        <w:t>Slovenskej republiky</w:t>
      </w:r>
    </w:p>
    <w:p w:rsidR="000B6664" w:rsidRPr="00F144C5" w:rsidP="000B6664">
      <w:pPr>
        <w:widowControl/>
        <w:bidi w:val="0"/>
        <w:rPr>
          <w:rStyle w:val="PlaceholderText"/>
        </w:rPr>
      </w:pPr>
    </w:p>
    <w:p w:rsidR="000B6664" w:rsidRPr="00F144C5" w:rsidP="000B6664">
      <w:pPr>
        <w:widowControl/>
        <w:bidi w:val="0"/>
        <w:rPr>
          <w:rStyle w:val="PlaceholderText"/>
        </w:rPr>
      </w:pPr>
      <w:r w:rsidRPr="00F144C5">
        <w:rPr>
          <w:rStyle w:val="PlaceholderText"/>
        </w:rPr>
        <w:t> </w:t>
      </w:r>
    </w:p>
    <w:p w:rsidR="000B6664" w:rsidRPr="00F144C5" w:rsidP="000B6664">
      <w:pPr>
        <w:widowControl/>
        <w:bidi w:val="0"/>
        <w:spacing w:after="100" w:afterAutospacing="1"/>
        <w:rPr>
          <w:rStyle w:val="PlaceholderText"/>
        </w:rPr>
      </w:pPr>
      <w:r w:rsidRPr="00F144C5">
        <w:rPr>
          <w:rStyle w:val="PlaceholderText"/>
        </w:rPr>
        <w:t> </w:t>
      </w:r>
    </w:p>
    <w:p w:rsidR="007B0328" w:rsidRPr="00F144C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42EA"/>
    <w:rsid w:val="000516E0"/>
    <w:rsid w:val="000B6664"/>
    <w:rsid w:val="003F42EA"/>
    <w:rsid w:val="005E4851"/>
    <w:rsid w:val="007B0328"/>
    <w:rsid w:val="008528C3"/>
    <w:rsid w:val="00956B14"/>
    <w:rsid w:val="00C12FDA"/>
    <w:rsid w:val="00C226DC"/>
    <w:rsid w:val="00D03D87"/>
    <w:rsid w:val="00EE190D"/>
    <w:rsid w:val="00F144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64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6664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8C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8C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D87"/>
    <w:pPr>
      <w:adjustRightInd/>
      <w:jc w:val="lef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3D87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1030</Words>
  <Characters>5876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Gašparíková, Jarmila</cp:lastModifiedBy>
  <cp:revision>2</cp:revision>
  <cp:lastPrinted>2015-05-27T14:02:00Z</cp:lastPrinted>
  <dcterms:created xsi:type="dcterms:W3CDTF">2015-05-29T13:46:00Z</dcterms:created>
  <dcterms:modified xsi:type="dcterms:W3CDTF">2015-05-29T13:46:00Z</dcterms:modified>
</cp:coreProperties>
</file>