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29AD" w:rsidRPr="00E93D66" w:rsidP="00CD29AD">
      <w:pPr>
        <w:widowControl/>
        <w:bidi w:val="0"/>
        <w:jc w:val="both"/>
        <w:rPr>
          <w:rFonts w:ascii="Times New Roman" w:hAnsi="Times New Roman"/>
          <w:b/>
          <w:bCs/>
          <w:caps/>
          <w:color w:val="000000"/>
          <w:spacing w:val="30"/>
        </w:rPr>
      </w:pPr>
      <w:r w:rsidRPr="00E93D66">
        <w:rPr>
          <w:rFonts w:ascii="Times New Roman" w:hAnsi="Times New Roman"/>
          <w:b/>
          <w:bCs/>
          <w:caps/>
          <w:color w:val="000000"/>
          <w:spacing w:val="30"/>
        </w:rPr>
        <w:t>Dôvodová správa</w:t>
      </w:r>
    </w:p>
    <w:p w:rsidR="00CD29AD" w:rsidRPr="00E93D66" w:rsidP="00CD29AD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D29AD" w:rsidRPr="00E93D66" w:rsidP="00CD29AD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 w:rsidRPr="00E93D66">
        <w:rPr>
          <w:rFonts w:ascii="Times New Roman" w:hAnsi="Times New Roman"/>
          <w:b/>
          <w:bCs/>
          <w:color w:val="000000"/>
        </w:rPr>
        <w:t>A. Všeobecná časť</w:t>
      </w:r>
    </w:p>
    <w:p w:rsidR="00F86F88" w:rsidRPr="00A64D2D" w:rsidP="00F86F8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86F88" w:rsidRPr="00A64D2D" w:rsidP="00F86F88">
      <w:pPr>
        <w:widowControl/>
        <w:bidi w:val="0"/>
        <w:spacing w:after="200"/>
        <w:ind w:firstLine="720"/>
        <w:jc w:val="both"/>
        <w:rPr>
          <w:rFonts w:ascii="Times New Roman" w:hAnsi="Times New Roman"/>
          <w:color w:val="000000"/>
        </w:rPr>
      </w:pPr>
      <w:r>
        <w:rPr>
          <w:rStyle w:val="PlaceholderText"/>
        </w:rPr>
        <w:t xml:space="preserve">Návrh zákona o pôsobnosti pre oblasť prístupu ku genetickým zdrojom a využívania prínosov vyplývajúcich z ich používania sa predkladá na základe Plánu legislatívnych úloh vlády SR na rok 2015. </w:t>
      </w:r>
    </w:p>
    <w:p w:rsidR="00F86F88" w:rsidP="00F86F88">
      <w:pPr>
        <w:widowControl/>
        <w:bidi w:val="0"/>
        <w:ind w:firstLine="708"/>
        <w:jc w:val="both"/>
        <w:rPr>
          <w:rStyle w:val="PlaceholderText"/>
        </w:rPr>
      </w:pPr>
      <w:r>
        <w:rPr>
          <w:rStyle w:val="PlaceholderText"/>
        </w:rPr>
        <w:t>Návrh zákona sa predkladá z dôvodu potreby implementácie nariadenia Európskeho parlamentu a Rady (EÚ) č. 511/2014 zo 16. apríla 2014 o opatreniach na zaistenie súladu pre používateľov Nagojského protokolu o prístupe ku genetickým zdrojom a spravodlivom spoločnom využívaní prínosov vyplývajúcich z ich používania v Únii (ďalej len „nariadenie EÚ“). Pre účely implementácie nariadenia EÚ sa predloženým návrhom zákona upravuje pôsobnosť orgánov štátnej správy a právnických osôb, vrátane pôsobnosti Slovenskej inšpekcie životného prostredia,  a stanovujú sa sankcie za nedodržiavanie povinností vyplývajúcich z tohto nariadenia.</w:t>
      </w:r>
    </w:p>
    <w:p w:rsidR="00F86F88" w:rsidP="00F86F88">
      <w:pPr>
        <w:widowControl/>
        <w:bidi w:val="0"/>
        <w:jc w:val="both"/>
        <w:rPr>
          <w:rStyle w:val="PlaceholderText"/>
        </w:rPr>
      </w:pPr>
      <w:r>
        <w:rPr>
          <w:rStyle w:val="PlaceholderText"/>
        </w:rPr>
        <w:t> 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 xml:space="preserve">Nariadenie EÚ ustanovuje pravidlá upravujúce dodržiavanie podmienok prístupu ku genetickým zdrojom a tradičným poznatkom súvisiacich s genetickými zdrojmi a podmienky využívania prínosov z ich používania  s cieľom účinného vykonávania Nagojského protokolu o prístupe ku genetickým zdrojom a spravodlivom a rovnocennom spoločnom využívaní prínosov vyplývajúcich z ich používania k Dohovoru o biologickej diverzite (ďalej len „Nagojský protokol“). Nagojský protokol bol prijatý za účelom posilnenie implementácie režimu kontroly podmienok používania genetických zdrojov v súlade s cieľmi Dohovoru o biologickej diverzite (ďalej len „dohovor CBD“). 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 xml:space="preserve"> Dohovor CBD bol schválený 22. mája 1992 v Nairobi a vstúpil do platnosti 29. decembra 1993. V mene Slovenskej republiky (ďalej len „SR“) bol podpísaný 19. mája 1993 v New Yorku. Dohovor CBD vstúpil pre SR do platnosti 23. novembra 1994 a v zbierke zákonov bol uverejnený ako Oznámenie Ministerstva zahraničných vecí SR č. 34/1996 Z. z. V článku č. 1 dohovoru CBD sú uvedené tri základné ciele: ochrana biologickej rozmanitosti, jej udržateľné využívanie a spravodlivé a rovnocenné rozdeľovanie prínosov plynúcich z využívania genetických zdrojov. Prístup ku genetickým zdrojom a rozdeľovaniu prínosov z nich (Acces and Benefit  Sharing, ABS) upravuje predovšetkým článok č. 15 dohovoru CBD, v ktorom je v odseku č.  1 zakotvené suverénne právo štátov na ich genetické zdroje a právomoc národných vlád stanoviť podmienky prístupu ku svojim genetickým zdrojom. V odseku č. 2 je táto právomoc usmernená stanovením záväzku zmluvných strán snažiť sa o uľahčenie podmienok takéhoto prístupu. Podľa odseku č. 5 zmluvné strany môžu využiť inštitút predchádzajúceho informovaného súhlasu. Odsek č. 4 stanovuje, že medzi poskytovateľom a odberateľom genetických zdrojov má dôjsť k prijatiu vzájomne dohodnutých podmienok a odsek č. 7 určuje, že v týchto podmienkach musí byť ošetrené spravodlivé a rovnoprávne rozdelenie výsledkov výskumu a vývoja a zisku vyplývajúceho z komerčného využitia genetických zdrojov. Článok č. 15 dohovoru CBD je úzko previazaný aj s článkom č. 2 dohovoru CBD, ktorý obsahuje definície pojmov, článkami č. 16 a 19 dohovoru CBD, ktoré sa týkajú prevodu technológií a zaobchádzaním s biotechnológiou a rozdeľovaním jej prínosov, článkami č. 20 a 21 dohovoru CBD, ktoré pojednávajú o finančných zdrojoch a mechanizmoch, a ustanovením článku č. 8 písm. j) dohovoru CBD, ktorý stanovuje záväzok rešpektovať, chrániť a udržovať poznatky, inovácie a postupy iba so súhlasom a zapojením ich vlastníkov, vrátane spravodlivého rozdelenia ziskov z ich využívania. </w:t>
      </w:r>
    </w:p>
    <w:p w:rsidR="00F86F88" w:rsidP="00F86F88">
      <w:pPr>
        <w:widowControl/>
        <w:bidi w:val="0"/>
        <w:spacing w:after="200"/>
        <w:ind w:firstLine="720"/>
        <w:jc w:val="both"/>
        <w:rPr>
          <w:rStyle w:val="PlaceholderText"/>
        </w:rPr>
      </w:pPr>
      <w:r>
        <w:rPr>
          <w:rStyle w:val="PlaceholderText"/>
        </w:rPr>
        <w:t xml:space="preserve">S ohľadom na komplexnosť problematiky podmienok prístupu ku genetickým zdrojom a tradičným poznatkom súvisiacich s genetickými zdrojmi a využívania prínosov z nich vyplynula potreba prijatia Nagojského protokolu. Hlavným cieľom  prijatia Nagojského protokolu bolo posilnenie implementácie režimu podmienok prístupu ku genetickým zdrojom a tradičným poznatkom súvisiacim s genetickými zdrojmi a využívania prínosov z nich prostredníctvom štandardizácie medzinárodných transakcií s genetickými zdrojmi, k vyššiemu zapojeniu domorodých a lokálnych komunít do rozhodovacích procesov o využívaní genetických zdrojov a ku zdieľaniu peňažných i nepeňažných prínosov z komerčného využívania genetických zdrojov. Nagojský protokol sa týka pomerne širokého okruhu sektorov využívajúcich genetické zdroje a s nimi súvisiace tradičné znalosti. 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>Nagojský protokol bol prijatý 30. októbra 2010 na CBD COP 10 (konferencia zmluvných strán) v japonskej Nagoji a vstúpil do platnosti 12. októbra 2014. Slovenská republika Nagojský protokol dosiaľ nepodpísala, Európska únia ho podpísala 23. júna 2011. Implementácia Nagojského protokolu v EÚ vyžadovala prijatie opatrení na úrovni Európskej únie ako celku. Nariadenie EÚ vstúpilo do platnosti dňa 12. októbra 2014, s tým že  čl. 4,6, a 9 sa začnú uplatňovať jeden rok po nadobudnutí jeho platnosti.  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 xml:space="preserve">Z tohto dôvodu potreby implementácie nariadenia EÚ bolo vypracovanie návrhu zákona o prístupe ku genetickým zdrojom a využívaní prínosov vyplývajúcich z ich používania zaradené do Plánu legislatívnych úloh Ministerstva životného prostredia SR na rok 2015,  kedže na vnútroštátnej úrovni v súčasnosti nie sú upravené bližšie podmienky používania genetických zdrojov v zmysle nariadenia EÚ  a ani mechanizmy vyplývajúce z dohovoru CBD (napr. prevod technológií a rozdeľovanie prínosov z biotechnológií, finančné zdroje a finančné mechanizmy). </w:t>
      </w:r>
    </w:p>
    <w:p w:rsidR="00F86F88" w:rsidP="00F86F88">
      <w:pPr>
        <w:widowControl/>
        <w:bidi w:val="0"/>
        <w:ind w:firstLine="426"/>
        <w:jc w:val="both"/>
        <w:rPr>
          <w:rStyle w:val="PlaceholderText"/>
        </w:rPr>
      </w:pPr>
      <w:r>
        <w:rPr>
          <w:rStyle w:val="PlaceholderText"/>
        </w:rPr>
        <w:t> 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>Problematika obsiahnutá v nariadení EÚ sa týka celého spektra oblastí. Zahŕňa vedu a výskum, potravinárstvo, farmaceutický priemysel, kozmetický priemysel, poľnohospodárstvo, lesné hospodárstvo, zbierkové inštitúcie (napr. botanické a zoologické záhrady, arboréta a pod.) i ďalšie oblasti. Nariadenie EÚ núti používateľov genetických zdrojov získavať genetické zdroje v súlade s platnou legislatívou krajiny pôvodu genetického zdroja a výsledné produkty výskumu a vývoja uvádzať na trh v súlade s podmienkami v ňom stanovenými; to sa vzťahuje aj na produkty, ku ktorým bol udelený patent, ak boli  vyvinuté s použitím genetických zdrojov alebo tradičných poznatkov súvisiacich s týmito zdrojmi.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>K nariadeniu EÚ je v súčasnosti v legislatívnom procese vykonávací akt Európskej komisie. Tento vykonávací akt má upraviť postupy vykonávania čl. 5 a čl. 7 ods. 1 a 2 nariadenia.     </w:t>
      </w:r>
    </w:p>
    <w:p w:rsidR="00F86F88" w:rsidP="00F86F88">
      <w:pPr>
        <w:widowControl/>
        <w:bidi w:val="0"/>
        <w:spacing w:after="200"/>
        <w:ind w:firstLine="426"/>
        <w:jc w:val="both"/>
        <w:rPr>
          <w:rStyle w:val="PlaceholderText"/>
        </w:rPr>
      </w:pPr>
      <w:r>
        <w:rPr>
          <w:rStyle w:val="PlaceholderText"/>
        </w:rPr>
        <w:t>Predkladaný návrh zákona je v súlade s ústavou, ústavnými zákonmi, zákonmi,  medzinárodnými zmluvami, ktorými je Slovenská republika viazaná a súčasne je v súlade s právom Európskych spoločenstiev a Európskej únie. </w:t>
      </w:r>
    </w:p>
    <w:p w:rsidR="00F86F88" w:rsidP="00F86F88">
      <w:pPr>
        <w:widowControl/>
        <w:bidi w:val="0"/>
        <w:spacing w:after="280" w:afterAutospacing="1"/>
        <w:rPr>
          <w:rStyle w:val="PlaceholderText"/>
        </w:rPr>
      </w:pPr>
      <w:r>
        <w:rPr>
          <w:rStyle w:val="PlaceholderText"/>
        </w:rPr>
        <w:t> </w:t>
      </w:r>
    </w:p>
    <w:p w:rsidR="00F86F88" w:rsidRPr="00F86F88" w:rsidP="00F86F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53B58"/>
    <w:rsid w:val="007B0328"/>
    <w:rsid w:val="00953B58"/>
    <w:rsid w:val="009A1ED2"/>
    <w:rsid w:val="00A64D2D"/>
    <w:rsid w:val="00CD29AD"/>
    <w:rsid w:val="00E93D66"/>
    <w:rsid w:val="00F86F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88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6F88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963</Words>
  <Characters>5493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Gašparíková, Jarmila</cp:lastModifiedBy>
  <cp:revision>2</cp:revision>
  <cp:lastPrinted>2015-05-27T12:39:00Z</cp:lastPrinted>
  <dcterms:created xsi:type="dcterms:W3CDTF">2015-05-29T13:46:00Z</dcterms:created>
  <dcterms:modified xsi:type="dcterms:W3CDTF">2015-05-29T13:46:00Z</dcterms:modified>
</cp:coreProperties>
</file>