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73B0" w:rsidRPr="00634D55" w:rsidP="00F473B0">
      <w:pPr>
        <w:pStyle w:val="Title"/>
        <w:widowControl/>
        <w:pBdr>
          <w:bottom w:val="single" w:sz="8" w:space="1" w:color="000000"/>
        </w:pBdr>
        <w:bidi w:val="0"/>
        <w:rPr>
          <w:rFonts w:ascii="Times New Roman" w:hAnsi="Times New Roman" w:cs="Times New Roman"/>
          <w:sz w:val="28"/>
          <w:szCs w:val="28"/>
          <w:u w:val="none"/>
        </w:rPr>
      </w:pPr>
      <w:r w:rsidRPr="00634D55">
        <w:rPr>
          <w:rFonts w:ascii="Times New Roman" w:hAnsi="Times New Roman" w:cs="Times New Roman"/>
          <w:sz w:val="28"/>
          <w:szCs w:val="28"/>
          <w:u w:val="none"/>
        </w:rPr>
        <w:t>N Á R O D N Á   R A D A   S L O V E N S K E J   R E P U B L I K Y</w:t>
      </w:r>
    </w:p>
    <w:p w:rsidR="00F473B0" w:rsidRPr="00634D55" w:rsidP="00F473B0">
      <w:pPr>
        <w:widowControl/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F473B0" w:rsidRPr="00634D55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  <w:r w:rsidRPr="00634D55">
        <w:rPr>
          <w:rFonts w:ascii="Times New Roman" w:hAnsi="Times New Roman"/>
          <w:b/>
          <w:bCs/>
        </w:rPr>
        <w:t>VI. volebné obdobie</w:t>
      </w:r>
    </w:p>
    <w:p w:rsidR="00F473B0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F473B0" w:rsidRPr="00634D55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F473B0" w:rsidRPr="002F0CB9" w:rsidP="00F473B0">
      <w:pPr>
        <w:widowControl/>
        <w:bidi w:val="0"/>
        <w:jc w:val="center"/>
        <w:rPr>
          <w:rFonts w:ascii="Times New Roman" w:hAnsi="Times New Roman"/>
        </w:rPr>
      </w:pPr>
      <w:r w:rsidRPr="002F0CB9">
        <w:rPr>
          <w:rFonts w:ascii="Times New Roman" w:hAnsi="Times New Roman"/>
        </w:rPr>
        <w:t>(N á v r h)</w:t>
      </w:r>
    </w:p>
    <w:p w:rsidR="00F473B0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F473B0" w:rsidRPr="002F0CB9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F473B0" w:rsidRPr="002F0CB9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  <w:r w:rsidRPr="002F0CB9">
        <w:rPr>
          <w:rFonts w:ascii="Times New Roman" w:hAnsi="Times New Roman"/>
          <w:b/>
          <w:bCs/>
        </w:rPr>
        <w:t>Zákon</w:t>
      </w:r>
    </w:p>
    <w:p w:rsidR="00F473B0" w:rsidRPr="002F0CB9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F473B0" w:rsidRPr="002F0CB9" w:rsidP="00F473B0">
      <w:pPr>
        <w:widowControl/>
        <w:bidi w:val="0"/>
        <w:jc w:val="center"/>
        <w:rPr>
          <w:rFonts w:ascii="Times New Roman" w:hAnsi="Times New Roman"/>
        </w:rPr>
      </w:pPr>
      <w:r w:rsidRPr="002F0CB9">
        <w:rPr>
          <w:rFonts w:ascii="Times New Roman" w:hAnsi="Times New Roman"/>
        </w:rPr>
        <w:t>z ........ 201</w:t>
      </w:r>
      <w:r>
        <w:rPr>
          <w:rFonts w:ascii="Times New Roman" w:hAnsi="Times New Roman"/>
        </w:rPr>
        <w:t>5</w:t>
      </w:r>
      <w:r w:rsidRPr="002F0CB9">
        <w:rPr>
          <w:rFonts w:ascii="Times New Roman" w:hAnsi="Times New Roman"/>
        </w:rPr>
        <w:t>,</w:t>
      </w:r>
    </w:p>
    <w:p w:rsidR="00F473B0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F473B0" w:rsidRPr="002F0CB9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F473B0" w:rsidRPr="002F0CB9" w:rsidP="00F473B0">
      <w:pPr>
        <w:bidi w:val="0"/>
        <w:spacing w:before="120"/>
        <w:jc w:val="center"/>
        <w:rPr>
          <w:rFonts w:ascii="Times New Roman" w:hAnsi="Times New Roman"/>
          <w:b/>
          <w:bCs/>
          <w:sz w:val="22"/>
          <w:szCs w:val="22"/>
        </w:rPr>
      </w:pPr>
      <w:r w:rsidRPr="002F0CB9">
        <w:rPr>
          <w:rFonts w:ascii="Times New Roman" w:hAnsi="Times New Roman"/>
          <w:b/>
          <w:bCs/>
          <w:sz w:val="22"/>
          <w:szCs w:val="22"/>
        </w:rPr>
        <w:t xml:space="preserve">ktorým sa mení a </w:t>
      </w:r>
      <w:r w:rsidRPr="00175C8A">
        <w:rPr>
          <w:rFonts w:ascii="Times New Roman" w:hAnsi="Times New Roman"/>
          <w:b/>
          <w:bCs/>
          <w:sz w:val="22"/>
          <w:szCs w:val="22"/>
        </w:rPr>
        <w:t>dopĺňa zákon č. 577/2004 Z. z. o rozsahu zdravotnej starostlivosti uhrádzanej na základe verejného zdravotného poistenia a o úhradách za služby súvisiace s poskytovaním zdravotnej starostlivosti v znení neskorších predpisov a ktorým sa menia a dopĺňajú niektoré zákony</w:t>
      </w:r>
      <w:r w:rsidRPr="002F0CB9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F473B0" w:rsidP="00F473B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F473B0" w:rsidRPr="002F0CB9" w:rsidP="00F473B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F473B0" w:rsidRPr="002F0CB9" w:rsidP="00F473B0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2F0CB9">
        <w:rPr>
          <w:rFonts w:ascii="Times New Roman" w:hAnsi="Times New Roman"/>
          <w:sz w:val="22"/>
          <w:szCs w:val="22"/>
        </w:rPr>
        <w:t xml:space="preserve">Národná rada Slovenskej republiky sa uzniesla na tomto zákone: </w:t>
      </w:r>
    </w:p>
    <w:p w:rsidR="00F473B0" w:rsidP="00F473B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F473B0" w:rsidRPr="002F0CB9" w:rsidP="00F473B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F473B0" w:rsidRPr="002F0CB9" w:rsidP="00F473B0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2F0CB9">
        <w:rPr>
          <w:rFonts w:ascii="Times New Roman" w:hAnsi="Times New Roman"/>
          <w:b/>
          <w:sz w:val="22"/>
          <w:szCs w:val="22"/>
        </w:rPr>
        <w:t>Čl. I</w:t>
      </w:r>
    </w:p>
    <w:p w:rsidR="00F473B0" w:rsidRPr="002F0CB9" w:rsidP="00F473B0">
      <w:pPr>
        <w:tabs>
          <w:tab w:val="left" w:pos="4320"/>
        </w:tabs>
        <w:bidi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F473B0" w:rsidRPr="002F0CB9" w:rsidP="00F473B0">
      <w:pPr>
        <w:bidi w:val="0"/>
        <w:spacing w:line="276" w:lineRule="auto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Zákon č. 577/2004 </w:t>
      </w:r>
      <w:r w:rsidRPr="00175C8A">
        <w:rPr>
          <w:rFonts w:ascii="Times New Roman" w:hAnsi="Times New Roman"/>
          <w:sz w:val="22"/>
          <w:szCs w:val="22"/>
        </w:rPr>
        <w:t>o rozsahu zdravotnej starostlivosti uhrádzanej na základe verejného zdravotného poistenia a o úhradách za služby súvisiace s poskytovaním zdravotnej starostlivosti</w:t>
      </w:r>
      <w:r>
        <w:rPr>
          <w:rFonts w:ascii="Times New Roman" w:hAnsi="Times New Roman"/>
          <w:sz w:val="22"/>
          <w:szCs w:val="22"/>
        </w:rPr>
        <w:t xml:space="preserve"> v znení zákona č. 720/2004 Z.z., </w:t>
      </w:r>
      <w:r w:rsidRPr="00175C8A">
        <w:rPr>
          <w:rFonts w:ascii="Times New Roman" w:hAnsi="Times New Roman"/>
          <w:bCs/>
          <w:sz w:val="22"/>
          <w:szCs w:val="22"/>
        </w:rPr>
        <w:t>zákona č.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175C8A">
        <w:rPr>
          <w:rFonts w:ascii="Times New Roman" w:hAnsi="Times New Roman"/>
          <w:sz w:val="22"/>
          <w:szCs w:val="22"/>
        </w:rPr>
        <w:t>347/2005 Z.z.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5C8A">
        <w:rPr>
          <w:rFonts w:ascii="Times New Roman" w:hAnsi="Times New Roman"/>
          <w:bCs/>
          <w:sz w:val="22"/>
          <w:szCs w:val="22"/>
        </w:rPr>
        <w:t>zákona č.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175C8A">
        <w:rPr>
          <w:rFonts w:ascii="Times New Roman" w:hAnsi="Times New Roman"/>
          <w:sz w:val="22"/>
          <w:szCs w:val="22"/>
        </w:rPr>
        <w:t xml:space="preserve">538/2005 Z.z., </w:t>
      </w:r>
      <w:r w:rsidRPr="00175C8A">
        <w:rPr>
          <w:rFonts w:ascii="Times New Roman" w:hAnsi="Times New Roman"/>
          <w:bCs/>
          <w:sz w:val="22"/>
          <w:szCs w:val="22"/>
        </w:rPr>
        <w:t>zákona č.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175C8A">
        <w:rPr>
          <w:rFonts w:ascii="Times New Roman" w:hAnsi="Times New Roman"/>
          <w:sz w:val="22"/>
          <w:szCs w:val="22"/>
        </w:rPr>
        <w:t>660/2005 Z.z.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5C8A">
        <w:rPr>
          <w:rFonts w:ascii="Times New Roman" w:hAnsi="Times New Roman"/>
          <w:bCs/>
          <w:sz w:val="22"/>
          <w:szCs w:val="22"/>
        </w:rPr>
        <w:t>zákona č.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175C8A">
        <w:rPr>
          <w:rFonts w:ascii="Times New Roman" w:hAnsi="Times New Roman"/>
          <w:sz w:val="22"/>
          <w:szCs w:val="22"/>
        </w:rPr>
        <w:t>342/2006 Z.z.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5C8A">
        <w:rPr>
          <w:rFonts w:ascii="Times New Roman" w:hAnsi="Times New Roman"/>
          <w:bCs/>
          <w:sz w:val="22"/>
          <w:szCs w:val="22"/>
        </w:rPr>
        <w:t>zákona č.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175C8A">
        <w:rPr>
          <w:rFonts w:ascii="Times New Roman" w:hAnsi="Times New Roman"/>
          <w:sz w:val="22"/>
          <w:szCs w:val="22"/>
        </w:rPr>
        <w:t>522/2006 Z.z.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5C8A">
        <w:rPr>
          <w:rFonts w:ascii="Times New Roman" w:hAnsi="Times New Roman"/>
          <w:bCs/>
          <w:sz w:val="22"/>
          <w:szCs w:val="22"/>
        </w:rPr>
        <w:t>zákona č.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175C8A">
        <w:rPr>
          <w:rFonts w:ascii="Times New Roman" w:hAnsi="Times New Roman"/>
          <w:sz w:val="22"/>
          <w:szCs w:val="22"/>
        </w:rPr>
        <w:t>661/2007 Z.z.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5C8A">
        <w:rPr>
          <w:rFonts w:ascii="Times New Roman" w:hAnsi="Times New Roman"/>
          <w:bCs/>
          <w:sz w:val="22"/>
          <w:szCs w:val="22"/>
        </w:rPr>
        <w:t>zákona č.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175C8A">
        <w:rPr>
          <w:rFonts w:ascii="Times New Roman" w:hAnsi="Times New Roman"/>
          <w:sz w:val="22"/>
          <w:szCs w:val="22"/>
        </w:rPr>
        <w:t>81/2009 Z.z.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5C8A">
        <w:rPr>
          <w:rFonts w:ascii="Times New Roman" w:hAnsi="Times New Roman"/>
          <w:bCs/>
          <w:sz w:val="22"/>
          <w:szCs w:val="22"/>
        </w:rPr>
        <w:t>zákona č.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175C8A">
        <w:rPr>
          <w:rFonts w:ascii="Times New Roman" w:hAnsi="Times New Roman"/>
          <w:sz w:val="22"/>
          <w:szCs w:val="22"/>
        </w:rPr>
        <w:t>402/2009 Z.z.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5C8A">
        <w:rPr>
          <w:rFonts w:ascii="Times New Roman" w:hAnsi="Times New Roman"/>
          <w:bCs/>
          <w:sz w:val="22"/>
          <w:szCs w:val="22"/>
        </w:rPr>
        <w:t>zákona č.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175C8A">
        <w:rPr>
          <w:rFonts w:ascii="Times New Roman" w:hAnsi="Times New Roman"/>
          <w:sz w:val="22"/>
          <w:szCs w:val="22"/>
        </w:rPr>
        <w:t>34/2011 Z.z.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5C8A">
        <w:rPr>
          <w:rFonts w:ascii="Times New Roman" w:hAnsi="Times New Roman"/>
          <w:bCs/>
          <w:sz w:val="22"/>
          <w:szCs w:val="22"/>
        </w:rPr>
        <w:t>zákona č.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175C8A">
        <w:rPr>
          <w:rFonts w:ascii="Times New Roman" w:hAnsi="Times New Roman"/>
          <w:sz w:val="22"/>
          <w:szCs w:val="22"/>
        </w:rPr>
        <w:t>363/2011 Z.z.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5C8A">
        <w:rPr>
          <w:rFonts w:ascii="Times New Roman" w:hAnsi="Times New Roman"/>
          <w:bCs/>
          <w:sz w:val="22"/>
          <w:szCs w:val="22"/>
        </w:rPr>
        <w:t>zákona č.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175C8A">
        <w:rPr>
          <w:rFonts w:ascii="Times New Roman" w:hAnsi="Times New Roman"/>
          <w:sz w:val="22"/>
          <w:szCs w:val="22"/>
        </w:rPr>
        <w:t>41/2013 Z.z.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5C8A">
        <w:rPr>
          <w:rFonts w:ascii="Times New Roman" w:hAnsi="Times New Roman"/>
          <w:bCs/>
          <w:sz w:val="22"/>
          <w:szCs w:val="22"/>
        </w:rPr>
        <w:t>zákona č.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175C8A">
        <w:rPr>
          <w:rFonts w:ascii="Times New Roman" w:hAnsi="Times New Roman"/>
          <w:sz w:val="22"/>
          <w:szCs w:val="22"/>
        </w:rPr>
        <w:t>220/2013 Z.z.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5C8A">
        <w:rPr>
          <w:rFonts w:ascii="Times New Roman" w:hAnsi="Times New Roman"/>
          <w:bCs/>
          <w:sz w:val="22"/>
          <w:szCs w:val="22"/>
        </w:rPr>
        <w:t>zákona č.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175C8A">
        <w:rPr>
          <w:rFonts w:ascii="Times New Roman" w:hAnsi="Times New Roman"/>
          <w:sz w:val="22"/>
          <w:szCs w:val="22"/>
        </w:rPr>
        <w:t>220/2013 Z.z.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5C8A">
        <w:rPr>
          <w:rFonts w:ascii="Times New Roman" w:hAnsi="Times New Roman"/>
          <w:bCs/>
          <w:sz w:val="22"/>
          <w:szCs w:val="22"/>
        </w:rPr>
        <w:t>zákona č.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175C8A">
        <w:rPr>
          <w:rFonts w:ascii="Times New Roman" w:hAnsi="Times New Roman"/>
          <w:sz w:val="22"/>
          <w:szCs w:val="22"/>
        </w:rPr>
        <w:t>365/2013 Z.z.</w:t>
      </w:r>
      <w:r>
        <w:rPr>
          <w:rFonts w:ascii="Times New Roman" w:hAnsi="Times New Roman"/>
          <w:sz w:val="22"/>
          <w:szCs w:val="22"/>
        </w:rPr>
        <w:t xml:space="preserve"> a </w:t>
      </w:r>
      <w:r w:rsidRPr="00175C8A">
        <w:rPr>
          <w:rFonts w:ascii="Times New Roman" w:hAnsi="Times New Roman"/>
          <w:bCs/>
          <w:sz w:val="22"/>
          <w:szCs w:val="22"/>
        </w:rPr>
        <w:t>zákona č.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175C8A">
        <w:rPr>
          <w:rFonts w:ascii="Times New Roman" w:hAnsi="Times New Roman"/>
          <w:sz w:val="22"/>
          <w:szCs w:val="22"/>
        </w:rPr>
        <w:t>185/2014 Z.z.</w:t>
      </w:r>
      <w:r w:rsidRPr="002F0CB9">
        <w:rPr>
          <w:rStyle w:val="odsekChar"/>
          <w:rFonts w:ascii="Times New Roman" w:hAnsi="Times New Roman"/>
          <w:sz w:val="22"/>
          <w:szCs w:val="22"/>
        </w:rPr>
        <w:t xml:space="preserve"> sa mení a dopĺňa takto:</w:t>
      </w:r>
    </w:p>
    <w:p w:rsidR="00F473B0" w:rsidRPr="002F0CB9" w:rsidP="00F473B0">
      <w:pPr>
        <w:widowControl/>
        <w:bidi w:val="0"/>
        <w:spacing w:line="320" w:lineRule="exact"/>
        <w:ind w:left="300" w:hanging="360"/>
        <w:jc w:val="both"/>
        <w:rPr>
          <w:rFonts w:ascii="Times New Roman" w:hAnsi="Times New Roman"/>
        </w:rPr>
      </w:pPr>
    </w:p>
    <w:p w:rsidR="00F473B0" w:rsidP="00F473B0">
      <w:pPr>
        <w:widowControl/>
        <w:tabs>
          <w:tab w:val="left" w:pos="284"/>
        </w:tabs>
        <w:bidi w:val="0"/>
        <w:spacing w:line="320" w:lineRule="exact"/>
        <w:jc w:val="both"/>
        <w:rPr>
          <w:rFonts w:ascii="Times New Roman" w:hAnsi="Times New Roman"/>
        </w:rPr>
      </w:pPr>
    </w:p>
    <w:p w:rsidR="00F473B0" w:rsidP="00F473B0">
      <w:pPr>
        <w:widowControl/>
        <w:numPr>
          <w:numId w:val="1"/>
        </w:numPr>
        <w:tabs>
          <w:tab w:val="left" w:pos="284"/>
        </w:tabs>
        <w:bidi w:val="0"/>
        <w:spacing w:line="320" w:lineRule="exact"/>
        <w:jc w:val="both"/>
        <w:rPr>
          <w:rFonts w:ascii="Times New Roman" w:hAnsi="Times New Roman"/>
        </w:rPr>
      </w:pPr>
      <w:r w:rsidRPr="002F0CB9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Pr="002F0CB9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3</w:t>
      </w:r>
      <w:r w:rsidRPr="002F0CB9">
        <w:rPr>
          <w:rFonts w:ascii="Times New Roman" w:hAnsi="Times New Roman"/>
        </w:rPr>
        <w:t>8</w:t>
      </w:r>
      <w:r>
        <w:rPr>
          <w:rFonts w:ascii="Times New Roman" w:hAnsi="Times New Roman"/>
        </w:rPr>
        <w:t>a</w:t>
      </w:r>
      <w:r w:rsidRPr="002F0C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sa dopĺňa </w:t>
      </w:r>
      <w:r w:rsidRPr="002F0CB9">
        <w:rPr>
          <w:rFonts w:ascii="Times New Roman" w:hAnsi="Times New Roman"/>
        </w:rPr>
        <w:t>odsek</w:t>
      </w:r>
      <w:r>
        <w:rPr>
          <w:rFonts w:ascii="Times New Roman" w:hAnsi="Times New Roman"/>
        </w:rPr>
        <w:t>mi</w:t>
      </w:r>
      <w:r w:rsidRPr="002F0C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 až 7, ktoré</w:t>
      </w:r>
      <w:r w:rsidRPr="002F0CB9">
        <w:rPr>
          <w:rFonts w:ascii="Times New Roman" w:hAnsi="Times New Roman"/>
        </w:rPr>
        <w:t xml:space="preserve"> zn</w:t>
      </w:r>
      <w:r>
        <w:rPr>
          <w:rFonts w:ascii="Times New Roman" w:hAnsi="Times New Roman"/>
        </w:rPr>
        <w:t>ejú</w:t>
      </w:r>
      <w:r w:rsidRPr="002F0CB9">
        <w:rPr>
          <w:rFonts w:ascii="Times New Roman" w:hAnsi="Times New Roman"/>
        </w:rPr>
        <w:t>:</w:t>
      </w:r>
    </w:p>
    <w:p w:rsidR="00F473B0" w:rsidP="00F473B0">
      <w:pPr>
        <w:widowControl/>
        <w:tabs>
          <w:tab w:val="left" w:pos="284"/>
        </w:tabs>
        <w:bidi w:val="0"/>
        <w:spacing w:line="320" w:lineRule="exact"/>
        <w:ind w:left="720"/>
        <w:jc w:val="both"/>
        <w:rPr>
          <w:rFonts w:ascii="Times New Roman" w:hAnsi="Times New Roman"/>
        </w:rPr>
      </w:pPr>
    </w:p>
    <w:p w:rsidR="00F473B0" w:rsidP="00F473B0">
      <w:pPr>
        <w:widowControl/>
        <w:tabs>
          <w:tab w:val="left" w:pos="284"/>
        </w:tabs>
        <w:bidi w:val="0"/>
        <w:spacing w:line="320" w:lineRule="exact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Ak úhrnná výška úhrad poistenca za </w:t>
      </w:r>
      <w:r w:rsidRPr="00FB42F7">
        <w:rPr>
          <w:rFonts w:ascii="Times New Roman" w:hAnsi="Times New Roman"/>
        </w:rPr>
        <w:t>služby</w:t>
      </w:r>
      <w:r>
        <w:rPr>
          <w:rFonts w:ascii="Times New Roman" w:hAnsi="Times New Roman"/>
        </w:rPr>
        <w:t xml:space="preserve"> </w:t>
      </w:r>
      <w:r w:rsidRPr="00FC2B8A">
        <w:rPr>
          <w:rFonts w:ascii="Times New Roman" w:hAnsi="Times New Roman"/>
        </w:rPr>
        <w:t>súvisiace s poskytovaním zdravotnej starostlivosti</w:t>
      </w:r>
      <w:r>
        <w:rPr>
          <w:rFonts w:ascii="Times New Roman" w:hAnsi="Times New Roman"/>
        </w:rPr>
        <w:t>, ktoré sú uvedené v paragrafe 38 odsek 3 písmeno a) až g) prekročí v kalendárnom štvrťroku limit na úhrady ustanovený v odseku 4, zdravotná poisťovňa poistencovi uhradí čiastku, o ktorú je limit na úhrady prekročený.</w:t>
      </w:r>
    </w:p>
    <w:p w:rsidR="00F473B0" w:rsidRPr="002F0CB9" w:rsidP="00F473B0">
      <w:pPr>
        <w:widowControl/>
        <w:tabs>
          <w:tab w:val="left" w:pos="284"/>
        </w:tabs>
        <w:bidi w:val="0"/>
        <w:spacing w:line="320" w:lineRule="exact"/>
        <w:ind w:left="720"/>
        <w:jc w:val="both"/>
        <w:rPr>
          <w:rFonts w:ascii="Times New Roman" w:hAnsi="Times New Roman"/>
        </w:rPr>
      </w:pPr>
    </w:p>
    <w:p w:rsidR="00F473B0" w:rsidP="00F473B0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Limit na </w:t>
      </w:r>
      <w:r w:rsidRPr="00FB42F7">
        <w:rPr>
          <w:rFonts w:ascii="Times New Roman" w:hAnsi="Times New Roman"/>
        </w:rPr>
        <w:t>úhrady poistenca za služby</w:t>
      </w:r>
      <w:r>
        <w:rPr>
          <w:rFonts w:ascii="Times New Roman" w:hAnsi="Times New Roman"/>
        </w:rPr>
        <w:t xml:space="preserve"> </w:t>
      </w:r>
      <w:r w:rsidRPr="00FC2B8A">
        <w:rPr>
          <w:rFonts w:ascii="Times New Roman" w:hAnsi="Times New Roman"/>
        </w:rPr>
        <w:t>súvisiace s poskytovaním zdravotnej starostlivosti</w:t>
      </w:r>
      <w:r>
        <w:rPr>
          <w:rFonts w:ascii="Times New Roman" w:hAnsi="Times New Roman"/>
        </w:rPr>
        <w:t>, ktoré sú uvedené v paragrafe 38 odsek 3 písmeno a) až g) vo výške</w:t>
      </w:r>
    </w:p>
    <w:p w:rsidR="00F473B0" w:rsidP="00F473B0">
      <w:pPr>
        <w:bidi w:val="0"/>
        <w:ind w:left="720"/>
        <w:jc w:val="both"/>
        <w:rPr>
          <w:rFonts w:ascii="Times New Roman" w:hAnsi="Times New Roman"/>
        </w:rPr>
      </w:pPr>
    </w:p>
    <w:p w:rsidR="00F473B0" w:rsidP="00F473B0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30 eur sa vzťahuje na poistenca, ktorý je k prvému dňu kalendárneho štvrťroka</w:t>
      </w:r>
    </w:p>
    <w:p w:rsidR="00F473B0" w:rsidP="00F473B0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držiteľom preukazu fyzickej osoby s ťažkým zdravotným postihnutím alebo preukazu fyzickej osoby s ťažkým zdravotným postihnutím so sprievodcom,</w:t>
      </w:r>
    </w:p>
    <w:p w:rsidR="00F473B0" w:rsidP="00F473B0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poberateľom invalidného dôchodku, invalidného výsluhového dôchodku alebo</w:t>
      </w:r>
    </w:p>
    <w:p w:rsidR="00F473B0" w:rsidP="00F473B0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invalidný a nevznikol mu nárok na invalidný dôchodok, </w:t>
      </w:r>
    </w:p>
    <w:p w:rsidR="00F473B0" w:rsidP="00F473B0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473B0" w:rsidP="00F473B0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45 eur sa vzťahuje na poistenca, ktorý k prvému dňu kalendárneho štvrťroka</w:t>
      </w:r>
    </w:p>
    <w:p w:rsidR="00F473B0" w:rsidP="00F473B0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je poberateľom starobného dôchodku, dôchodku z výsluhového zabezpečenia policajtov a vojakov vo veku ustanovenom na vznik nároku na starobný dôchodok, dôchodku z iného členského štátu, Nórska, Lichtenštajnska, Islandu, Švajčiarska, ak nie je poistený v tomto štáte, nie je poberateľom dôchodku z tretieho štátu, alebo</w:t>
      </w:r>
    </w:p>
    <w:p w:rsidR="00F473B0" w:rsidP="00F473B0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dovŕšil dôchodkový vek a nevznikol mu nárok na starobný dôchodok.</w:t>
      </w:r>
    </w:p>
    <w:p w:rsidR="00F473B0" w:rsidP="00F473B0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473B0" w:rsidP="00F473B0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(5) Limit na </w:t>
      </w:r>
      <w:r w:rsidRPr="00FB42F7">
        <w:rPr>
          <w:rFonts w:ascii="Times New Roman" w:hAnsi="Times New Roman"/>
        </w:rPr>
        <w:t xml:space="preserve">úhrady poistenca </w:t>
      </w:r>
      <w:r>
        <w:rPr>
          <w:rFonts w:ascii="Times New Roman" w:hAnsi="Times New Roman"/>
        </w:rPr>
        <w:t>podľa odseku 4 sa nevzťahuje na poistencov, ktorí majú</w:t>
      </w:r>
    </w:p>
    <w:p w:rsidR="00F473B0" w:rsidP="00F473B0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príjem, ktorý podlieha dani z príjmov podľa osobitného predpisu 7) okrem príjmu z dohôd vykonávaných mimo pracovného pomeru,</w:t>
      </w:r>
    </w:p>
    <w:p w:rsidR="00F473B0" w:rsidP="00F473B0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473B0" w:rsidP="00F473B0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dôchodok vyšší ako 50% priemernej mesačnej mzdy zamestnanca v hospodárstve Slovenskej republiky zistenej Štatistickým úradom Slovenskej republiky za kalendárny rok, ktorý dva roky predchádza kalendárnemu roku, v ktorom sa posudzuje nárok poistenca na limit spoluúčasti.</w:t>
      </w:r>
    </w:p>
    <w:p w:rsidR="00F473B0" w:rsidP="00F473B0">
      <w:pPr>
        <w:bidi w:val="0"/>
        <w:ind w:left="720"/>
        <w:jc w:val="both"/>
        <w:rPr>
          <w:rFonts w:ascii="Times New Roman" w:hAnsi="Times New Roman"/>
        </w:rPr>
      </w:pPr>
    </w:p>
    <w:p w:rsidR="00F473B0" w:rsidP="00F473B0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Ak sa na poistenca vzťahujú oba limity spoluúčasti, uplatní sa vyšší z nich.</w:t>
      </w:r>
    </w:p>
    <w:p w:rsidR="00F473B0" w:rsidP="00F473B0">
      <w:pPr>
        <w:bidi w:val="0"/>
        <w:ind w:left="720"/>
        <w:jc w:val="both"/>
        <w:rPr>
          <w:rFonts w:ascii="Times New Roman" w:hAnsi="Times New Roman"/>
        </w:rPr>
      </w:pPr>
    </w:p>
    <w:p w:rsidR="00F473B0" w:rsidRPr="002F0F1F" w:rsidP="00F473B0">
      <w:pPr>
        <w:bidi w:val="0"/>
        <w:spacing w:after="240"/>
        <w:ind w:left="851" w:hanging="425"/>
        <w:jc w:val="both"/>
        <w:rPr>
          <w:rFonts w:ascii="Times New Roman" w:hAnsi="Times New Roman"/>
        </w:rPr>
      </w:pPr>
    </w:p>
    <w:p w:rsidR="00F473B0" w:rsidRPr="002F0CB9" w:rsidP="00F473B0">
      <w:pPr>
        <w:widowControl/>
        <w:bidi w:val="0"/>
        <w:jc w:val="both"/>
        <w:rPr>
          <w:rFonts w:ascii="Times New Roman" w:hAnsi="Times New Roman"/>
        </w:rPr>
      </w:pPr>
    </w:p>
    <w:p w:rsidR="00F473B0" w:rsidRPr="002F0CB9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  <w:r w:rsidRPr="002F0CB9">
        <w:rPr>
          <w:rFonts w:ascii="Times New Roman" w:hAnsi="Times New Roman"/>
          <w:b/>
          <w:bCs/>
        </w:rPr>
        <w:t>Čl. II</w:t>
      </w:r>
    </w:p>
    <w:p w:rsidR="00F473B0" w:rsidRPr="002F0CB9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F473B0" w:rsidRPr="002F0CB9" w:rsidP="00F473B0">
      <w:pPr>
        <w:widowControl/>
        <w:bidi w:val="0"/>
        <w:rPr>
          <w:rFonts w:ascii="Times New Roman" w:hAnsi="Times New Roman"/>
        </w:rPr>
      </w:pPr>
      <w:r w:rsidRPr="00C532AE">
        <w:rPr>
          <w:rFonts w:ascii="Times New Roman" w:hAnsi="Times New Roman"/>
        </w:rPr>
        <w:t xml:space="preserve">Tento zákon nadobúda účinnosť </w:t>
      </w:r>
      <w:r w:rsidRPr="00FA4209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septembra </w:t>
      </w:r>
      <w:r w:rsidRPr="00FA4209">
        <w:rPr>
          <w:rFonts w:ascii="Times New Roman" w:hAnsi="Times New Roman"/>
        </w:rPr>
        <w:t>2015.</w:t>
      </w:r>
    </w:p>
    <w:p w:rsidR="00202376">
      <w:pPr>
        <w:bidi w:val="0"/>
        <w:rPr>
          <w:rFonts w:ascii="Times New Roman" w:hAnsi="Times New Roman"/>
        </w:rPr>
      </w:pPr>
    </w:p>
    <w:sectPr w:rsidSect="00484378">
      <w:footnotePr>
        <w:pos w:val="beneathText"/>
      </w:footnotePr>
      <w:pgSz w:w="11905" w:h="16837"/>
      <w:pgMar w:top="1418" w:right="1418" w:bottom="1418" w:left="1559" w:header="709" w:footer="709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D08C9"/>
    <w:multiLevelType w:val="hybridMultilevel"/>
    <w:tmpl w:val="90A0E7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pos w:val="beneathText"/>
  </w:footnotePr>
  <w:compat/>
  <w:rsids>
    <w:rsidRoot w:val="00F473B0"/>
    <w:rsid w:val="00175C8A"/>
    <w:rsid w:val="00202376"/>
    <w:rsid w:val="002F0CB9"/>
    <w:rsid w:val="002F0F1F"/>
    <w:rsid w:val="00634D55"/>
    <w:rsid w:val="00C532AE"/>
    <w:rsid w:val="00EB2202"/>
    <w:rsid w:val="00F473B0"/>
    <w:rsid w:val="00FA4209"/>
    <w:rsid w:val="00FB42F7"/>
    <w:rsid w:val="00FC2B8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3B0"/>
    <w:pPr>
      <w:framePr w:wrap="auto"/>
      <w:widowControl w:val="0"/>
      <w:suppressAutoHyphens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Subtitle"/>
    <w:link w:val="TitleChar"/>
    <w:uiPriority w:val="99"/>
    <w:qFormat/>
    <w:rsid w:val="00F473B0"/>
    <w:pPr>
      <w:jc w:val="center"/>
    </w:pPr>
    <w:rPr>
      <w:rFonts w:ascii="Arial Narrow" w:hAnsi="Arial Narrow" w:cs="Arial Narrow"/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F473B0"/>
    <w:rPr>
      <w:rFonts w:ascii="Arial Narrow" w:hAnsi="Arial Narrow" w:cs="Arial Narrow"/>
      <w:b/>
      <w:bCs/>
      <w:sz w:val="24"/>
      <w:szCs w:val="24"/>
      <w:u w:val="single"/>
      <w:rtl w:val="0"/>
      <w:cs w:val="0"/>
      <w:lang w:val="x-none" w:eastAsia="sk-SK"/>
    </w:rPr>
  </w:style>
  <w:style w:type="character" w:customStyle="1" w:styleId="odsekChar">
    <w:name w:val="odsek Char"/>
    <w:link w:val="odsek"/>
    <w:locked/>
    <w:rsid w:val="00F473B0"/>
    <w:rPr>
      <w:sz w:val="24"/>
    </w:rPr>
  </w:style>
  <w:style w:type="paragraph" w:customStyle="1" w:styleId="odsek">
    <w:name w:val="odsek"/>
    <w:basedOn w:val="Normal"/>
    <w:link w:val="odsekChar"/>
    <w:qFormat/>
    <w:rsid w:val="00F473B0"/>
    <w:pPr>
      <w:keepNext/>
      <w:widowControl/>
      <w:suppressAutoHyphens w:val="0"/>
      <w:autoSpaceDE/>
      <w:autoSpaceDN/>
      <w:adjustRightInd/>
      <w:ind w:firstLine="709"/>
      <w:jc w:val="both"/>
    </w:pPr>
    <w:rPr>
      <w:rFonts w:asciiTheme="minorHAnsi" w:hAnsiTheme="minorHAnsi" w:cstheme="minorBidi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3B0"/>
    <w:pPr>
      <w:numPr>
        <w:ilvl w:val="1"/>
      </w:numPr>
      <w:spacing w:after="160"/>
      <w:jc w:val="left"/>
    </w:pPr>
    <w:rPr>
      <w:rFonts w:asciiTheme="minorHAnsi" w:eastAsiaTheme="minorEastAsia" w:hAnsiTheme="minorHAnsi" w:cstheme="minorBidi"/>
      <w:color w:val="5A5A5A" w:themeColor="tx1" w:themeShade="FF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F473B0"/>
    <w:rPr>
      <w:rFonts w:eastAsiaTheme="minorEastAsia" w:cs="Times New Roman"/>
      <w:color w:val="5A5A5A" w:themeColor="tx1" w:themeShade="FF" w:themeTint="A5"/>
      <w:spacing w:val="15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461</Words>
  <Characters>2630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Uhliarik, Ivan (asistent)</dc:creator>
  <cp:lastModifiedBy>Gašparíková, Jarmila</cp:lastModifiedBy>
  <cp:revision>2</cp:revision>
  <dcterms:created xsi:type="dcterms:W3CDTF">2015-05-28T15:38:00Z</dcterms:created>
  <dcterms:modified xsi:type="dcterms:W3CDTF">2015-05-28T15:38:00Z</dcterms:modified>
</cp:coreProperties>
</file>