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7752" w:rsidRPr="003F0795">
      <w:pPr>
        <w:pStyle w:val="Heading7"/>
        <w:bidi w:val="0"/>
        <w:rPr>
          <w:rFonts w:ascii="Times New Roman" w:hAnsi="Times New Roman"/>
          <w:sz w:val="20"/>
          <w:szCs w:val="20"/>
        </w:rPr>
      </w:pPr>
      <w:r w:rsidRPr="003F0795">
        <w:rPr>
          <w:rFonts w:ascii="Times New Roman" w:hAnsi="Times New Roman"/>
          <w:sz w:val="20"/>
          <w:szCs w:val="20"/>
        </w:rPr>
        <w:t>TABUĽKA  ZHODY</w:t>
      </w:r>
    </w:p>
    <w:p w:rsidR="00537752" w:rsidRPr="003F0795">
      <w:pPr>
        <w:bidi w:val="0"/>
        <w:spacing w:before="0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3F0795">
        <w:rPr>
          <w:rFonts w:ascii="Times New Roman" w:hAnsi="Times New Roman"/>
          <w:b/>
          <w:bCs/>
          <w:sz w:val="20"/>
          <w:szCs w:val="20"/>
          <w:lang w:eastAsia="cs-CZ"/>
        </w:rPr>
        <w:t>právneho predpisu</w:t>
      </w:r>
    </w:p>
    <w:p w:rsidR="00537752" w:rsidRPr="003F0795">
      <w:pPr>
        <w:bidi w:val="0"/>
        <w:spacing w:before="0"/>
        <w:jc w:val="center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3F0795">
        <w:rPr>
          <w:rFonts w:ascii="Times New Roman" w:hAnsi="Times New Roman"/>
          <w:b/>
          <w:bCs/>
          <w:sz w:val="20"/>
          <w:szCs w:val="20"/>
          <w:lang w:eastAsia="cs-CZ"/>
        </w:rPr>
        <w:t>s právom Európskych spoločenstiev a právom Európskej únie</w:t>
      </w:r>
    </w:p>
    <w:p w:rsidR="00537752" w:rsidRPr="003F0795">
      <w:pPr>
        <w:bidi w:val="0"/>
        <w:spacing w:before="0"/>
        <w:jc w:val="center"/>
        <w:rPr>
          <w:rFonts w:ascii="Times New Roman" w:hAnsi="Times New Roman"/>
          <w:sz w:val="20"/>
          <w:szCs w:val="20"/>
          <w:lang w:eastAsia="cs-CZ"/>
        </w:rPr>
      </w:pPr>
    </w:p>
    <w:tbl>
      <w:tblPr>
        <w:tblStyle w:val="TableNormal"/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9"/>
        <w:gridCol w:w="5245"/>
        <w:gridCol w:w="567"/>
        <w:gridCol w:w="1276"/>
        <w:gridCol w:w="708"/>
        <w:gridCol w:w="4962"/>
        <w:gridCol w:w="708"/>
        <w:gridCol w:w="567"/>
      </w:tblGrid>
      <w:tr>
        <w:tblPrEx>
          <w:tblW w:w="14742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6377" w:rsidRPr="003F0795">
            <w:pPr>
              <w:pStyle w:val="Heading8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D069B5">
              <w:rPr>
                <w:rFonts w:ascii="Times New Roman" w:hAnsi="Times New Roman"/>
                <w:sz w:val="20"/>
                <w:szCs w:val="20"/>
              </w:rPr>
              <w:t>Smernica</w:t>
            </w:r>
          </w:p>
          <w:p w:rsidR="004C6377" w:rsidRPr="003F079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6377" w:rsidRPr="003F0795">
            <w:pPr>
              <w:pStyle w:val="Heading8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795" w:rsidR="00A84759">
              <w:rPr>
                <w:rFonts w:ascii="Times New Roman" w:hAnsi="Times New Roman"/>
                <w:sz w:val="20"/>
                <w:szCs w:val="20"/>
              </w:rPr>
              <w:t>Právne predpisy Slovenskej republiky</w:t>
            </w: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8</w:t>
            </w: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Článok </w:t>
            </w:r>
          </w:p>
          <w:p w:rsidR="0099565A" w:rsidRPr="003F079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(Č, O, V, 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FA419B" w:rsidP="008408DC">
            <w:pPr>
              <w:pStyle w:val="Default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k-SK" w:eastAsia="sk-SK"/>
              </w:rPr>
            </w:pPr>
            <w:r w:rsidRPr="00FA419B" w:rsidR="001D00F4">
              <w:rPr>
                <w:b/>
                <w:bCs/>
              </w:rPr>
              <w:t xml:space="preserve">SMERNICA </w:t>
            </w:r>
            <w:r w:rsidR="001E4917">
              <w:rPr>
                <w:b/>
                <w:bCs/>
              </w:rPr>
              <w:t>KOMISIE 2014/100/EÚ</w:t>
            </w:r>
            <w:r w:rsidRPr="00FA419B" w:rsidR="001D00F4">
              <w:rPr>
                <w:b/>
                <w:bCs/>
              </w:rPr>
              <w:t xml:space="preserve"> </w:t>
            </w:r>
            <w:r w:rsidR="001E4917">
              <w:rPr>
                <w:b/>
                <w:bCs/>
              </w:rPr>
              <w:t xml:space="preserve"> z 28. októbra 2014, </w:t>
            </w:r>
            <w:r w:rsidR="008408DC">
              <w:rPr>
                <w:b/>
                <w:bCs/>
              </w:rPr>
              <w:t>kto</w:t>
            </w:r>
            <w:r w:rsidR="001E4917">
              <w:rPr>
                <w:b/>
                <w:bCs/>
              </w:rPr>
              <w:t>rou sa mení</w:t>
            </w:r>
            <w:r w:rsidR="001E4917">
              <w:rPr>
                <w:b/>
                <w:bCs/>
                <w:lang w:eastAsia="sk-SK"/>
              </w:rPr>
              <w:t xml:space="preserve"> smernica Európského parlamentu a Rady</w:t>
            </w:r>
            <w:r w:rsidRPr="00FA419B" w:rsidR="00FA419B">
              <w:rPr>
                <w:b/>
                <w:bCs/>
                <w:lang w:eastAsia="sk-SK"/>
              </w:rPr>
              <w:t xml:space="preserve"> 2002/59/ES, ktorou sa zriaďuje monitorovací a informačný systém Spoločenstva pre lodnú dopravu </w:t>
            </w:r>
            <w:r w:rsidRPr="00FA419B" w:rsidR="001D00F4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Spôsob</w:t>
            </w:r>
          </w:p>
          <w:p w:rsidR="0099565A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transpo-zície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8408D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 w:rsidRPr="008408DC">
              <w:rPr>
                <w:rFonts w:ascii="Times New Roman" w:hAnsi="Times New Roman"/>
                <w:b w:val="0"/>
                <w:bCs w:val="0"/>
                <w:shadow w:val="0"/>
              </w:rPr>
              <w:t>Článok (Č, §, O, V, P)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6904" w:rsidP="00C377C8">
            <w:pPr>
              <w:numPr>
                <w:numId w:val="11"/>
              </w:numPr>
              <w:tabs>
                <w:tab w:val="num" w:pos="0"/>
                <w:tab w:val="left" w:pos="355"/>
                <w:tab w:val="clear" w:pos="397"/>
              </w:tabs>
              <w:bidi w:val="0"/>
              <w:spacing w:before="0" w:after="0" w:line="240" w:lineRule="auto"/>
              <w:ind w:left="0" w:firstLine="72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Návrh zákona, ktorým sa mení a dopĺňa zákon č. 513/2009 Z. z. o dráhach a o zmene a doplnení niektorých zákonov v znení neskorších predpisov a ktorým sa menia a dopĺňajú niektoré zákony</w:t>
            </w:r>
          </w:p>
          <w:p w:rsidR="0099565A" w:rsidRPr="00E4430D" w:rsidP="00C377C8">
            <w:pPr>
              <w:numPr>
                <w:numId w:val="11"/>
              </w:numPr>
              <w:tabs>
                <w:tab w:val="num" w:pos="0"/>
                <w:tab w:val="left" w:pos="355"/>
                <w:tab w:val="clear" w:pos="397"/>
              </w:tabs>
              <w:bidi w:val="0"/>
              <w:spacing w:before="0" w:after="0" w:line="240" w:lineRule="auto"/>
              <w:ind w:left="0" w:firstLine="72"/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="001E4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Z</w:t>
            </w:r>
            <w:r w:rsidRPr="00E4430D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ákon č. 435/2000 Z.</w:t>
            </w:r>
            <w:r w:rsidRPr="00E4430D" w:rsidR="00A9703A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E4430D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 xml:space="preserve">z. o námornej plavbe v znení </w:t>
            </w:r>
            <w:r w:rsidR="001E4917">
              <w:rPr>
                <w:rFonts w:ascii="Times New Roman" w:hAnsi="Times New Roman"/>
                <w:b/>
                <w:bCs/>
                <w:sz w:val="20"/>
                <w:szCs w:val="20"/>
                <w:lang w:eastAsia="cs-CZ"/>
              </w:rPr>
              <w:t>zákona č. 440/2010 Z. z.</w:t>
            </w:r>
          </w:p>
          <w:p w:rsidR="0099565A" w:rsidRPr="00E4430D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="00AB761D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3</w:t>
            </w:r>
            <w:r w:rsidRPr="00E4430D" w:rsidR="00967AF4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. </w:t>
            </w:r>
            <w:r w:rsidR="001E4917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Nariadenie vlády Slovenskej republiky</w:t>
            </w:r>
            <w:r w:rsidRPr="00E4430D" w:rsidR="00E4430D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 č. 67/2007 Z.</w:t>
            </w:r>
            <w:r w:rsidR="00E4430D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E4430D" w:rsidR="00E4430D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z. o monitorovacom a informačnom systéme pre námornú plavbu</w:t>
            </w:r>
            <w:r w:rsidR="001E4917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 xml:space="preserve"> v znení neskorších predpisov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Zhoda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Poznámky</w:t>
            </w: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3F9A" w:rsidRPr="003F0795" w:rsidP="00D069B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1E4917">
              <w:rPr>
                <w:rFonts w:ascii="Times New Roman" w:hAnsi="Times New Roman"/>
                <w:sz w:val="20"/>
                <w:szCs w:val="20"/>
                <w:lang w:eastAsia="cs-CZ"/>
              </w:rPr>
              <w:t>Č.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419B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8408DC">
              <w:rPr>
                <w:rFonts w:ascii="Times New Roman" w:hAnsi="Times New Roman"/>
                <w:color w:val="000000"/>
                <w:sz w:val="20"/>
                <w:szCs w:val="20"/>
              </w:rPr>
              <w:t>Príloha III k smernici 2002/59/ES sa nahrádza znením v prílohe k tejto smernici.</w:t>
            </w:r>
          </w:p>
          <w:p w:rsidR="008408DC" w:rsidRPr="00EB3F9A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AF1" w:rsidRPr="003F0795" w:rsidP="00277AF1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8408DC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03A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8408DC">
              <w:rPr>
                <w:rFonts w:ascii="Times New Roman" w:hAnsi="Times New Roman"/>
                <w:sz w:val="20"/>
                <w:szCs w:val="20"/>
                <w:lang w:eastAsia="cs-CZ"/>
              </w:rPr>
              <w:t>Zákon č. 435/2000 Z. z. v znení zákona č. 440/2010 Z. z.</w:t>
            </w:r>
          </w:p>
          <w:p w:rsidR="008408D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408DC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NV č. 67/2007 Z. z. v znení neskorších predpisov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2D5F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 w:rsidR="008408DC">
              <w:rPr>
                <w:rFonts w:ascii="Times New Roman" w:hAnsi="Times New Roman"/>
                <w:b w:val="0"/>
                <w:bCs w:val="0"/>
                <w:shadow w:val="0"/>
              </w:rPr>
              <w:t xml:space="preserve">§ 4 </w:t>
            </w:r>
          </w:p>
          <w:p w:rsidR="008408D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>
              <w:rPr>
                <w:rFonts w:ascii="Times New Roman" w:hAnsi="Times New Roman"/>
                <w:b w:val="0"/>
                <w:bCs w:val="0"/>
                <w:shadow w:val="0"/>
              </w:rPr>
              <w:t>O. 10</w:t>
            </w:r>
          </w:p>
          <w:p w:rsidR="005A3E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 w:rsidRPr="008408D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>
              <w:rPr>
                <w:rFonts w:ascii="Times New Roman" w:hAnsi="Times New Roman"/>
                <w:b w:val="0"/>
                <w:bCs w:val="0"/>
                <w:shadow w:val="0"/>
              </w:rPr>
              <w:t>§ 8a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3E1C" w:rsidP="001D00F4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8DC" w:rsidR="008408DC">
              <w:rPr>
                <w:rFonts w:ascii="Times New Roman" w:hAnsi="Times New Roman"/>
                <w:sz w:val="20"/>
                <w:szCs w:val="20"/>
              </w:rPr>
              <w:t>(10) Ministerstvo zriadi a prevádzkuje národný systém na prijímanie, ukladanie, vyhľadávanie a výmenu námorných informácií SafeSeaNet na účely námornej bezpečnosti v prístavoch a na mori, ochrany životného prostredia a efektívnosti námornej plavby. Námorné informácie, ktoré obsahuje národný systém SafeSeaNet, sú dôverného charakteru. Ministerstvo oprávňuje osoby 1bg) na prístup do tohto systému a poskytuje informácie z tohto systému na účely trestného konania a občianskoprávneho konania.</w:t>
            </w:r>
          </w:p>
          <w:p w:rsidR="005A3E1C" w:rsidRPr="005A3E1C" w:rsidP="005A3E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E1C">
              <w:rPr>
                <w:rFonts w:ascii="Times New Roman" w:hAnsi="Times New Roman"/>
                <w:sz w:val="20"/>
                <w:szCs w:val="20"/>
              </w:rPr>
              <w:t>§ 8a</w:t>
            </w:r>
          </w:p>
          <w:p w:rsidR="005A3E1C" w:rsidRPr="005A3E1C" w:rsidP="005A3E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1C">
              <w:rPr>
                <w:rFonts w:ascii="Times New Roman" w:hAnsi="Times New Roman"/>
                <w:sz w:val="20"/>
                <w:szCs w:val="20"/>
              </w:rPr>
              <w:t>(1) Systém námorných informácií SafeSeaNet je elektronický systém na prijímanie, ukladanie, vyhľadávanie a výmenu elektronických námorných informácií a správ a pozostáva zo siete národných systémov SafeSeaNet a centrálnej databázy SafeSeaNet, ktoré sú navzájom prepojené.</w:t>
            </w:r>
          </w:p>
          <w:p w:rsidR="005A3E1C" w:rsidRPr="005A3E1C" w:rsidP="005A3E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1C">
              <w:rPr>
                <w:rFonts w:ascii="Times New Roman" w:hAnsi="Times New Roman"/>
                <w:sz w:val="20"/>
                <w:szCs w:val="20"/>
              </w:rPr>
              <w:t>(2) Národný systém SafeSeaNet je zriadený a prevádzkovaný podľa osobitného predpisu 12b) v súlade s technickými požiadavkami ustanovenými Európskou komisiou, je vedený v elektronickej forme a umožňuje prenos námorných informácií 24 hodín denne.</w:t>
            </w:r>
          </w:p>
          <w:p w:rsidR="005A3E1C" w:rsidRPr="005A3E1C" w:rsidP="005A3E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3E1C" w:rsidRPr="005A3E1C" w:rsidP="005A3E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1C">
              <w:rPr>
                <w:rFonts w:ascii="Times New Roman" w:hAnsi="Times New Roman"/>
                <w:sz w:val="20"/>
                <w:szCs w:val="20"/>
              </w:rPr>
              <w:t>(3) Národný systém SafeSeaNet musí byť zriadený v súlade s priemyselnými štandardmi a schopný komunikovať s verejnými a súkromnými elektronickými systémami používanými na tvorbu, poskytovanie alebo prijímanie námorných informácií v rámci systému námorných informácií. Námorné informácie z národného systému SafeSeaNet musia byť použiteľné vo všetkých ohlasovacích a oznamovacích informačných systémoch, plavebnoprevádzkových, monitorovacích a informačných systémoch.</w:t>
            </w:r>
          </w:p>
          <w:p w:rsidR="005A3E1C" w:rsidRPr="005A3E1C" w:rsidP="005A3E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1C">
              <w:rPr>
                <w:rFonts w:ascii="Times New Roman" w:hAnsi="Times New Roman"/>
                <w:sz w:val="20"/>
                <w:szCs w:val="20"/>
              </w:rPr>
              <w:t>(4) Národný systém SafeSeaNet musí umožniť na požiadanie príslušného orgánu Slovenskej republiky a príslušného orgánu iného členského štátu bez zbytočného odkladu zaslanie námornej informácie získanej o lodi a o nebezpečnom alebo znečisťujúcom tovare na palube lode.</w:t>
            </w:r>
          </w:p>
          <w:p w:rsidR="005A3E1C" w:rsidRPr="005A3E1C" w:rsidP="005A3E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1C">
              <w:rPr>
                <w:rFonts w:ascii="Times New Roman" w:hAnsi="Times New Roman"/>
                <w:sz w:val="20"/>
                <w:szCs w:val="20"/>
              </w:rPr>
              <w:t>(5) Národný systém SafeSeaNet musí umožniť výmenu námorných informácií medzi používateľmi; používateľom môže byť oprávnený operátor, agent, veliteľ lode alebo zasielateľ. Národný systém SafeSeaNet zabezpečí, aby používateľom raz vložená námorná informácia do tohto systému nebola opätovne týmto systémom vyžadovaná.</w:t>
            </w:r>
          </w:p>
          <w:p w:rsidR="005A3E1C" w:rsidRPr="005A3E1C" w:rsidP="005A3E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1C">
              <w:rPr>
                <w:rFonts w:ascii="Times New Roman" w:hAnsi="Times New Roman"/>
                <w:sz w:val="20"/>
                <w:szCs w:val="20"/>
              </w:rPr>
              <w:t>(6) Námorné informácie, ktoré obsahuje národný systém SafeSeaNet, možno použiť len v súlade s týmto nariadením vlády.</w:t>
            </w:r>
          </w:p>
          <w:p w:rsidR="005A3E1C" w:rsidRPr="003F0795" w:rsidP="005A3E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E1C">
              <w:rPr>
                <w:rFonts w:ascii="Times New Roman" w:hAnsi="Times New Roman"/>
                <w:sz w:val="20"/>
                <w:szCs w:val="20"/>
              </w:rPr>
              <w:t>(7) Správy v elektronickej forme vymieňané v súlade s týmto nariadením vlády sa zasielajú prostredníctvom národného systému SafeSeaNet.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2D5F" w:rsidRPr="003F0795" w:rsidP="004F2D5F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8408DC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1E4917">
              <w:rPr>
                <w:rFonts w:ascii="Times New Roman" w:hAnsi="Times New Roman"/>
                <w:sz w:val="20"/>
                <w:szCs w:val="20"/>
                <w:lang w:eastAsia="cs-CZ"/>
              </w:rPr>
              <w:t>Č.</w:t>
            </w:r>
            <w:r w:rsidRPr="003F0795" w:rsidR="0099565A">
              <w:rPr>
                <w:rFonts w:ascii="Times New Roman" w:hAnsi="Times New Roman"/>
                <w:sz w:val="20"/>
                <w:szCs w:val="20"/>
                <w:lang w:eastAsia="cs-CZ"/>
              </w:rPr>
              <w:t>2</w:t>
            </w:r>
          </w:p>
          <w:p w:rsidR="0099565A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5A3E1C">
              <w:rPr>
                <w:rFonts w:ascii="Times New Roman" w:hAnsi="Times New Roman"/>
                <w:sz w:val="20"/>
                <w:szCs w:val="20"/>
                <w:lang w:eastAsia="cs-CZ"/>
              </w:rPr>
              <w:t>O.1</w:t>
            </w:r>
            <w:r w:rsidR="001D00F4">
              <w:rPr>
                <w:rFonts w:ascii="Times New Roman" w:hAnsi="Times New Roman"/>
                <w:sz w:val="20"/>
                <w:szCs w:val="20"/>
                <w:lang w:eastAsia="cs-CZ"/>
              </w:rPr>
              <w:br/>
            </w: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E6229B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E6229B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E6229B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E6229B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E6229B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RPr="003F0795" w:rsidP="001E4917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O.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3F9A" w:rsidRPr="00EB3F9A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F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Transpozícia </w:t>
            </w:r>
          </w:p>
          <w:p w:rsidR="00EB3F9A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F9A">
              <w:rPr>
                <w:rFonts w:ascii="Times New Roman" w:hAnsi="Times New Roman"/>
                <w:color w:val="000000"/>
                <w:sz w:val="20"/>
                <w:szCs w:val="20"/>
              </w:rPr>
              <w:t>1. Členské štáty uvedú do účinnosti zákony, iné právne predpisy a správne opatrenia potrebné na dosiahnutie súladu s touto smernicou</w:t>
            </w:r>
            <w:r w:rsidR="00840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najneskôr  do 18</w:t>
            </w:r>
            <w:r w:rsidRPr="00EB3F9A">
              <w:rPr>
                <w:rFonts w:ascii="Times New Roman" w:hAnsi="Times New Roman"/>
                <w:color w:val="000000"/>
                <w:sz w:val="20"/>
                <w:szCs w:val="20"/>
              </w:rPr>
              <w:t>. novembra 201</w:t>
            </w:r>
            <w:r w:rsidR="008408D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B3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5A3E1C">
              <w:rPr>
                <w:rFonts w:ascii="Times New Roman" w:hAnsi="Times New Roman"/>
                <w:color w:val="000000"/>
                <w:sz w:val="20"/>
                <w:szCs w:val="20"/>
              </w:rPr>
              <w:t>Komisii b</w:t>
            </w:r>
            <w:r w:rsidRPr="00EB3F9A" w:rsidR="005A3E1C">
              <w:rPr>
                <w:rFonts w:ascii="Times New Roman" w:hAnsi="Times New Roman"/>
                <w:color w:val="000000"/>
                <w:sz w:val="20"/>
                <w:szCs w:val="20"/>
              </w:rPr>
              <w:t>ezodkladne</w:t>
            </w:r>
            <w:r w:rsidR="005A3E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oznámia  znenie</w:t>
            </w:r>
            <w:r w:rsidRPr="00EB3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týchto opatrení. </w:t>
            </w:r>
          </w:p>
          <w:p w:rsidR="00EB3F9A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Členské štáty uvedú priamo v prijatých opatreniach alebo pri ich úradnom uverejnení odkaz na túto smernicu. Podrobnosti o odkaze upravia členské štáty. </w:t>
            </w:r>
          </w:p>
          <w:p w:rsidR="00C04DA0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1C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1C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1C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1C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1C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1C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1C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1C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1C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A3E1C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29B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29B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29B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29B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29B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29B0" w:rsidRPr="00EB3F9A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EB3F9A" w:rsidR="00EB3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Členské štáty oznámia Komisii znenie hlavných ustanovení vnútroštátnych právnych predpisov, ktoré prijmú v oblasti pôsobnosti tejto smernice.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277AF1">
              <w:rPr>
                <w:rFonts w:ascii="Times New Roman" w:hAnsi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5A3E1C">
              <w:rPr>
                <w:rFonts w:ascii="Times New Roman" w:hAnsi="Times New Roman"/>
                <w:sz w:val="20"/>
                <w:szCs w:val="20"/>
                <w:lang w:eastAsia="cs-CZ"/>
              </w:rPr>
              <w:t>N</w:t>
            </w:r>
            <w:r w:rsidR="004C1920">
              <w:rPr>
                <w:rFonts w:ascii="Times New Roman" w:hAnsi="Times New Roman"/>
                <w:sz w:val="20"/>
                <w:szCs w:val="20"/>
                <w:lang w:eastAsia="cs-CZ"/>
              </w:rPr>
              <w:t>á</w:t>
            </w:r>
            <w:r w:rsidR="005A3E1C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vrh zákona </w:t>
            </w:r>
          </w:p>
          <w:p w:rsidR="004C1920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4C1920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4C1920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4C1920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4C1920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04DA0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E6229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E6229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E6229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E6229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E6229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4C1920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5A3E1C">
              <w:rPr>
                <w:rFonts w:ascii="Times New Roman" w:hAnsi="Times New Roman"/>
                <w:sz w:val="20"/>
                <w:szCs w:val="20"/>
                <w:lang w:eastAsia="cs-CZ"/>
              </w:rPr>
              <w:t>Zákon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č. 575/2001 Z.</w:t>
            </w:r>
            <w:r w:rsidR="005A3E1C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A3E1C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 w:rsidRPr="0024557D" w:rsidR="00E6229B">
              <w:rPr>
                <w:rFonts w:ascii="Times New Roman" w:hAnsi="Times New Roman"/>
                <w:b w:val="0"/>
                <w:bCs w:val="0"/>
                <w:shadow w:val="0"/>
              </w:rPr>
              <w:t>Č. IX</w:t>
            </w:r>
          </w:p>
          <w:p w:rsidR="005A3E1C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E6229B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E6229B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E6229B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E6229B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E6229B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99565A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 w:rsidRPr="0024557D" w:rsidR="005A3E1C">
              <w:rPr>
                <w:rFonts w:ascii="Times New Roman" w:hAnsi="Times New Roman"/>
                <w:b w:val="0"/>
                <w:bCs w:val="0"/>
                <w:shadow w:val="0"/>
              </w:rPr>
              <w:t>Č. VI</w:t>
            </w:r>
          </w:p>
          <w:p w:rsidR="00C04DA0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4C1920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 w:rsidRPr="0024557D" w:rsidR="005A3E1C">
              <w:rPr>
                <w:rFonts w:ascii="Times New Roman" w:hAnsi="Times New Roman"/>
                <w:b w:val="0"/>
                <w:bCs w:val="0"/>
                <w:shadow w:val="0"/>
              </w:rPr>
              <w:t>Príloha č. 1</w:t>
            </w:r>
          </w:p>
          <w:p w:rsidR="005A3E1C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 w:rsidRPr="0024557D">
              <w:rPr>
                <w:rFonts w:ascii="Times New Roman" w:hAnsi="Times New Roman"/>
                <w:b w:val="0"/>
                <w:bCs w:val="0"/>
                <w:shadow w:val="0"/>
              </w:rPr>
              <w:t xml:space="preserve">bod 19 </w:t>
            </w:r>
          </w:p>
          <w:p w:rsidR="004C1920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4C1920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4C1920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4C1920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4C1920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5A3E1C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4C1920" w:rsidRPr="0024557D" w:rsidP="004C1920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 w:rsidRPr="0024557D">
              <w:rPr>
                <w:rFonts w:ascii="Times New Roman" w:hAnsi="Times New Roman"/>
                <w:b w:val="0"/>
                <w:bCs w:val="0"/>
                <w:shadow w:val="0"/>
              </w:rPr>
              <w:t>§ 35 ods. 7</w:t>
            </w:r>
          </w:p>
          <w:p w:rsidR="004C1920" w:rsidRP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9B" w:rsidRPr="0024557D" w:rsidP="00E6229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24557D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Čl. IX</w:t>
            </w:r>
          </w:p>
          <w:p w:rsidR="00A16E75" w:rsidRPr="00A16E75" w:rsidP="00A16E7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E75">
              <w:rPr>
                <w:rFonts w:ascii="Times New Roman" w:hAnsi="Times New Roman"/>
                <w:sz w:val="20"/>
                <w:szCs w:val="20"/>
              </w:rPr>
              <w:t xml:space="preserve">Tento zákon nadobúda účinnosť 1. novembra 2015, okrem čl. I štyridsiateho tretieho bodu, § 54 ods. 5 a čl. VII tridsiateho až tridsiateho druhého bodu, ktoré nadobúdajú účinnosť 1. januára 2016. </w:t>
            </w:r>
          </w:p>
          <w:p w:rsidR="00E6229B" w:rsidRPr="0024557D" w:rsidP="00E6229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99565A" w:rsidRPr="0024557D" w:rsidP="00AA621A">
            <w:pPr>
              <w:bidi w:val="0"/>
              <w:spacing w:before="0" w:after="0" w:line="240" w:lineRule="auto"/>
              <w:ind w:firstLine="72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RPr="0024557D" w:rsidP="005A3E1C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24557D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Čl. VI</w:t>
              <w:br/>
            </w:r>
          </w:p>
          <w:p w:rsidR="005A3E1C" w:rsidRPr="0024557D" w:rsidP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24557D">
              <w:rPr>
                <w:rFonts w:ascii="Times New Roman" w:hAnsi="Times New Roman"/>
                <w:sz w:val="20"/>
                <w:szCs w:val="20"/>
                <w:lang w:eastAsia="cs-CZ"/>
              </w:rPr>
              <w:t>Zákon č. 435/2000 Z. z. o námornej plavbe v znení zákona č. 581/2003 Z.z., zákona č. 97/2007 Z.z., zákona č. 395/2008 Z.z., zákona č. 278/2009 Z.z., zákona č. 440/2010 Z.z. a zákona č. 152/2014 Z. z. sa dopĺňa takto:</w:t>
            </w:r>
          </w:p>
          <w:p w:rsidR="005A3E1C" w:rsidRPr="0024557D" w:rsidP="005A3E1C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RPr="0024557D" w:rsidP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24557D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Príloha č. 1 sa dopĺňa devätnástym </w:t>
            </w:r>
            <w:r w:rsidRPr="0024557D" w:rsidR="0024557D">
              <w:rPr>
                <w:rFonts w:ascii="Times New Roman" w:hAnsi="Times New Roman"/>
                <w:sz w:val="20"/>
                <w:szCs w:val="20"/>
                <w:lang w:eastAsia="cs-CZ"/>
              </w:rPr>
              <w:t>bodom, ktorý znie</w:t>
            </w:r>
            <w:r w:rsidRPr="0024557D">
              <w:rPr>
                <w:rFonts w:ascii="Times New Roman" w:hAnsi="Times New Roman"/>
                <w:sz w:val="20"/>
                <w:szCs w:val="20"/>
                <w:lang w:eastAsia="cs-CZ"/>
              </w:rPr>
              <w:t>:</w:t>
            </w:r>
          </w:p>
          <w:p w:rsidR="005A3E1C" w:rsidRPr="0024557D" w:rsidP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RPr="0024557D" w:rsidP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24557D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„19. Smernica Komisie 2014/100/EÚ </w:t>
            </w:r>
            <w:r w:rsidRPr="0024557D">
              <w:rPr>
                <w:rStyle w:val="Strong"/>
                <w:rFonts w:ascii="Times New Roman" w:hAnsi="Times New Roman"/>
                <w:b w:val="0"/>
                <w:bCs/>
                <w:color w:val="444444"/>
                <w:sz w:val="20"/>
                <w:szCs w:val="20"/>
                <w:lang w:eastAsia="cs-CZ"/>
              </w:rPr>
              <w:t>z  28. októbra 2014, ktorou sa mení smernica Európskeho parlamentu a Rady 2002/59/ES, ktorou sa zriaďuje monitorovací a informačný systém Spoločenstva pre lodnú dopravu</w:t>
            </w:r>
            <w:r w:rsidRPr="0024557D">
              <w:rPr>
                <w:rStyle w:val="Strong"/>
                <w:rFonts w:ascii="Lucida Sans Unicode" w:hAnsi="Lucida Sans Unicode" w:cs="Lucida Sans Unicode"/>
                <w:bCs/>
                <w:color w:val="444444"/>
                <w:sz w:val="19"/>
                <w:szCs w:val="19"/>
                <w:lang w:eastAsia="cs-CZ"/>
              </w:rPr>
              <w:t xml:space="preserve"> </w:t>
            </w:r>
            <w:r w:rsidRPr="0024557D">
              <w:rPr>
                <w:rFonts w:ascii="Times New Roman" w:hAnsi="Times New Roman"/>
                <w:sz w:val="20"/>
                <w:szCs w:val="20"/>
                <w:lang w:eastAsia="cs-CZ"/>
              </w:rPr>
              <w:t>(Ú. v. EÚ L 308, 29.10.2014).</w:t>
            </w:r>
            <w:r w:rsidRPr="0024557D" w:rsidR="0024557D">
              <w:rPr>
                <w:rFonts w:ascii="Times New Roman" w:hAnsi="Times New Roman"/>
                <w:sz w:val="20"/>
                <w:szCs w:val="20"/>
                <w:lang w:eastAsia="cs-CZ"/>
              </w:rPr>
              <w:t>“.</w:t>
            </w:r>
          </w:p>
          <w:p w:rsidR="005A3E1C" w:rsidRPr="0024557D" w:rsidP="00AA621A">
            <w:pPr>
              <w:bidi w:val="0"/>
              <w:spacing w:before="0" w:after="0" w:line="240" w:lineRule="auto"/>
              <w:ind w:firstLine="72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A3E1C" w:rsidRPr="0024557D" w:rsidP="005A3E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4C1920" w:rsidRPr="0024557D" w:rsidP="00AA621A">
            <w:pPr>
              <w:bidi w:val="0"/>
              <w:spacing w:before="0" w:after="0" w:line="240" w:lineRule="auto"/>
              <w:ind w:firstLine="72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24557D" w:rsidR="005A3E1C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 w:rsidRPr="0024557D">
              <w:rPr>
                <w:rFonts w:ascii="Times New Roman" w:hAnsi="Times New Roman"/>
                <w:sz w:val="20"/>
                <w:szCs w:val="20"/>
                <w:lang w:eastAsia="cs-CZ"/>
              </w:rPr>
              <w:t>(7) Ministerstvá a ostatné ústredné orgány štátnej správy v rozsahu vymedzenej pôsobnosti plnia voči orgánom Európskych spoločenstiev a Európskej únie informačnú a oznamovaciu povinnosť, ktorá im vyplýva z právne záväzných aktov týchto orgánov.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 w:rsidP="00277AF1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277AF1">
              <w:rPr>
                <w:rFonts w:ascii="Times New Roman" w:hAnsi="Times New Roman"/>
                <w:sz w:val="20"/>
                <w:szCs w:val="20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 w:rsidP="00D069B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1E4917">
              <w:rPr>
                <w:rFonts w:ascii="Times New Roman" w:hAnsi="Times New Roman"/>
                <w:sz w:val="20"/>
                <w:szCs w:val="20"/>
                <w:lang w:eastAsia="cs-CZ"/>
              </w:rPr>
              <w:t>Č.</w:t>
            </w: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  <w:p w:rsidR="00BD567C" w:rsidRPr="003F0795" w:rsidP="00D069B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3F9A" w:rsidRPr="00245D45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F9A">
              <w:rPr>
                <w:rFonts w:ascii="Times New Roman" w:hAnsi="Times New Roman"/>
                <w:color w:val="000000"/>
                <w:sz w:val="20"/>
                <w:szCs w:val="20"/>
              </w:rPr>
              <w:t>Táto smernica nadobúda úč</w:t>
            </w:r>
            <w:r w:rsidR="00622899">
              <w:rPr>
                <w:rFonts w:ascii="Times New Roman" w:hAnsi="Times New Roman"/>
                <w:color w:val="000000"/>
                <w:sz w:val="20"/>
                <w:szCs w:val="20"/>
              </w:rPr>
              <w:t>innosť dvadsiatym</w:t>
            </w:r>
            <w:r w:rsidRPr="00EB3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dňom po jej uverejnení v Úradnom vestníku Európskej únie.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A1219" w:rsidRPr="003F0795" w:rsidP="00245D4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1B2679">
              <w:rPr>
                <w:rFonts w:ascii="Times New Roman" w:hAnsi="Times New Roman"/>
                <w:sz w:val="20"/>
                <w:szCs w:val="20"/>
                <w:lang w:eastAsia="cs-CZ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D71" w:rsidRPr="003F0795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 w:rsidP="001D0D71">
            <w:pPr>
              <w:pStyle w:val="BodyText"/>
              <w:tabs>
                <w:tab w:val="left" w:pos="0"/>
              </w:tabs>
              <w:autoSpaceDE w:val="0"/>
              <w:autoSpaceDN w:val="0"/>
              <w:bidi w:val="0"/>
              <w:spacing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 w:rsidP="00245D4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1B2679">
              <w:rPr>
                <w:rFonts w:ascii="Times New Roman" w:hAnsi="Times New Roman"/>
                <w:sz w:val="20"/>
                <w:szCs w:val="20"/>
                <w:lang w:eastAsia="cs-CZ"/>
              </w:rPr>
              <w:t>n. 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565A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P="00D069B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1E4917">
              <w:rPr>
                <w:rFonts w:ascii="Times New Roman" w:hAnsi="Times New Roman"/>
                <w:sz w:val="20"/>
                <w:szCs w:val="20"/>
                <w:lang w:eastAsia="cs-CZ"/>
              </w:rPr>
              <w:t>Č.</w:t>
            </w:r>
            <w:r w:rsidRPr="003F0795">
              <w:rPr>
                <w:rFonts w:ascii="Times New Roman" w:hAnsi="Times New Roman"/>
                <w:sz w:val="20"/>
                <w:szCs w:val="20"/>
                <w:lang w:eastAsia="cs-CZ"/>
              </w:rPr>
              <w:t>4</w:t>
            </w:r>
          </w:p>
          <w:p w:rsidR="00BD567C" w:rsidRPr="003F0795" w:rsidP="00D069B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2899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F9A" w:rsidR="00EB3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Táto smernica je určená členským štátom. </w:t>
            </w:r>
          </w:p>
          <w:p w:rsidR="00EB3F9A" w:rsidRPr="00245D45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245D4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1B2679">
              <w:rPr>
                <w:rFonts w:ascii="Times New Roman" w:hAnsi="Times New Roman"/>
                <w:sz w:val="20"/>
                <w:szCs w:val="20"/>
                <w:lang w:eastAsia="cs-CZ"/>
              </w:rPr>
              <w:t>n.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640DE9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 w:rsidP="00245D45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1B2679">
              <w:rPr>
                <w:rFonts w:ascii="Times New Roman" w:hAnsi="Times New Roman"/>
                <w:sz w:val="20"/>
                <w:szCs w:val="20"/>
                <w:lang w:eastAsia="cs-CZ"/>
              </w:rPr>
              <w:t>n. 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67C" w:rsidRPr="003F079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>
        <w:tblPrEx>
          <w:tblW w:w="14742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310" w:rsidRPr="00AE3CDB" w:rsidP="00D069B5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AE3CDB" w:rsidR="001D01E7">
              <w:rPr>
                <w:rFonts w:ascii="Times New Roman" w:hAnsi="Times New Roman"/>
                <w:sz w:val="20"/>
                <w:szCs w:val="20"/>
                <w:lang w:eastAsia="cs-CZ"/>
              </w:rPr>
              <w:t>Príloha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CDB" w:rsidRPr="00AE3CDB" w:rsidP="00AE3CDB">
            <w:pPr>
              <w:pStyle w:val="doc-ti"/>
              <w:bidi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 w:rsidR="00EB3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„PRÍLOHA III</w:t>
            </w:r>
          </w:p>
          <w:p w:rsidR="00AE3CDB" w:rsidRPr="00AE3CDB" w:rsidP="00AE3CDB">
            <w:pPr>
              <w:bidi w:val="0"/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ELEKTRONICKÉ SPRÁVY A SYSTÉM ÚNIE NA VÝMENU NÁMORNÝCH INFORMÁCIÍ (SAFESEANET)</w:t>
            </w:r>
          </w:p>
          <w:p w:rsidR="00AE3CDB" w:rsidRPr="00AE3CDB" w:rsidP="00AE3CDB">
            <w:pPr>
              <w:bidi w:val="0"/>
              <w:spacing w:before="24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   Celková koncepcia a architektúra 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Systém Únie na výmenu námorných informácií SafeSeaNet umožňuje prijímanie, ukladanie, vyhľadávanie a výmenu informácií na účely námornej bezpečnosti, bezpečnostnej ochrany prístavov a námornej dopravy, ochrany morského životného prostredia a efektívnosti námornej premávky a námornej dopravy.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SafeSeaNet je špecializovaný systém zriadený s cieľom umožniť výmenu informácií v elektronickom formáte medzi členskými štátmi a poskytnúť Komisii a členským štátom relevantné informácie v súlade s právnymi predpismi Únie. Pozostáva zo siete národných systémov SafeSeaNet v členských štátoch a centrálneho systému SafeSeaNet, ktorý plní úlohu uzlového bodu.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Sieť Únie na výmenu námorných informácií prepája všetky národné systémy SafeSeaNet zriadené v súlade s touto smernicou a zahŕňa centrálny systém SafeSeaNet.</w:t>
            </w:r>
          </w:p>
          <w:p w:rsidR="00AE3CDB" w:rsidRPr="00AE3CDB" w:rsidP="00AE3CDB">
            <w:pPr>
              <w:bidi w:val="0"/>
              <w:spacing w:before="24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   Riadenie, prevádzka, vývoj a údržba </w:t>
            </w:r>
          </w:p>
          <w:p w:rsidR="00AE3CDB" w:rsidRPr="00AE3CDB" w:rsidP="00AE3CDB">
            <w:pPr>
              <w:bidi w:val="0"/>
              <w:spacing w:before="24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2.1.   </w:t>
            </w:r>
            <w:r w:rsidRPr="00AE3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Povinnosti</w:t>
            </w: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E3CDB" w:rsidRPr="00AE3CDB" w:rsidP="00AE3CDB">
            <w:pPr>
              <w:bidi w:val="0"/>
              <w:spacing w:before="24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2.1.1.   Národné systémy SafeSeaNet 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Členské štáty vytvoria a udržiavajú národné systémy SafeSeaNet, ktoré umožňujú výmenu námorných informácií medzi autorizovanými používateľmi, a to pod dohľadom príslušného vnútroštátneho orgánu.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Príslušný vnútroštátny orgán je zodpovedný za riadenie národného systému, čo zahŕňa koordináciu používateľov a poskytovateľov údajov na vnútroštátnej úrovni, ako aj zabezpečenie toho, že sa určia UN LOCODES a že sa zriadi a udržiava potrebná vnútroštátna IT infraštruktúra a postupy opísané v kontrolnom dokumente o rozhraní a funkciách, ktorý je uvedený v bode 2.3.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Národný systém SafeSeaNet umožňuje vzájomné prepojenie oprávnených používateľov pod dohľadom príslušného vnútroštátneho orgánu a môže byť sprístupnený pre identifikované subjekty lodnej dopravy (vlastníkov lodí, agentov, kapitánov, zasielateľov a iných), ak sú na to oprávnené príslušným vnútroštátnym orgánom, a to najmä na účely uľahčenia elektronického podávania a prijímania správ v súlade s právnymi predpismi Únie.</w:t>
            </w:r>
          </w:p>
          <w:p w:rsidR="002659F7" w:rsidP="00AE3CDB">
            <w:pPr>
              <w:bidi w:val="0"/>
              <w:spacing w:before="24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E3CDB" w:rsidRPr="00AE3CDB" w:rsidP="00AE3CDB">
            <w:pPr>
              <w:bidi w:val="0"/>
              <w:spacing w:before="24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2.1.2.   Centrálny systém SafeSeaNet 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V spolupráci s členskými štátmi Komisia na politickej úrovni zodpovedá za riadenie a vývoj centrálneho systému SafeSeaNet a za dohľad nad ním, zatiaľ čo Európska námorná bezpečnostná agentúra v spolupráci s členskými štátmi a Komisiou je v súlade s nariadením Európskeho parlamentu a Rady (ES) č. 1406/2002</w:t>
            </w:r>
            <w:hyperlink r:id="rId4" w:anchor="ntr1-L_2014308SK.01008502-E0001" w:history="1">
              <w:r w:rsidRPr="00AE3C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 (</w:t>
              </w:r>
              <w:r w:rsidRPr="00AE3C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vertAlign w:val="superscript"/>
                </w:rPr>
                <w:t>1</w:t>
              </w:r>
              <w:r w:rsidRPr="00AE3C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)</w:t>
              </w:r>
            </w:hyperlink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zodpovedná za:</w:t>
            </w: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"/>
              <w:gridCol w:w="4887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38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0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technickú realizáciu a dokumentáciu systému SafeSeaNet,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496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6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vývoj, prevádzku a integráciu elektronických správ a údajov, ako aj údržbu rozhraní s centrálnym systémom SafeSeaNet vrátane údajov automatických identifikačných systémov získaných prostredníctvom satelitov, ako aj s rôznymi informačnými systémami uvedenými v tejto smernici a podľa bodu 3.</w:t>
                  </w:r>
                </w:p>
              </w:tc>
            </w:tr>
          </w:tbl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Centrálny systém SafeSeaNet zabezpečuje ako uzlový bod vzájomné prepojenie všetkých národných systémov SafeSeaNet a vytvára potrebnú IT infraštruktúru a postupy opísané v kontrolnom dokumente o rozhraní a funkciách uvedenom v bode 2.3.</w:t>
            </w:r>
          </w:p>
          <w:p w:rsidR="00AE3CDB" w:rsidRPr="00AE3CDB" w:rsidP="00AE3CDB">
            <w:pPr>
              <w:bidi w:val="0"/>
              <w:spacing w:before="24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2.2.   </w:t>
            </w:r>
            <w:r w:rsidRPr="00AE3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Zásady riadenia</w:t>
            </w: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Komisia zriadi riadiacu skupinu na vysokej úrovni, ktorá prijme svoj rokovací poriadok a ktorá sa skladá zo zástupcov členských štátov a Komisie, s cieľom:</w:t>
            </w: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  <w:gridCol w:w="4929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30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09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predkladať odporúčania s cieľom zlepšiť účinnosť a bezpečnosť systému,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8"/>
              <w:gridCol w:w="4847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4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89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vhodným spôsobom usmerňovať vývoj systému,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4873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41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8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pomáhať Komisii pri preskúmaní výkonnosti systému,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496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6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vhodným spôsobom usmerňovať vývoj interoperabilnej platformy na výmenu údajov, ktorá združuje informácie zo systému SafeSeaNet s informáciami z iných informačných systémov uvedených v bode 3,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"/>
              <w:gridCol w:w="4964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6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schváliť kontrolný dokument o rozhraní a funkciách uvedený v bode 2.3 a všetky jeho zmeny,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496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6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prijať usmernenia na zber a šírenie informácií prostredníctvom systému SafeSeaNet vzťahujúce sa na príslušné orgány určené členskými štátmi na vykonávanie príslušných úloh podľa tejto smernice,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496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6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udržiavať kontakt s inými príslušnými pracovnými fórami, najmä skupinou pre zjednodušenie námorných administratívnych postupov a elektronické informačné služby.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24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2.3.   </w:t>
            </w:r>
            <w:r w:rsidRPr="00AE3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Kontrolný dokument o rozhraní a funkciách a technická dokumentácia</w:t>
            </w: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Komisia v úzkej spolupráci s členskými štátmi vypracuje a vedie kontrolný dokument o rozhraní a funkciách (interface and functionalities control document, IFCD).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IFCD obsahuje podrobné údaje o požiadavkách na výkon a o postupoch uplatniteľných na vnútroštátne a centrálne prvky systému SafeSeaNet zameraných na zabezpečenie súladu s príslušnými právnymi predpismi Únie.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IFCD obsahuje pravidlá vzťahujúce sa na:</w:t>
            </w: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4895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37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03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usmernenia pre prístupové práva pre riadenie kvality údajov,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1"/>
              <w:gridCol w:w="4964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6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integráciu údajov, ako sa uvádza v bode 3, a ich šírenie prostredníctvom systému SafeSeaNet,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496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6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prevádzkové postupy pre agentúru a členské štáty, v ktorých sa vymedzujú kontrolné mechanizmy pre kvalitu údajov v systéme SafeSeaNet,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4881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39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00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bezpečnostné špecifikácie pre prenos a výmenu údajov a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1"/>
              <w:gridCol w:w="4894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37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03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archivovanie informácií na vnútroštátnej a centrálnej úrovni.</w:t>
                  </w:r>
                </w:p>
              </w:tc>
            </w:tr>
          </w:tbl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V IFCD sú uvedené spôsoby ukladania a dostupnosť informácií o nebezpečných alebo znečisťujúcich tovaroch v súvislosti s pravidelnými službami, ktorým bola udelená výnimka v súlade s článkom 15.</w:t>
            </w:r>
          </w:p>
          <w:p w:rsid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Technickú dokumentáciu týkajúcu sa systému SafeSeaNet, ako sú normy pre formát výmeny údajov, interoperabilita s inými systémami a aplikáciami, príručky používateľa, bezpečnostné špecifikácie siete a referenčné databázy využívané na podporu povinnosti podávať správy, vypracuje a vedie agentúra v spolupráci s členskými štátmi.</w:t>
            </w:r>
          </w:p>
          <w:p w:rsidR="005E1571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3CDB" w:rsidRPr="00AE3CDB" w:rsidP="00AE3CDB">
            <w:pPr>
              <w:bidi w:val="0"/>
              <w:spacing w:before="24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   Výmena a zdieľanie údajov 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Systém musí používať priemyselné štandardy a musí byť schopný komunikovať s verejnými a súkromnými systémami používanými na tvorbu, poskytovanie alebo prijímanie informácií v rámci systému SafeSeaNet.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Komisia a členské štáty spolupracujú pri preskúmaní uskutočniteľnosti a vývoja funkcií, ktoré v rámci možností zabezpečia, aby poskytovatelia údajov vrátane kapitánov, vlastníkov, agentov, operátorov, zasielateľov a príslušných orgánov nemuseli predkladať informácie viackrát, pričom náležitým spôsobom zohľadnia povinnosti stanovené v smernici Európskeho parlamentu a Rady 2010/65/EÚ</w:t>
            </w:r>
            <w:hyperlink r:id="rId4" w:anchor="ntr2-L_2014308SK.01008502-E0002" w:history="1">
              <w:r w:rsidRPr="00AE3C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 (</w:t>
              </w:r>
              <w:r w:rsidRPr="00AE3C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vertAlign w:val="superscript"/>
                </w:rPr>
                <w:t>2</w:t>
              </w:r>
              <w:r w:rsidRPr="00AE3C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)</w:t>
              </w:r>
            </w:hyperlink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 v ďalších príslušných právnych predpisoch Únie. Členské štáty zabezpečia, aby predkladané informácie boli k dispozícii na použitie vo všetkých príslušných systémoch ohlasovania, oznamovacích systémoch, systémoch na zdieľanie informácií a monitorovacích a informačných systémoch pre lodnú dopravu.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Členské štáty vyvinú a prevádzkujú potrebné rozhrania na automatický prenos údajov elektronickou cestou do systému SafeSeaNet.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Centrálny systém SafeSeaNet sa používa na šírenie elektronických správ a údajov vymieňaných alebo zdieľaných v súlade s touto smernicou a príslušnými právnymi predpismi Únie, okrem iného:</w:t>
            </w: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496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6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smernicou Európskeho parlamentu a Rady 2000/59/ES z 27. novembra 2000 o prístavných zberných zariadeniach na lodný odpad a zvyšky nákladu</w:t>
                  </w:r>
                  <w:hyperlink r:id="rId4" w:anchor="ntr3-L_2014308SK.01008502-E0003" w:history="1">
                    <w:r w:rsidRPr="00AE3CD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 (</w:t>
                    </w:r>
                    <w:r w:rsidRPr="00AE3CD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vertAlign w:val="superscript"/>
                      </w:rPr>
                      <w:t>3</w:t>
                    </w:r>
                    <w:r w:rsidRPr="00AE3CD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)</w:t>
                    </w:r>
                  </w:hyperlink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pokiaľ ide o jej článok 12 ods. 3,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496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6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smernicou Európskeho parlamentu a Rady 2005/35/ES zo 7. septembra 2005 o znečisťovaní mora z lodí a o zavedení sankcií za porušenia vrátanie trestných sankcií za trestné činy v oblasti znečistenia</w:t>
                  </w:r>
                  <w:hyperlink r:id="rId4" w:anchor="ntr4-L_2014308SK.01008502-E0004" w:history="1">
                    <w:r w:rsidRPr="00AE3CD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 (</w:t>
                    </w:r>
                    <w:r w:rsidRPr="00AE3CD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vertAlign w:val="superscript"/>
                      </w:rPr>
                      <w:t>4</w:t>
                    </w:r>
                    <w:r w:rsidRPr="00AE3CD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)</w:t>
                    </w:r>
                  </w:hyperlink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pokiaľ ide o jej článok 10,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496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6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smernicou Európskeho parlamentu a Rady 2009/16/ES z 23. apríla 2009 o štátnej prístavnej kontrole</w:t>
                  </w:r>
                  <w:hyperlink r:id="rId4" w:anchor="ntr5-L_2014308SK.01008502-E0005" w:history="1">
                    <w:r w:rsidRPr="00AE3CD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 (</w:t>
                    </w:r>
                    <w:r w:rsidRPr="00AE3CD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vertAlign w:val="superscript"/>
                      </w:rPr>
                      <w:t>5</w:t>
                    </w:r>
                    <w:r w:rsidRPr="00AE3CD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)</w:t>
                    </w:r>
                  </w:hyperlink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pokiaľ ide o jej článok 24,</w:t>
                  </w:r>
                </w:p>
              </w:tc>
            </w:tr>
          </w:tbl>
          <w:p w:rsidR="00AE3CDB" w:rsidRPr="00AE3CDB" w:rsidP="00AE3CD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4956"/>
            </w:tblGrid>
            <w:tr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5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914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AE3CDB" w:rsidRPr="00AE3CDB" w:rsidP="00AE3CDB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CD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smernicou Európskeho parlamentu a Rady 2010/65/EÚ, pokiaľ sa uplatňuje jej článok 6.</w:t>
                  </w:r>
                </w:p>
              </w:tc>
            </w:tr>
          </w:tbl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Prevádzkou systému SafeSeaNet by sa malo uľahčiť zriadenie európskeho priestoru námornej dopravy bez prekážok.</w:t>
            </w:r>
          </w:p>
          <w:p w:rsid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V prípade, že medzinárodné pravidlá dovoľujú presmerovanie informácií z identifikácie a sledovania lodí na veľkú vzdialenosť týkajúcich sa plavidiel tretích krajín, siete SafeSeaNet sa použijú na šírenie informácií z identifikácie a sledovania lodí na veľkú vzdialenosť prijatých v súlade s článkom 6b tejto smernice medzi členskými štátmi, a to s dodržaním primeranej úrovne bezpečnosti.</w:t>
            </w:r>
          </w:p>
          <w:p w:rsidR="0024557D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3CDB" w:rsidRPr="00AE3CDB" w:rsidP="00AE3CDB">
            <w:pPr>
              <w:bidi w:val="0"/>
              <w:spacing w:before="24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   Bezpečnosť a prístupové práva 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Centrálny systém SafeSeaNet a národné systémy SafeSeaNet musia spĺňať požiadavky stanovené v tejto smernici týkajúce sa dôvernosti informácií, ako aj zásady bezpečnosti a špecifikácie uvedené v IFCD, najmä pokiaľ ide o prístupové práva.</w:t>
            </w:r>
          </w:p>
          <w:p w:rsidR="00AE3CDB" w:rsidRPr="00AE3CDB" w:rsidP="00AE3CD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color w:val="000000"/>
                <w:sz w:val="20"/>
                <w:szCs w:val="20"/>
              </w:rPr>
              <w:t>Členské štáty identifikujú všetkých používateľov, ktorým pridelia rolu a súbor prístupových práv v súlade s IFCD.“</w:t>
            </w:r>
          </w:p>
          <w:p w:rsidR="00080310" w:rsidRPr="00AE3CDB" w:rsidP="00D069B5">
            <w:pPr>
              <w:autoSpaceDE w:val="0"/>
              <w:autoSpaceDN w:val="0"/>
              <w:bidi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310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AE3CDB" w:rsidR="002E2ADF">
              <w:rPr>
                <w:rFonts w:ascii="Times New Roman" w:hAnsi="Times New Roman"/>
                <w:sz w:val="20"/>
                <w:szCs w:val="20"/>
                <w:lang w:eastAsia="cs-CZ"/>
              </w:rPr>
              <w:t>N</w:t>
            </w:r>
          </w:p>
          <w:p w:rsidR="002E2ADF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659F7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659F7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659F7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659F7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659F7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659F7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RPr="00AE3CDB" w:rsidP="002659F7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 w:rsidP="00DC1742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 w:rsidP="00F20FC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RPr="00AE3CDB" w:rsidP="00F20FCB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2659F7">
              <w:rPr>
                <w:rFonts w:ascii="Times New Roman" w:hAnsi="Times New Roman"/>
                <w:sz w:val="20"/>
                <w:szCs w:val="20"/>
                <w:lang w:eastAsia="cs-CZ"/>
              </w:rPr>
              <w:t>n.a.</w:t>
            </w: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C1742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2659F7">
              <w:rPr>
                <w:rFonts w:ascii="Times New Roman" w:hAnsi="Times New Roman"/>
                <w:sz w:val="20"/>
                <w:szCs w:val="20"/>
                <w:lang w:eastAsia="cs-CZ"/>
              </w:rPr>
              <w:t>n.a.</w:t>
            </w:r>
          </w:p>
          <w:p w:rsidR="00245D45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2661C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E2ADF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2661C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2661C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2661C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42703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2661C" w:rsidRPr="00AE3CDB" w:rsidP="002E2ADF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2659F7">
              <w:rPr>
                <w:rFonts w:ascii="Times New Roman" w:hAnsi="Times New Roman"/>
                <w:sz w:val="20"/>
                <w:szCs w:val="20"/>
                <w:lang w:eastAsia="cs-CZ"/>
              </w:rPr>
              <w:t>n.a.</w:t>
            </w: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RPr="00AE3CD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1B2679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0A6F30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N</w:t>
            </w: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RPr="00AE3CDB" w:rsidP="00F20FCB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2D1C" w:rsidRPr="00AE3CDB" w:rsidP="00882D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AE3CDB">
              <w:rPr>
                <w:rFonts w:ascii="Times New Roman" w:hAnsi="Times New Roman"/>
                <w:sz w:val="20"/>
                <w:szCs w:val="20"/>
                <w:lang w:eastAsia="cs-CZ"/>
              </w:rPr>
              <w:t>Zákon č. 435/2000 Z. z. v znení zákona č. 440/2010 Z. z.</w:t>
            </w:r>
          </w:p>
          <w:p w:rsidR="00882D1C" w:rsidRPr="00AE3CDB" w:rsidP="00882D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82D1C" w:rsidRPr="00AE3CDB" w:rsidP="00882D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82D1C" w:rsidRPr="00AE3CDB" w:rsidP="00882D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82D1C" w:rsidRPr="00AE3CDB" w:rsidP="00882D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82D1C" w:rsidRPr="00AE3CDB" w:rsidP="00882D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82D1C" w:rsidRPr="00AE3CDB" w:rsidP="00882D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82D1C" w:rsidRPr="00AE3CDB" w:rsidP="00882D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882D1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AE3CDB" w:rsidR="00882D1C">
              <w:rPr>
                <w:rFonts w:ascii="Times New Roman" w:hAnsi="Times New Roman"/>
                <w:sz w:val="20"/>
                <w:szCs w:val="20"/>
                <w:lang w:eastAsia="cs-CZ"/>
              </w:rPr>
              <w:t>NV č. 67/2007 Z. z. v znení neskorších predpisov</w:t>
            </w: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54B23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54B23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42703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54B23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 w:rsidRPr="00AE3CDB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AE3CD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NV č. 67/2007 Z. z. v znení </w:t>
            </w:r>
            <w:r w:rsidR="00372CCC">
              <w:rPr>
                <w:rFonts w:ascii="Times New Roman" w:hAnsi="Times New Roman"/>
                <w:sz w:val="20"/>
                <w:szCs w:val="20"/>
                <w:lang w:eastAsia="cs-CZ"/>
              </w:rPr>
              <w:t>NV č. 441/2010 Z. z.</w:t>
            </w:r>
          </w:p>
          <w:p w:rsidR="00F20FCB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RPr="00AE3CDB" w:rsidP="0024557D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AE3CD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NV č. 67/2007 Z. z. v znení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NV č. 441/2010 Z. z.</w:t>
            </w:r>
          </w:p>
          <w:p w:rsidR="0024557D" w:rsidRPr="00AE3CDB" w:rsidP="00F20FC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 w:rsidRPr="00AE3CDB">
              <w:rPr>
                <w:rFonts w:ascii="Times New Roman" w:hAnsi="Times New Roman"/>
                <w:b w:val="0"/>
                <w:bCs w:val="0"/>
                <w:shadow w:val="0"/>
              </w:rPr>
              <w:t xml:space="preserve">§ 4 </w:t>
            </w: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 w:rsidRPr="00AE3CDB">
              <w:rPr>
                <w:rFonts w:ascii="Times New Roman" w:hAnsi="Times New Roman"/>
                <w:b w:val="0"/>
                <w:bCs w:val="0"/>
                <w:shadow w:val="0"/>
              </w:rPr>
              <w:t>O. 10</w:t>
            </w: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882D1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245529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 w:rsidRPr="00AE3CDB" w:rsidR="00882D1C">
              <w:rPr>
                <w:rFonts w:ascii="Times New Roman" w:hAnsi="Times New Roman"/>
                <w:b w:val="0"/>
                <w:bCs w:val="0"/>
                <w:shadow w:val="0"/>
              </w:rPr>
              <w:t>§ 8a</w:t>
            </w: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24557D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</w:p>
          <w:p w:rsidR="00372CCC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>
              <w:rPr>
                <w:rFonts w:ascii="Times New Roman" w:hAnsi="Times New Roman"/>
                <w:b w:val="0"/>
                <w:bCs w:val="0"/>
                <w:shadow w:val="0"/>
              </w:rPr>
              <w:t>§ 8a</w:t>
            </w:r>
          </w:p>
          <w:p w:rsidR="00372CCC" w:rsidRPr="00AE3CDB" w:rsidP="00882D1C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shadow w:val="0"/>
              </w:rPr>
              <w:t>O. 3 a 7</w:t>
            </w: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7D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5E1571" w:rsidP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hadow w:val="0"/>
              </w:rPr>
            </w:pPr>
            <w:r>
              <w:rPr>
                <w:rFonts w:ascii="Times New Roman" w:hAnsi="Times New Roman"/>
                <w:b w:val="0"/>
                <w:bCs w:val="0"/>
                <w:shadow w:val="0"/>
              </w:rPr>
              <w:t>§ 8a</w:t>
            </w:r>
          </w:p>
          <w:p w:rsidR="005E1571" w:rsidRPr="00AE3CDB" w:rsidP="005E1571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shadow w:val="0"/>
              </w:rPr>
              <w:t>O. 5 a 6</w:t>
            </w:r>
          </w:p>
          <w:p w:rsidR="005E1571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 w:rsidP="00F264D0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 w:rsidP="00F264D0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 w:rsidP="00F264D0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 w:rsidP="00F264D0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C42703" w:rsidRPr="00AE3CDB" w:rsidP="00F264D0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245529" w:rsidRPr="00AE3CDB" w:rsidP="007672F5">
            <w:pPr>
              <w:pStyle w:val="EnvelopeReturn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2D1C" w:rsidRPr="00AE3CDB" w:rsidP="00882D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(10) Ministerstvo zriadi a prevádzkuje národný systém na prijímanie, ukladanie, vyhľadávanie a výmenu námorných informácií SafeSeaNet na účely námornej bezpečnosti v prístavoch a na mori, ochrany životného prostredia a efektívnosti námornej plavby. Námorné informácie, ktoré obsahuje národný systém SafeSeaNet, sú dôverného charakteru. Ministerstvo oprávňuje osoby 1bg) na prístup do tohto systému a poskytuje informácie z tohto systému na účely trestného konania a občianskoprávneho konania.</w:t>
            </w:r>
          </w:p>
          <w:p w:rsidR="00882D1C" w:rsidRPr="00AE3CDB" w:rsidP="00882D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D1C" w:rsidRPr="00AE3CDB" w:rsidP="00882D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§ 8a</w:t>
            </w:r>
          </w:p>
          <w:p w:rsidR="00882D1C" w:rsidRPr="00AE3CDB" w:rsidP="00882D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(1) Systém námorných informácií SafeSeaNet je elektronický systém na prijímanie, ukladanie, vyhľadávanie a výmenu elektronických námorných informácií a správ a pozostáva zo siete národných systémov SafeSeaNet a centrálnej databázy SafeSeaNet, ktoré sú navzájom prepojené.</w:t>
            </w:r>
          </w:p>
          <w:p w:rsidR="00882D1C" w:rsidRPr="00AE3CDB" w:rsidP="00882D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(2) Národný systém SafeSeaNet je zriadený a prevádzkovaný podľa osobitného predpisu 12b) v súlade s technickými požiadavkami ustanovenými Európskou komisiou, je vedený v elektronickej forme a umožňuje prenos námorných informácií 24 hodín denne.</w:t>
            </w:r>
          </w:p>
          <w:p w:rsidR="00882D1C" w:rsidRPr="00AE3CDB" w:rsidP="00882D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(3) Národný systém SafeSeaNet musí byť zriadený v súlade s priemyselnými štandardmi a schopný komunikovať s verejnými a súkromnými elektronickými systémami používanými na tvorbu, poskytovanie alebo prijímanie námorných informácií v rámci systému námorných informácií. Námorné informácie z národného systému SafeSeaNet musia byť použiteľné vo všetkých ohlasovacích a oznamovacích informačných systémoch, plavebnoprevádzkových, monitorovacích a informačných systémoch.</w:t>
            </w:r>
          </w:p>
          <w:p w:rsidR="00882D1C" w:rsidRPr="00AE3CDB" w:rsidP="00882D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(4) Národný systém SafeSeaNet musí umožniť na požiadanie príslušného orgánu Slovenskej republiky a príslušného orgánu iného členského štátu bez zbytočného odkladu zaslanie námornej informácie získanej o lodi a o nebezpečnom alebo znečisťujúcom tovare na palube lode.</w:t>
            </w:r>
          </w:p>
          <w:p w:rsidR="00882D1C" w:rsidRPr="00AE3CDB" w:rsidP="00882D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(5) Národný systém SafeSeaNet musí umožniť výmenu námorných informácií medzi používateľmi; používateľom môže byť oprávnený operátor, agent, veliteľ lode alebo zasielateľ. Národný systém SafeSeaNet zabezpečí, aby používateľom raz vložená námorná informácia do tohto systému nebola opätovne týmto systémom vyžadovaná.</w:t>
            </w:r>
          </w:p>
          <w:p w:rsidR="00882D1C" w:rsidRPr="00AE3CDB" w:rsidP="00882D1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(6) Námorné informácie, ktoré obsahuje národný systém SafeSeaNet, možno použiť len v súlade s týmto nariadením vlády.</w:t>
            </w:r>
          </w:p>
          <w:p w:rsidR="00C2533F" w:rsidRPr="00AE3CDB" w:rsidP="007672F5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AE3CDB" w:rsidR="00882D1C">
              <w:rPr>
                <w:rFonts w:ascii="Times New Roman" w:hAnsi="Times New Roman"/>
                <w:sz w:val="20"/>
                <w:szCs w:val="20"/>
                <w:lang w:eastAsia="cs-CZ"/>
              </w:rPr>
              <w:t>(7) Správy v elektronickej forme vymieňané v súlade s týmto nariadením vlády sa zasielajú prostredníctvom národného systému SafeSeaNet.</w:t>
            </w:r>
          </w:p>
          <w:p w:rsidR="00C2533F" w:rsidRPr="00AE3CDB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E1571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RPr="00AE3CDB" w:rsidP="00372CC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(3) Národný systém SafeSeaNet musí byť zriadený v súlade s priemyselnými štandardmi a schopný komunikovať s verejnými a súkromnými elektronickými systémami používanými na tvorbu, poskytovanie alebo prijímanie námorných informácií v rámci systému námorných informácií. Námorné informácie z národného systému SafeSeaNet musia byť použiteľné vo všetkých ohlasovacích a oznamovacích informačných systémoch, plavebnoprevádzkových, monitorovacích a informačných systémoch.</w:t>
            </w:r>
          </w:p>
          <w:p w:rsidR="00372CCC" w:rsidRPr="00AE3CDB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AE3CDB">
              <w:rPr>
                <w:rFonts w:ascii="Times New Roman" w:hAnsi="Times New Roman"/>
                <w:sz w:val="20"/>
                <w:szCs w:val="20"/>
                <w:lang w:eastAsia="cs-CZ"/>
              </w:rPr>
              <w:t>(7) Správy v elektronickej forme vymieňané v súlade s týmto nariadením vlády sa zasielajú prostredníctvom národného systému SafeSeaNet.</w:t>
            </w:r>
          </w:p>
          <w:p w:rsidR="00372CCC" w:rsidRPr="00AE3CDB" w:rsidP="00372CCC">
            <w:pPr>
              <w:bidi w:val="0"/>
              <w:adjustRightInd w:val="0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993A9F">
            <w:pPr>
              <w:bidi w:val="0"/>
              <w:adjustRightInd w:val="0"/>
              <w:spacing w:before="0" w:after="24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153AD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153AD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153AD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153AD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153AD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153AD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8153AD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RPr="00AE3CDB" w:rsidP="008153AD">
            <w:pPr>
              <w:bidi w:val="0"/>
              <w:adjustRightInd w:val="0"/>
              <w:spacing w:before="0"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29" w:rsidRPr="00AE3CDB" w:rsidP="00F264D0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29" w:rsidRPr="00AE3CDB" w:rsidP="00F264D0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2533F" w:rsidP="00254B23">
            <w:pPr>
              <w:bidi w:val="0"/>
              <w:spacing w:before="0"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E1571" w:rsidP="00254B23">
            <w:pPr>
              <w:bidi w:val="0"/>
              <w:spacing w:before="0"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5E1571" w:rsidP="00254B23">
            <w:pPr>
              <w:bidi w:val="0"/>
              <w:spacing w:before="0"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54B23">
            <w:pPr>
              <w:bidi w:val="0"/>
              <w:spacing w:before="0"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54B23">
            <w:pPr>
              <w:bidi w:val="0"/>
              <w:spacing w:before="0"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RPr="00AE3CDB" w:rsidP="00372CC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(5) Národný systém SafeSeaNet musí umožniť výmenu námorných informácií medzi používateľmi; používateľom môže byť oprávnený operátor, agent, veliteľ lode alebo zasielateľ. Národný systém SafeSeaNet zabezpečí, aby používateľom raz vložená námorná informácia do tohto systému nebola opätovne týmto systémom vyžadovaná.</w:t>
            </w:r>
          </w:p>
          <w:p w:rsidR="00372CCC" w:rsidRPr="00AE3CDB" w:rsidP="00372CCC">
            <w:pPr>
              <w:pStyle w:val="BodyText"/>
              <w:tabs>
                <w:tab w:val="left" w:pos="1134"/>
              </w:tabs>
              <w:autoSpaceDE w:val="0"/>
              <w:autoSpaceDN w:val="0"/>
              <w:bidi w:val="0"/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DB">
              <w:rPr>
                <w:rFonts w:ascii="Times New Roman" w:hAnsi="Times New Roman"/>
                <w:sz w:val="20"/>
                <w:szCs w:val="20"/>
              </w:rPr>
              <w:t>(6) Námorné informácie, ktoré obsahuje národný systém SafeSeaNet, možno použiť len v súlade s týmto nariadením vlády.</w:t>
            </w:r>
          </w:p>
          <w:p w:rsidR="00372CCC" w:rsidRPr="00AE3CDB" w:rsidP="00254B23">
            <w:pPr>
              <w:bidi w:val="0"/>
              <w:spacing w:before="0" w:after="0" w:line="240" w:lineRule="auto"/>
              <w:ind w:left="72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AE3CDB" w:rsidR="00B87621">
              <w:rPr>
                <w:rFonts w:ascii="Times New Roman" w:hAnsi="Times New Roman"/>
                <w:sz w:val="20"/>
                <w:szCs w:val="20"/>
                <w:lang w:eastAsia="cs-CZ"/>
              </w:rPr>
              <w:t>Ú</w:t>
            </w: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D45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2661C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2661C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2661C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2661C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C42703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2661C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F20FCB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2659F7">
              <w:rPr>
                <w:rFonts w:ascii="Times New Roman" w:hAnsi="Times New Roman"/>
                <w:sz w:val="20"/>
                <w:szCs w:val="20"/>
                <w:lang w:eastAsia="cs-CZ"/>
              </w:rPr>
              <w:t>n.a.</w:t>
            </w: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DC1742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="002659F7">
              <w:rPr>
                <w:rFonts w:ascii="Times New Roman" w:hAnsi="Times New Roman"/>
                <w:sz w:val="20"/>
                <w:szCs w:val="20"/>
                <w:lang w:eastAsia="cs-CZ"/>
              </w:rPr>
              <w:t>n.a.</w:t>
            </w: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B8762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77AF1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659F7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n.a.</w:t>
            </w: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Ú</w:t>
            </w: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24557D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Ú</w:t>
            </w: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  <w:p w:rsidR="00372CCC" w:rsidRPr="00AE3CDB" w:rsidP="0024557D">
            <w:pPr>
              <w:bidi w:val="0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310" w:rsidRPr="00AE3CDB">
            <w:pPr>
              <w:bidi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123BB7" w:rsidRPr="00AE3CDB" w:rsidP="000F1890">
      <w:pPr>
        <w:pStyle w:val="FootnoteText"/>
        <w:bidi w:val="0"/>
        <w:ind w:left="142" w:hanging="142"/>
        <w:rPr>
          <w:rFonts w:ascii="Times New Roman" w:hAnsi="Times New Roman"/>
        </w:rPr>
      </w:pPr>
    </w:p>
    <w:sectPr>
      <w:footerReference w:type="default" r:id="rId5"/>
      <w:pgSz w:w="16838" w:h="11906" w:orient="landscape" w:code="9"/>
      <w:pgMar w:top="1418" w:right="567" w:bottom="1418" w:left="567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EUAlbertina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CC" w:rsidP="00D71D85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16E75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372CCC" w:rsidP="005B5FA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BA9"/>
    <w:multiLevelType w:val="hybridMultilevel"/>
    <w:tmpl w:val="87AC698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68119E"/>
    <w:multiLevelType w:val="hybridMultilevel"/>
    <w:tmpl w:val="F0A817C0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EUAlbertina" w:eastAsia="Times New Roman" w:hAnsi="EUAlberti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64EC7"/>
    <w:multiLevelType w:val="hybridMultilevel"/>
    <w:tmpl w:val="2940C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C2774D"/>
    <w:multiLevelType w:val="hybridMultilevel"/>
    <w:tmpl w:val="A350D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2F62307"/>
    <w:multiLevelType w:val="hybridMultilevel"/>
    <w:tmpl w:val="36DAB8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6737E8F"/>
    <w:multiLevelType w:val="hybridMultilevel"/>
    <w:tmpl w:val="1530172E"/>
    <w:lvl w:ilvl="0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  <w:rPr>
        <w:rFonts w:cs="Times New Roman"/>
        <w:rtl w:val="0"/>
        <w:cs w:val="0"/>
      </w:rPr>
    </w:lvl>
  </w:abstractNum>
  <w:abstractNum w:abstractNumId="6">
    <w:nsid w:val="16DD48E0"/>
    <w:multiLevelType w:val="hybridMultilevel"/>
    <w:tmpl w:val="051EC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79A308D"/>
    <w:multiLevelType w:val="hybridMultilevel"/>
    <w:tmpl w:val="75ACC162"/>
    <w:lvl w:ilvl="0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6A58EE"/>
    <w:multiLevelType w:val="hybridMultilevel"/>
    <w:tmpl w:val="EABA7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97E1A36"/>
    <w:multiLevelType w:val="hybridMultilevel"/>
    <w:tmpl w:val="DD2096D2"/>
    <w:lvl w:ilvl="0">
      <w:start w:val="3"/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EUAlbertina" w:eastAsia="Times New Roman" w:hAnsi="EUAlbertina" w:hint="default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>
    <w:nsid w:val="1D916CDF"/>
    <w:multiLevelType w:val="hybridMultilevel"/>
    <w:tmpl w:val="817C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67638E5"/>
    <w:multiLevelType w:val="hybridMultilevel"/>
    <w:tmpl w:val="1FDCA0F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84814E3"/>
    <w:multiLevelType w:val="hybridMultilevel"/>
    <w:tmpl w:val="A3D6B1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0822C15"/>
    <w:multiLevelType w:val="hybridMultilevel"/>
    <w:tmpl w:val="0A7820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23676E4"/>
    <w:multiLevelType w:val="hybridMultilevel"/>
    <w:tmpl w:val="1B56FB3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4ED3901"/>
    <w:multiLevelType w:val="hybridMultilevel"/>
    <w:tmpl w:val="19EE3C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F211DD1"/>
    <w:multiLevelType w:val="hybridMultilevel"/>
    <w:tmpl w:val="87B6C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1ED6943"/>
    <w:multiLevelType w:val="hybridMultilevel"/>
    <w:tmpl w:val="FB62774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274130C"/>
    <w:multiLevelType w:val="hybridMultilevel"/>
    <w:tmpl w:val="F0AA67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3832834"/>
    <w:multiLevelType w:val="hybridMultilevel"/>
    <w:tmpl w:val="17DA45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635267B"/>
    <w:multiLevelType w:val="hybridMultilevel"/>
    <w:tmpl w:val="2542B37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21">
    <w:nsid w:val="46BC5030"/>
    <w:multiLevelType w:val="hybridMultilevel"/>
    <w:tmpl w:val="779AE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74D26E2"/>
    <w:multiLevelType w:val="hybridMultilevel"/>
    <w:tmpl w:val="487E8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86348BE"/>
    <w:multiLevelType w:val="hybridMultilevel"/>
    <w:tmpl w:val="BCDA6F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C6B69A0"/>
    <w:multiLevelType w:val="hybridMultilevel"/>
    <w:tmpl w:val="C9925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DF61E04"/>
    <w:multiLevelType w:val="hybridMultilevel"/>
    <w:tmpl w:val="6180D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04B1C11"/>
    <w:multiLevelType w:val="hybridMultilevel"/>
    <w:tmpl w:val="62E8F1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4686619"/>
    <w:multiLevelType w:val="hybridMultilevel"/>
    <w:tmpl w:val="A462B39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0450433"/>
    <w:multiLevelType w:val="hybridMultilevel"/>
    <w:tmpl w:val="7442895E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  <w:rtl w:val="0"/>
        <w:cs w:val="0"/>
      </w:rPr>
    </w:lvl>
  </w:abstractNum>
  <w:abstractNum w:abstractNumId="29">
    <w:nsid w:val="60475AB5"/>
    <w:multiLevelType w:val="hybridMultilevel"/>
    <w:tmpl w:val="8CF03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345140A"/>
    <w:multiLevelType w:val="hybridMultilevel"/>
    <w:tmpl w:val="3372E5D6"/>
    <w:lvl w:ilvl="0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  <w:rtl w:val="0"/>
        <w:cs w:val="0"/>
      </w:rPr>
    </w:lvl>
  </w:abstractNum>
  <w:abstractNum w:abstractNumId="31">
    <w:nsid w:val="64B239FF"/>
    <w:multiLevelType w:val="hybridMultilevel"/>
    <w:tmpl w:val="A2F4F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4DA4DDD"/>
    <w:multiLevelType w:val="hybridMultilevel"/>
    <w:tmpl w:val="AFE09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6410918"/>
    <w:multiLevelType w:val="multilevel"/>
    <w:tmpl w:val="505ADAF2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4">
    <w:nsid w:val="668C6615"/>
    <w:multiLevelType w:val="hybridMultilevel"/>
    <w:tmpl w:val="F5A07F36"/>
    <w:lvl w:ilvl="0">
      <w:start w:val="3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E7F3A9F"/>
    <w:multiLevelType w:val="hybridMultilevel"/>
    <w:tmpl w:val="7E7AB0E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0221D4D"/>
    <w:multiLevelType w:val="hybridMultilevel"/>
    <w:tmpl w:val="A6AC8C5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1286B19"/>
    <w:multiLevelType w:val="hybridMultilevel"/>
    <w:tmpl w:val="FC6C7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1CF5D6F"/>
    <w:multiLevelType w:val="multilevel"/>
    <w:tmpl w:val="68D8AA60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9">
    <w:nsid w:val="743B516A"/>
    <w:multiLevelType w:val="hybridMultilevel"/>
    <w:tmpl w:val="F4841D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7FE2A09"/>
    <w:multiLevelType w:val="hybridMultilevel"/>
    <w:tmpl w:val="34527EE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A543EB7"/>
    <w:multiLevelType w:val="hybridMultilevel"/>
    <w:tmpl w:val="B27A6EE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  <w:rtl w:val="0"/>
        <w:cs w:val="0"/>
      </w:rPr>
    </w:lvl>
  </w:abstractNum>
  <w:abstractNum w:abstractNumId="42">
    <w:nsid w:val="7B7764EE"/>
    <w:multiLevelType w:val="hybridMultilevel"/>
    <w:tmpl w:val="C700FCB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CC441D9"/>
    <w:multiLevelType w:val="singleLevel"/>
    <w:tmpl w:val="455E893C"/>
    <w:lvl w:ilvl="0">
      <w:start w:val="9"/>
      <w:numFmt w:val="lowerLetter"/>
      <w:pStyle w:val="CM31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44">
    <w:nsid w:val="7CFA62DF"/>
    <w:multiLevelType w:val="hybridMultilevel"/>
    <w:tmpl w:val="22D23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rtl w:val="0"/>
        <w:cs w:val="0"/>
      </w:rPr>
    </w:lvl>
    <w:lvl w:ilvl="1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3"/>
  </w:num>
  <w:num w:numId="2">
    <w:abstractNumId w:val="42"/>
  </w:num>
  <w:num w:numId="3">
    <w:abstractNumId w:val="13"/>
  </w:num>
  <w:num w:numId="4">
    <w:abstractNumId w:val="14"/>
  </w:num>
  <w:num w:numId="5">
    <w:abstractNumId w:val="7"/>
  </w:num>
  <w:num w:numId="6">
    <w:abstractNumId w:val="40"/>
  </w:num>
  <w:num w:numId="7">
    <w:abstractNumId w:val="11"/>
  </w:num>
  <w:num w:numId="8">
    <w:abstractNumId w:val="34"/>
  </w:num>
  <w:num w:numId="9">
    <w:abstractNumId w:val="27"/>
  </w:num>
  <w:num w:numId="10">
    <w:abstractNumId w:val="0"/>
  </w:num>
  <w:num w:numId="11">
    <w:abstractNumId w:val="23"/>
  </w:num>
  <w:num w:numId="12">
    <w:abstractNumId w:val="17"/>
  </w:num>
  <w:num w:numId="13">
    <w:abstractNumId w:val="35"/>
  </w:num>
  <w:num w:numId="14">
    <w:abstractNumId w:val="4"/>
  </w:num>
  <w:num w:numId="15">
    <w:abstractNumId w:val="36"/>
  </w:num>
  <w:num w:numId="16">
    <w:abstractNumId w:val="18"/>
  </w:num>
  <w:num w:numId="17">
    <w:abstractNumId w:val="9"/>
  </w:num>
  <w:num w:numId="18">
    <w:abstractNumId w:val="41"/>
  </w:num>
  <w:num w:numId="19">
    <w:abstractNumId w:val="1"/>
  </w:num>
  <w:num w:numId="20">
    <w:abstractNumId w:val="15"/>
  </w:num>
  <w:num w:numId="21">
    <w:abstractNumId w:val="21"/>
  </w:num>
  <w:num w:numId="22">
    <w:abstractNumId w:val="10"/>
  </w:num>
  <w:num w:numId="23">
    <w:abstractNumId w:val="3"/>
  </w:num>
  <w:num w:numId="24">
    <w:abstractNumId w:val="20"/>
  </w:num>
  <w:num w:numId="25">
    <w:abstractNumId w:val="38"/>
  </w:num>
  <w:num w:numId="26">
    <w:abstractNumId w:val="33"/>
  </w:num>
  <w:num w:numId="27">
    <w:abstractNumId w:val="44"/>
  </w:num>
  <w:num w:numId="28">
    <w:abstractNumId w:val="5"/>
  </w:num>
  <w:num w:numId="29">
    <w:abstractNumId w:val="8"/>
  </w:num>
  <w:num w:numId="30">
    <w:abstractNumId w:val="12"/>
  </w:num>
  <w:num w:numId="31">
    <w:abstractNumId w:val="30"/>
  </w:num>
  <w:num w:numId="32">
    <w:abstractNumId w:val="31"/>
  </w:num>
  <w:num w:numId="33">
    <w:abstractNumId w:val="28"/>
  </w:num>
  <w:num w:numId="34">
    <w:abstractNumId w:val="19"/>
  </w:num>
  <w:num w:numId="35">
    <w:abstractNumId w:val="26"/>
  </w:num>
  <w:num w:numId="36">
    <w:abstractNumId w:val="6"/>
  </w:num>
  <w:num w:numId="37">
    <w:abstractNumId w:val="24"/>
  </w:num>
  <w:num w:numId="38">
    <w:abstractNumId w:val="32"/>
  </w:num>
  <w:num w:numId="39">
    <w:abstractNumId w:val="22"/>
  </w:num>
  <w:num w:numId="40">
    <w:abstractNumId w:val="37"/>
  </w:num>
  <w:num w:numId="41">
    <w:abstractNumId w:val="29"/>
  </w:num>
  <w:num w:numId="42">
    <w:abstractNumId w:val="25"/>
  </w:num>
  <w:num w:numId="43">
    <w:abstractNumId w:val="2"/>
  </w:num>
  <w:num w:numId="44">
    <w:abstractNumId w:val="3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A3C29"/>
    <w:rsid w:val="00000FD2"/>
    <w:rsid w:val="00006777"/>
    <w:rsid w:val="00007C69"/>
    <w:rsid w:val="00010391"/>
    <w:rsid w:val="00022107"/>
    <w:rsid w:val="00023DF4"/>
    <w:rsid w:val="000243F7"/>
    <w:rsid w:val="000250FA"/>
    <w:rsid w:val="00026CFA"/>
    <w:rsid w:val="00034BE2"/>
    <w:rsid w:val="00034F25"/>
    <w:rsid w:val="000376D5"/>
    <w:rsid w:val="00043484"/>
    <w:rsid w:val="00043DB3"/>
    <w:rsid w:val="00045A5A"/>
    <w:rsid w:val="00046FEB"/>
    <w:rsid w:val="00052631"/>
    <w:rsid w:val="00054D60"/>
    <w:rsid w:val="000617FC"/>
    <w:rsid w:val="000624D2"/>
    <w:rsid w:val="00073112"/>
    <w:rsid w:val="000757EB"/>
    <w:rsid w:val="00080310"/>
    <w:rsid w:val="00082D36"/>
    <w:rsid w:val="00086E68"/>
    <w:rsid w:val="000911AB"/>
    <w:rsid w:val="00096CDA"/>
    <w:rsid w:val="000A0F09"/>
    <w:rsid w:val="000A1219"/>
    <w:rsid w:val="000A6F30"/>
    <w:rsid w:val="000B1BB9"/>
    <w:rsid w:val="000B2291"/>
    <w:rsid w:val="000B4529"/>
    <w:rsid w:val="000B6DE1"/>
    <w:rsid w:val="000C1E05"/>
    <w:rsid w:val="000C33CE"/>
    <w:rsid w:val="000C6622"/>
    <w:rsid w:val="000E2106"/>
    <w:rsid w:val="000E2C87"/>
    <w:rsid w:val="000E3BFF"/>
    <w:rsid w:val="000F1890"/>
    <w:rsid w:val="00106354"/>
    <w:rsid w:val="00107577"/>
    <w:rsid w:val="001229FB"/>
    <w:rsid w:val="00123BB7"/>
    <w:rsid w:val="0012522D"/>
    <w:rsid w:val="00125340"/>
    <w:rsid w:val="00125FB7"/>
    <w:rsid w:val="00141B5E"/>
    <w:rsid w:val="00142E21"/>
    <w:rsid w:val="00143424"/>
    <w:rsid w:val="00161294"/>
    <w:rsid w:val="00165653"/>
    <w:rsid w:val="001757E3"/>
    <w:rsid w:val="0017585D"/>
    <w:rsid w:val="00177E27"/>
    <w:rsid w:val="00177E99"/>
    <w:rsid w:val="00180778"/>
    <w:rsid w:val="00184BEA"/>
    <w:rsid w:val="00186D1E"/>
    <w:rsid w:val="00187D43"/>
    <w:rsid w:val="0019153C"/>
    <w:rsid w:val="00197D17"/>
    <w:rsid w:val="001A1FA6"/>
    <w:rsid w:val="001B20C6"/>
    <w:rsid w:val="001B20E3"/>
    <w:rsid w:val="001B2679"/>
    <w:rsid w:val="001B6545"/>
    <w:rsid w:val="001D00F4"/>
    <w:rsid w:val="001D01E7"/>
    <w:rsid w:val="001D0D71"/>
    <w:rsid w:val="001D3EC2"/>
    <w:rsid w:val="001E26CE"/>
    <w:rsid w:val="001E4917"/>
    <w:rsid w:val="001E6822"/>
    <w:rsid w:val="001F6128"/>
    <w:rsid w:val="00211CFD"/>
    <w:rsid w:val="00214617"/>
    <w:rsid w:val="002179D1"/>
    <w:rsid w:val="0022141B"/>
    <w:rsid w:val="00231557"/>
    <w:rsid w:val="00245529"/>
    <w:rsid w:val="0024557D"/>
    <w:rsid w:val="00245D45"/>
    <w:rsid w:val="00254B23"/>
    <w:rsid w:val="00254ED6"/>
    <w:rsid w:val="002659F7"/>
    <w:rsid w:val="00272849"/>
    <w:rsid w:val="00275FC8"/>
    <w:rsid w:val="00277AF1"/>
    <w:rsid w:val="00281556"/>
    <w:rsid w:val="00281B15"/>
    <w:rsid w:val="00281F83"/>
    <w:rsid w:val="002B7294"/>
    <w:rsid w:val="002C4CFD"/>
    <w:rsid w:val="002C6ED8"/>
    <w:rsid w:val="002D27C9"/>
    <w:rsid w:val="002D48DA"/>
    <w:rsid w:val="002D4E30"/>
    <w:rsid w:val="002E2ADF"/>
    <w:rsid w:val="002E7FCF"/>
    <w:rsid w:val="002F235F"/>
    <w:rsid w:val="002F5367"/>
    <w:rsid w:val="002F7524"/>
    <w:rsid w:val="00312706"/>
    <w:rsid w:val="00333CCC"/>
    <w:rsid w:val="0033492B"/>
    <w:rsid w:val="00341853"/>
    <w:rsid w:val="0034783B"/>
    <w:rsid w:val="00347CEE"/>
    <w:rsid w:val="00350535"/>
    <w:rsid w:val="00351452"/>
    <w:rsid w:val="00351EE5"/>
    <w:rsid w:val="00355292"/>
    <w:rsid w:val="00357221"/>
    <w:rsid w:val="00361C39"/>
    <w:rsid w:val="00361CDD"/>
    <w:rsid w:val="003670B9"/>
    <w:rsid w:val="003675E1"/>
    <w:rsid w:val="0037239A"/>
    <w:rsid w:val="00372CCC"/>
    <w:rsid w:val="00376FDE"/>
    <w:rsid w:val="003876D3"/>
    <w:rsid w:val="0039049B"/>
    <w:rsid w:val="0039291F"/>
    <w:rsid w:val="003933EE"/>
    <w:rsid w:val="003A411B"/>
    <w:rsid w:val="003A5600"/>
    <w:rsid w:val="003B46DB"/>
    <w:rsid w:val="003B49EF"/>
    <w:rsid w:val="003B670B"/>
    <w:rsid w:val="003C4423"/>
    <w:rsid w:val="003C4591"/>
    <w:rsid w:val="003C52E3"/>
    <w:rsid w:val="003C66DB"/>
    <w:rsid w:val="003D291C"/>
    <w:rsid w:val="003D5B85"/>
    <w:rsid w:val="003D7AC9"/>
    <w:rsid w:val="003E359B"/>
    <w:rsid w:val="003E69A8"/>
    <w:rsid w:val="003F0795"/>
    <w:rsid w:val="003F3B19"/>
    <w:rsid w:val="003F47CC"/>
    <w:rsid w:val="003F6067"/>
    <w:rsid w:val="00400950"/>
    <w:rsid w:val="00412963"/>
    <w:rsid w:val="00420034"/>
    <w:rsid w:val="004312B4"/>
    <w:rsid w:val="00434DC5"/>
    <w:rsid w:val="00435329"/>
    <w:rsid w:val="004378D4"/>
    <w:rsid w:val="00440DE0"/>
    <w:rsid w:val="004412DD"/>
    <w:rsid w:val="00445129"/>
    <w:rsid w:val="004452F4"/>
    <w:rsid w:val="004478F9"/>
    <w:rsid w:val="00450CC5"/>
    <w:rsid w:val="00453D01"/>
    <w:rsid w:val="0045525D"/>
    <w:rsid w:val="00456569"/>
    <w:rsid w:val="0047093A"/>
    <w:rsid w:val="004729B0"/>
    <w:rsid w:val="00476BF2"/>
    <w:rsid w:val="004A35E7"/>
    <w:rsid w:val="004B544C"/>
    <w:rsid w:val="004B7F61"/>
    <w:rsid w:val="004C1920"/>
    <w:rsid w:val="004C1970"/>
    <w:rsid w:val="004C5748"/>
    <w:rsid w:val="004C6377"/>
    <w:rsid w:val="004D34A1"/>
    <w:rsid w:val="004D3E93"/>
    <w:rsid w:val="004E30FC"/>
    <w:rsid w:val="004F0255"/>
    <w:rsid w:val="004F2D5F"/>
    <w:rsid w:val="004F43D6"/>
    <w:rsid w:val="004F5293"/>
    <w:rsid w:val="005034FA"/>
    <w:rsid w:val="0051269C"/>
    <w:rsid w:val="005211AC"/>
    <w:rsid w:val="00521529"/>
    <w:rsid w:val="00531509"/>
    <w:rsid w:val="005346BE"/>
    <w:rsid w:val="0053629D"/>
    <w:rsid w:val="00537752"/>
    <w:rsid w:val="00537773"/>
    <w:rsid w:val="005448AB"/>
    <w:rsid w:val="0055091F"/>
    <w:rsid w:val="005512BD"/>
    <w:rsid w:val="005602DC"/>
    <w:rsid w:val="00561AB9"/>
    <w:rsid w:val="00562B55"/>
    <w:rsid w:val="00580E2D"/>
    <w:rsid w:val="00581BE1"/>
    <w:rsid w:val="005867F1"/>
    <w:rsid w:val="00594554"/>
    <w:rsid w:val="005A3E1C"/>
    <w:rsid w:val="005A4845"/>
    <w:rsid w:val="005B0955"/>
    <w:rsid w:val="005B0EFA"/>
    <w:rsid w:val="005B5FAC"/>
    <w:rsid w:val="005B7C28"/>
    <w:rsid w:val="005C2E85"/>
    <w:rsid w:val="005C7A0E"/>
    <w:rsid w:val="005D032D"/>
    <w:rsid w:val="005E081B"/>
    <w:rsid w:val="005E0821"/>
    <w:rsid w:val="005E1571"/>
    <w:rsid w:val="00603B9B"/>
    <w:rsid w:val="006100AB"/>
    <w:rsid w:val="00613D86"/>
    <w:rsid w:val="00616665"/>
    <w:rsid w:val="00616A5F"/>
    <w:rsid w:val="00622899"/>
    <w:rsid w:val="00634B99"/>
    <w:rsid w:val="00636AEF"/>
    <w:rsid w:val="00640DE9"/>
    <w:rsid w:val="0064191A"/>
    <w:rsid w:val="006450F9"/>
    <w:rsid w:val="006510D4"/>
    <w:rsid w:val="0065359C"/>
    <w:rsid w:val="00677D14"/>
    <w:rsid w:val="00677FC4"/>
    <w:rsid w:val="00683096"/>
    <w:rsid w:val="006834F2"/>
    <w:rsid w:val="0068597F"/>
    <w:rsid w:val="006864D7"/>
    <w:rsid w:val="0069044C"/>
    <w:rsid w:val="00691ABB"/>
    <w:rsid w:val="00696904"/>
    <w:rsid w:val="006A02D4"/>
    <w:rsid w:val="006A12B4"/>
    <w:rsid w:val="006A434A"/>
    <w:rsid w:val="006A5682"/>
    <w:rsid w:val="006B0613"/>
    <w:rsid w:val="006B2831"/>
    <w:rsid w:val="006B3130"/>
    <w:rsid w:val="006B40E3"/>
    <w:rsid w:val="006B7197"/>
    <w:rsid w:val="006C69AB"/>
    <w:rsid w:val="00705182"/>
    <w:rsid w:val="00714670"/>
    <w:rsid w:val="00716644"/>
    <w:rsid w:val="00717FD2"/>
    <w:rsid w:val="00726347"/>
    <w:rsid w:val="00735638"/>
    <w:rsid w:val="00737336"/>
    <w:rsid w:val="007377F0"/>
    <w:rsid w:val="007404B8"/>
    <w:rsid w:val="00742A17"/>
    <w:rsid w:val="00746238"/>
    <w:rsid w:val="0075102B"/>
    <w:rsid w:val="00754F2C"/>
    <w:rsid w:val="007578E9"/>
    <w:rsid w:val="007672F5"/>
    <w:rsid w:val="0077067C"/>
    <w:rsid w:val="00771AD3"/>
    <w:rsid w:val="0077219A"/>
    <w:rsid w:val="00781522"/>
    <w:rsid w:val="00796BE7"/>
    <w:rsid w:val="007A0C2F"/>
    <w:rsid w:val="007A15D4"/>
    <w:rsid w:val="007A261A"/>
    <w:rsid w:val="007A664A"/>
    <w:rsid w:val="007B1870"/>
    <w:rsid w:val="007B6E8D"/>
    <w:rsid w:val="007B7E83"/>
    <w:rsid w:val="007C6EFC"/>
    <w:rsid w:val="007D09B9"/>
    <w:rsid w:val="007E0865"/>
    <w:rsid w:val="007E2874"/>
    <w:rsid w:val="007E32DB"/>
    <w:rsid w:val="007E5BD2"/>
    <w:rsid w:val="007F0A0B"/>
    <w:rsid w:val="007F40C3"/>
    <w:rsid w:val="00812F37"/>
    <w:rsid w:val="0081515C"/>
    <w:rsid w:val="008153AD"/>
    <w:rsid w:val="00827895"/>
    <w:rsid w:val="0083620A"/>
    <w:rsid w:val="00836944"/>
    <w:rsid w:val="008408DC"/>
    <w:rsid w:val="00841E4F"/>
    <w:rsid w:val="00843DD7"/>
    <w:rsid w:val="00852880"/>
    <w:rsid w:val="00865958"/>
    <w:rsid w:val="0087505E"/>
    <w:rsid w:val="00880B3C"/>
    <w:rsid w:val="0088116C"/>
    <w:rsid w:val="0088255E"/>
    <w:rsid w:val="00882D1C"/>
    <w:rsid w:val="0088336D"/>
    <w:rsid w:val="008B5CFA"/>
    <w:rsid w:val="008C7F32"/>
    <w:rsid w:val="008E56D7"/>
    <w:rsid w:val="008E5DEC"/>
    <w:rsid w:val="008F64FA"/>
    <w:rsid w:val="008F6940"/>
    <w:rsid w:val="008F797F"/>
    <w:rsid w:val="00911AD2"/>
    <w:rsid w:val="00921002"/>
    <w:rsid w:val="0093033C"/>
    <w:rsid w:val="00933644"/>
    <w:rsid w:val="00943AEE"/>
    <w:rsid w:val="0094563F"/>
    <w:rsid w:val="009469B9"/>
    <w:rsid w:val="0095694F"/>
    <w:rsid w:val="00960CAF"/>
    <w:rsid w:val="00963C7D"/>
    <w:rsid w:val="00967AF4"/>
    <w:rsid w:val="00975239"/>
    <w:rsid w:val="009921A1"/>
    <w:rsid w:val="00993A9F"/>
    <w:rsid w:val="00995651"/>
    <w:rsid w:val="0099565A"/>
    <w:rsid w:val="009A0127"/>
    <w:rsid w:val="009A0CB1"/>
    <w:rsid w:val="009A1E06"/>
    <w:rsid w:val="009A1E0C"/>
    <w:rsid w:val="009A54A3"/>
    <w:rsid w:val="009B24C4"/>
    <w:rsid w:val="009B4AD8"/>
    <w:rsid w:val="009E4195"/>
    <w:rsid w:val="009F5BFF"/>
    <w:rsid w:val="00A01E70"/>
    <w:rsid w:val="00A06C65"/>
    <w:rsid w:val="00A16E75"/>
    <w:rsid w:val="00A23227"/>
    <w:rsid w:val="00A31895"/>
    <w:rsid w:val="00A35737"/>
    <w:rsid w:val="00A40DE6"/>
    <w:rsid w:val="00A43051"/>
    <w:rsid w:val="00A46585"/>
    <w:rsid w:val="00A50992"/>
    <w:rsid w:val="00A53535"/>
    <w:rsid w:val="00A54CFF"/>
    <w:rsid w:val="00A64240"/>
    <w:rsid w:val="00A6592B"/>
    <w:rsid w:val="00A66641"/>
    <w:rsid w:val="00A7004C"/>
    <w:rsid w:val="00A7076D"/>
    <w:rsid w:val="00A71D62"/>
    <w:rsid w:val="00A72D70"/>
    <w:rsid w:val="00A75C7F"/>
    <w:rsid w:val="00A76EB5"/>
    <w:rsid w:val="00A83433"/>
    <w:rsid w:val="00A84759"/>
    <w:rsid w:val="00A85CDC"/>
    <w:rsid w:val="00A91018"/>
    <w:rsid w:val="00A919C9"/>
    <w:rsid w:val="00A91C2F"/>
    <w:rsid w:val="00A91CE5"/>
    <w:rsid w:val="00A92D0B"/>
    <w:rsid w:val="00A9703A"/>
    <w:rsid w:val="00AA269E"/>
    <w:rsid w:val="00AA621A"/>
    <w:rsid w:val="00AB761D"/>
    <w:rsid w:val="00AD185D"/>
    <w:rsid w:val="00AD5996"/>
    <w:rsid w:val="00AD5E1F"/>
    <w:rsid w:val="00AE3CDB"/>
    <w:rsid w:val="00AE42AC"/>
    <w:rsid w:val="00AF43AF"/>
    <w:rsid w:val="00B0018F"/>
    <w:rsid w:val="00B00FD3"/>
    <w:rsid w:val="00B055E9"/>
    <w:rsid w:val="00B1201C"/>
    <w:rsid w:val="00B143E5"/>
    <w:rsid w:val="00B16CA7"/>
    <w:rsid w:val="00B24094"/>
    <w:rsid w:val="00B241B8"/>
    <w:rsid w:val="00B24BF0"/>
    <w:rsid w:val="00B40098"/>
    <w:rsid w:val="00B40EAC"/>
    <w:rsid w:val="00B55D80"/>
    <w:rsid w:val="00B56075"/>
    <w:rsid w:val="00B618A3"/>
    <w:rsid w:val="00B6469D"/>
    <w:rsid w:val="00B7036D"/>
    <w:rsid w:val="00B7151C"/>
    <w:rsid w:val="00B73BF2"/>
    <w:rsid w:val="00B73E48"/>
    <w:rsid w:val="00B73E49"/>
    <w:rsid w:val="00B73EE3"/>
    <w:rsid w:val="00B84C84"/>
    <w:rsid w:val="00B87621"/>
    <w:rsid w:val="00B91631"/>
    <w:rsid w:val="00B919EE"/>
    <w:rsid w:val="00B9228D"/>
    <w:rsid w:val="00BB188E"/>
    <w:rsid w:val="00BC4163"/>
    <w:rsid w:val="00BC4C9C"/>
    <w:rsid w:val="00BD567C"/>
    <w:rsid w:val="00BF2DA4"/>
    <w:rsid w:val="00C00369"/>
    <w:rsid w:val="00C03585"/>
    <w:rsid w:val="00C04DA0"/>
    <w:rsid w:val="00C06B93"/>
    <w:rsid w:val="00C12DC6"/>
    <w:rsid w:val="00C20163"/>
    <w:rsid w:val="00C2533F"/>
    <w:rsid w:val="00C26463"/>
    <w:rsid w:val="00C3059C"/>
    <w:rsid w:val="00C31879"/>
    <w:rsid w:val="00C3318C"/>
    <w:rsid w:val="00C35BE5"/>
    <w:rsid w:val="00C377C8"/>
    <w:rsid w:val="00C42703"/>
    <w:rsid w:val="00C44889"/>
    <w:rsid w:val="00C52A4F"/>
    <w:rsid w:val="00C5453A"/>
    <w:rsid w:val="00C550FB"/>
    <w:rsid w:val="00C6001C"/>
    <w:rsid w:val="00C62AB2"/>
    <w:rsid w:val="00C647BF"/>
    <w:rsid w:val="00C65E56"/>
    <w:rsid w:val="00C756E3"/>
    <w:rsid w:val="00C75A59"/>
    <w:rsid w:val="00C769F5"/>
    <w:rsid w:val="00C8169A"/>
    <w:rsid w:val="00C86A17"/>
    <w:rsid w:val="00C91A17"/>
    <w:rsid w:val="00C9448B"/>
    <w:rsid w:val="00C95299"/>
    <w:rsid w:val="00CC3E3E"/>
    <w:rsid w:val="00CC583A"/>
    <w:rsid w:val="00CC620B"/>
    <w:rsid w:val="00CC7C4F"/>
    <w:rsid w:val="00CD276E"/>
    <w:rsid w:val="00CD3734"/>
    <w:rsid w:val="00CD3D6C"/>
    <w:rsid w:val="00CD6769"/>
    <w:rsid w:val="00CE5718"/>
    <w:rsid w:val="00CF110B"/>
    <w:rsid w:val="00CF4F2F"/>
    <w:rsid w:val="00D0349D"/>
    <w:rsid w:val="00D03E4B"/>
    <w:rsid w:val="00D069B5"/>
    <w:rsid w:val="00D07148"/>
    <w:rsid w:val="00D0731F"/>
    <w:rsid w:val="00D0783A"/>
    <w:rsid w:val="00D176F7"/>
    <w:rsid w:val="00D241FA"/>
    <w:rsid w:val="00D2476C"/>
    <w:rsid w:val="00D2661C"/>
    <w:rsid w:val="00D27FA0"/>
    <w:rsid w:val="00D34117"/>
    <w:rsid w:val="00D3573A"/>
    <w:rsid w:val="00D42F5C"/>
    <w:rsid w:val="00D43034"/>
    <w:rsid w:val="00D4781D"/>
    <w:rsid w:val="00D55244"/>
    <w:rsid w:val="00D55B51"/>
    <w:rsid w:val="00D578B8"/>
    <w:rsid w:val="00D631BB"/>
    <w:rsid w:val="00D638AA"/>
    <w:rsid w:val="00D71D85"/>
    <w:rsid w:val="00DA7E2A"/>
    <w:rsid w:val="00DB5426"/>
    <w:rsid w:val="00DB555D"/>
    <w:rsid w:val="00DC08DE"/>
    <w:rsid w:val="00DC1742"/>
    <w:rsid w:val="00DD0C53"/>
    <w:rsid w:val="00DD578B"/>
    <w:rsid w:val="00DE2FE0"/>
    <w:rsid w:val="00DF6F03"/>
    <w:rsid w:val="00E13B16"/>
    <w:rsid w:val="00E2204A"/>
    <w:rsid w:val="00E238FB"/>
    <w:rsid w:val="00E32AA0"/>
    <w:rsid w:val="00E40787"/>
    <w:rsid w:val="00E41BA0"/>
    <w:rsid w:val="00E43759"/>
    <w:rsid w:val="00E4430D"/>
    <w:rsid w:val="00E44D01"/>
    <w:rsid w:val="00E459D6"/>
    <w:rsid w:val="00E47D01"/>
    <w:rsid w:val="00E55303"/>
    <w:rsid w:val="00E6229B"/>
    <w:rsid w:val="00E63729"/>
    <w:rsid w:val="00E80DED"/>
    <w:rsid w:val="00E85293"/>
    <w:rsid w:val="00E867E6"/>
    <w:rsid w:val="00E86E09"/>
    <w:rsid w:val="00E901D2"/>
    <w:rsid w:val="00E95B4B"/>
    <w:rsid w:val="00E97485"/>
    <w:rsid w:val="00E977D9"/>
    <w:rsid w:val="00EA33C0"/>
    <w:rsid w:val="00EA476A"/>
    <w:rsid w:val="00EA6456"/>
    <w:rsid w:val="00EB3F9A"/>
    <w:rsid w:val="00EC42FC"/>
    <w:rsid w:val="00EC587E"/>
    <w:rsid w:val="00EC71C7"/>
    <w:rsid w:val="00ED4470"/>
    <w:rsid w:val="00EE25BB"/>
    <w:rsid w:val="00EE4FA2"/>
    <w:rsid w:val="00EF091C"/>
    <w:rsid w:val="00EF1EB5"/>
    <w:rsid w:val="00EF6D37"/>
    <w:rsid w:val="00F041F3"/>
    <w:rsid w:val="00F06C52"/>
    <w:rsid w:val="00F13300"/>
    <w:rsid w:val="00F15260"/>
    <w:rsid w:val="00F172E3"/>
    <w:rsid w:val="00F17C28"/>
    <w:rsid w:val="00F20148"/>
    <w:rsid w:val="00F20FCB"/>
    <w:rsid w:val="00F264D0"/>
    <w:rsid w:val="00F4327A"/>
    <w:rsid w:val="00F4418D"/>
    <w:rsid w:val="00F45BF5"/>
    <w:rsid w:val="00F46186"/>
    <w:rsid w:val="00F47836"/>
    <w:rsid w:val="00F51147"/>
    <w:rsid w:val="00F562B4"/>
    <w:rsid w:val="00F6584A"/>
    <w:rsid w:val="00F65A53"/>
    <w:rsid w:val="00F65EDC"/>
    <w:rsid w:val="00F705F3"/>
    <w:rsid w:val="00F72873"/>
    <w:rsid w:val="00F7648C"/>
    <w:rsid w:val="00F82617"/>
    <w:rsid w:val="00F94569"/>
    <w:rsid w:val="00F94B67"/>
    <w:rsid w:val="00FA3C29"/>
    <w:rsid w:val="00FA419B"/>
    <w:rsid w:val="00FA717E"/>
    <w:rsid w:val="00FD1708"/>
    <w:rsid w:val="00FE4EF2"/>
    <w:rsid w:val="00FE5E9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3CDB"/>
    <w:pPr>
      <w:framePr w:wrap="auto"/>
      <w:widowControl/>
      <w:autoSpaceDE/>
      <w:autoSpaceDN/>
      <w:adjustRightInd/>
      <w:spacing w:before="12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spacing w:before="0"/>
      <w:jc w:val="center"/>
      <w:outlineLvl w:val="0"/>
    </w:pPr>
    <w:rPr>
      <w:lang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spacing w:before="0"/>
      <w:jc w:val="center"/>
      <w:outlineLvl w:val="2"/>
    </w:pPr>
    <w:rPr>
      <w:rFonts w:ascii="Arial" w:hAnsi="Arial" w:cs="Arial"/>
      <w:b/>
      <w:bCs/>
      <w:sz w:val="22"/>
      <w:szCs w:val="22"/>
      <w:lang w:eastAsia="cs-CZ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spacing w:before="0"/>
      <w:jc w:val="center"/>
      <w:outlineLvl w:val="6"/>
    </w:pPr>
    <w:rPr>
      <w:b/>
      <w:bCs/>
      <w:sz w:val="28"/>
      <w:szCs w:val="28"/>
      <w:lang w:eastAsia="cs-CZ"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spacing w:before="0"/>
      <w:jc w:val="center"/>
      <w:outlineLvl w:val="7"/>
    </w:pPr>
    <w:rPr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cs-CZ"/>
    </w:rPr>
  </w:style>
  <w:style w:type="paragraph" w:styleId="EnvelopeReturn">
    <w:name w:val="envelope return"/>
    <w:basedOn w:val="Normal"/>
    <w:uiPriority w:val="99"/>
    <w:pPr>
      <w:spacing w:before="0"/>
      <w:jc w:val="left"/>
    </w:pPr>
    <w:rPr>
      <w:b/>
      <w:bCs/>
      <w:shadow/>
      <w:color w:val="000000"/>
      <w:sz w:val="20"/>
      <w:szCs w:val="20"/>
      <w:lang w:eastAsia="cs-CZ"/>
    </w:rPr>
  </w:style>
  <w:style w:type="paragraph" w:styleId="Title">
    <w:name w:val="Title"/>
    <w:basedOn w:val="Normal"/>
    <w:link w:val="Nzov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x-none" w:eastAsia="cs-CZ"/>
    </w:rPr>
  </w:style>
  <w:style w:type="paragraph" w:customStyle="1" w:styleId="CM29">
    <w:name w:val="CM29"/>
    <w:basedOn w:val="Normal"/>
    <w:next w:val="Normal"/>
    <w:uiPriority w:val="99"/>
    <w:pPr>
      <w:widowControl w:val="0"/>
      <w:autoSpaceDE w:val="0"/>
      <w:autoSpaceDN w:val="0"/>
      <w:spacing w:before="0" w:after="193"/>
      <w:jc w:val="left"/>
    </w:pPr>
    <w:rPr>
      <w:rFonts w:ascii="EU Albertina" w:hAnsi="EU Albertina" w:cs="EU Albertina"/>
      <w:sz w:val="20"/>
      <w:szCs w:val="20"/>
      <w:lang w:val="cs-CZ" w:eastAsia="cs-CZ"/>
    </w:rPr>
  </w:style>
  <w:style w:type="paragraph" w:customStyle="1" w:styleId="Default">
    <w:name w:val="Default"/>
    <w:uiPriority w:val="99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="EU Albertina" w:hAnsi="EU Albertina" w:cs="EU Albertina"/>
      <w:color w:val="000000"/>
      <w:sz w:val="20"/>
      <w:szCs w:val="20"/>
      <w:rtl w:val="0"/>
      <w:cs w:val="0"/>
      <w:lang w:val="cs-CZ" w:eastAsia="cs-CZ" w:bidi="ar-SA"/>
    </w:rPr>
  </w:style>
  <w:style w:type="paragraph" w:customStyle="1" w:styleId="CM28">
    <w:name w:val="CM28"/>
    <w:basedOn w:val="Default"/>
    <w:next w:val="Default"/>
    <w:uiPriority w:val="99"/>
    <w:pPr>
      <w:spacing w:after="385"/>
      <w:jc w:val="lef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jc w:val="lef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75"/>
      <w:jc w:val="lef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numPr>
        <w:numId w:val="1"/>
      </w:numPr>
      <w:tabs>
        <w:tab w:val="num" w:pos="1080"/>
      </w:tabs>
      <w:spacing w:after="70"/>
      <w:ind w:left="1080" w:hanging="360"/>
      <w:jc w:val="left"/>
    </w:pPr>
    <w:rPr>
      <w:color w:val="auto"/>
      <w:lang w:val="sk-SK"/>
    </w:rPr>
  </w:style>
  <w:style w:type="paragraph" w:customStyle="1" w:styleId="CM14">
    <w:name w:val="CM14"/>
    <w:basedOn w:val="Default"/>
    <w:next w:val="Default"/>
    <w:uiPriority w:val="99"/>
    <w:pPr>
      <w:spacing w:line="220" w:lineRule="atLeast"/>
      <w:jc w:val="lef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13" w:lineRule="atLeast"/>
      <w:jc w:val="lef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313"/>
      <w:jc w:val="lef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443"/>
      <w:jc w:val="lef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03" w:lineRule="atLeast"/>
      <w:jc w:val="left"/>
    </w:pPr>
    <w:rPr>
      <w:color w:val="auto"/>
    </w:rPr>
  </w:style>
  <w:style w:type="paragraph" w:styleId="FootnoteText">
    <w:name w:val="footnote text"/>
    <w:basedOn w:val="Normal"/>
    <w:link w:val="TextpoznmkypodiarouChar"/>
    <w:uiPriority w:val="99"/>
    <w:semiHidden/>
    <w:pPr>
      <w:autoSpaceDE w:val="0"/>
      <w:autoSpaceDN w:val="0"/>
      <w:spacing w:before="0"/>
      <w:jc w:val="left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customStyle="1" w:styleId="CM33">
    <w:name w:val="CM33"/>
    <w:basedOn w:val="Default"/>
    <w:next w:val="Default"/>
    <w:uiPriority w:val="99"/>
    <w:pPr>
      <w:spacing w:after="663"/>
      <w:jc w:val="lef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748"/>
      <w:jc w:val="lef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525"/>
      <w:jc w:val="lef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08" w:lineRule="atLeast"/>
      <w:jc w:val="lef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228"/>
      <w:jc w:val="lef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196" w:lineRule="atLeast"/>
      <w:jc w:val="lef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593"/>
      <w:jc w:val="left"/>
    </w:pPr>
    <w:rPr>
      <w:color w:val="auto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before="0" w:after="120"/>
      <w:jc w:val="left"/>
    </w:pPr>
    <w:rPr>
      <w:lang w:eastAsia="ko-KR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pPr>
      <w:spacing w:before="0"/>
      <w:ind w:left="709" w:hanging="283"/>
      <w:jc w:val="both"/>
    </w:pPr>
    <w:rPr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pPr>
      <w:tabs>
        <w:tab w:val="left" w:pos="480"/>
        <w:tab w:val="left" w:pos="720"/>
        <w:tab w:val="left" w:pos="960"/>
      </w:tabs>
      <w:jc w:val="both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480"/>
        <w:tab w:val="left" w:pos="720"/>
      </w:tabs>
      <w:ind w:left="720" w:hanging="720"/>
      <w:jc w:val="both"/>
    </w:pPr>
    <w:rPr>
      <w:rFonts w:ascii="Arial" w:hAnsi="Arial" w:cs="Arial"/>
      <w:sz w:val="22"/>
      <w:szCs w:val="22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Indent3">
    <w:name w:val="Body Text Indent 3"/>
    <w:basedOn w:val="Normal"/>
    <w:link w:val="Zarkazkladnhotextu3Char"/>
    <w:uiPriority w:val="99"/>
    <w:pPr>
      <w:tabs>
        <w:tab w:val="left" w:pos="480"/>
        <w:tab w:val="left" w:pos="720"/>
        <w:tab w:val="left" w:pos="960"/>
      </w:tabs>
      <w:ind w:left="480" w:hanging="48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5B5FAC"/>
    <w:pPr>
      <w:tabs>
        <w:tab w:val="center" w:pos="4536"/>
        <w:tab w:val="right" w:pos="9072"/>
      </w:tabs>
      <w:spacing w:before="0"/>
      <w:jc w:val="left"/>
    </w:pPr>
    <w:rPr>
      <w:sz w:val="20"/>
      <w:szCs w:val="20"/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5B5FAC"/>
    <w:rPr>
      <w:rFonts w:cs="Times New Roman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1D00F4"/>
    <w:pPr>
      <w:widowControl/>
      <w:adjustRightInd w:val="0"/>
      <w:jc w:val="left"/>
    </w:pPr>
    <w:rPr>
      <w:rFonts w:ascii="EUAlbertina" w:hAnsi="EUAlbertina" w:cs="EUAlbertina"/>
      <w:color w:val="auto"/>
      <w:sz w:val="24"/>
      <w:szCs w:val="24"/>
      <w:lang w:val="sk-SK" w:eastAsia="sk-SK"/>
    </w:rPr>
  </w:style>
  <w:style w:type="paragraph" w:customStyle="1" w:styleId="CM4">
    <w:name w:val="CM4"/>
    <w:basedOn w:val="Default"/>
    <w:next w:val="Default"/>
    <w:uiPriority w:val="99"/>
    <w:rsid w:val="001D00F4"/>
    <w:pPr>
      <w:widowControl/>
      <w:adjustRightInd w:val="0"/>
      <w:jc w:val="left"/>
    </w:pPr>
    <w:rPr>
      <w:rFonts w:ascii="EUAlbertina" w:hAnsi="EUAlbertina" w:cs="EUAlbertina"/>
      <w:color w:val="auto"/>
      <w:sz w:val="24"/>
      <w:szCs w:val="24"/>
      <w:lang w:val="sk-SK" w:eastAsia="sk-SK"/>
    </w:rPr>
  </w:style>
  <w:style w:type="character" w:styleId="Strong">
    <w:name w:val="Strong"/>
    <w:basedOn w:val="DefaultParagraphFont"/>
    <w:uiPriority w:val="22"/>
    <w:qFormat/>
    <w:rsid w:val="005A3E1C"/>
    <w:rPr>
      <w:rFonts w:cs="Times New Roman"/>
      <w:b/>
      <w:rtl w:val="0"/>
      <w:cs w:val="0"/>
    </w:rPr>
  </w:style>
  <w:style w:type="paragraph" w:customStyle="1" w:styleId="doc-ti">
    <w:name w:val="doc-ti"/>
    <w:basedOn w:val="Normal"/>
    <w:rsid w:val="00AE3CDB"/>
    <w:pPr>
      <w:spacing w:before="240" w:after="120"/>
      <w:jc w:val="center"/>
    </w:pPr>
    <w:rPr>
      <w:b/>
      <w:bCs/>
    </w:rPr>
  </w:style>
  <w:style w:type="paragraph" w:customStyle="1" w:styleId="ti-grseq-1">
    <w:name w:val="ti-grseq-1"/>
    <w:basedOn w:val="Normal"/>
    <w:rsid w:val="00AE3CDB"/>
    <w:pPr>
      <w:spacing w:before="240" w:after="120"/>
      <w:jc w:val="both"/>
    </w:pPr>
    <w:rPr>
      <w:b/>
      <w:bCs/>
    </w:rPr>
  </w:style>
  <w:style w:type="character" w:customStyle="1" w:styleId="bold">
    <w:name w:val="bold"/>
    <w:rsid w:val="00AE3CDB"/>
    <w:rPr>
      <w:b/>
    </w:rPr>
  </w:style>
  <w:style w:type="character" w:customStyle="1" w:styleId="italic">
    <w:name w:val="italic"/>
    <w:rsid w:val="00AE3CDB"/>
    <w:rPr>
      <w:i/>
    </w:rPr>
  </w:style>
  <w:style w:type="character" w:customStyle="1" w:styleId="super">
    <w:name w:val="super"/>
    <w:rsid w:val="00AE3CDB"/>
    <w:rPr>
      <w:sz w:val="17"/>
      <w:vertAlign w:val="superscript"/>
    </w:rPr>
  </w:style>
  <w:style w:type="character" w:customStyle="1" w:styleId="expanded">
    <w:name w:val="expanded"/>
    <w:rsid w:val="00AE3CDB"/>
  </w:style>
  <w:style w:type="character" w:styleId="Hyperlink">
    <w:name w:val="Hyperlink"/>
    <w:basedOn w:val="DefaultParagraphFont"/>
    <w:uiPriority w:val="99"/>
    <w:semiHidden/>
    <w:unhideWhenUsed/>
    <w:rsid w:val="00AE3CDB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-lex.europa.eu/legal-content/SK/TXT/HTML/?uri=CELEX:32014L0100&amp;rid=1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10</Pages>
  <Words>2790</Words>
  <Characters>15903</Characters>
  <Application>Microsoft Office Word</Application>
  <DocSecurity>0</DocSecurity>
  <Lines>0</Lines>
  <Paragraphs>0</Paragraphs>
  <ScaleCrop>false</ScaleCrop>
  <Company>MDPT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Mrkva</dc:creator>
  <cp:lastModifiedBy>Zemanová, Ivana</cp:lastModifiedBy>
  <cp:revision>3</cp:revision>
  <cp:lastPrinted>2005-12-06T10:13:00Z</cp:lastPrinted>
  <dcterms:created xsi:type="dcterms:W3CDTF">2015-04-17T12:55:00Z</dcterms:created>
  <dcterms:modified xsi:type="dcterms:W3CDTF">2015-04-23T14:53:00Z</dcterms:modified>
</cp:coreProperties>
</file>