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7752" w:rsidRPr="003F0795">
      <w:pPr>
        <w:pStyle w:val="Heading7"/>
        <w:bidi w:val="0"/>
        <w:rPr>
          <w:rFonts w:ascii="Times New Roman" w:hAnsi="Times New Roman"/>
          <w:sz w:val="20"/>
          <w:szCs w:val="20"/>
        </w:rPr>
      </w:pPr>
      <w:r w:rsidRPr="003F0795">
        <w:rPr>
          <w:rFonts w:ascii="Times New Roman" w:hAnsi="Times New Roman"/>
          <w:sz w:val="20"/>
          <w:szCs w:val="20"/>
        </w:rPr>
        <w:t>TABUĽKA  ZHODY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 w:rsidRPr="003F0795">
        <w:rPr>
          <w:rFonts w:ascii="Times New Roman" w:hAnsi="Times New Roman"/>
          <w:b/>
          <w:bCs/>
          <w:sz w:val="20"/>
          <w:szCs w:val="20"/>
          <w:lang w:eastAsia="cs-CZ"/>
        </w:rPr>
        <w:t>právneho predpisu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 w:rsidRPr="003F0795">
        <w:rPr>
          <w:rFonts w:ascii="Times New Roman" w:hAnsi="Times New Roman"/>
          <w:b/>
          <w:bCs/>
          <w:sz w:val="20"/>
          <w:szCs w:val="20"/>
          <w:lang w:eastAsia="cs-CZ"/>
        </w:rPr>
        <w:t>s právom Európskych spoločenstiev a právom Európskej únie</w:t>
      </w:r>
    </w:p>
    <w:p w:rsidR="00537752" w:rsidRPr="003F0795">
      <w:pPr>
        <w:bidi w:val="0"/>
        <w:spacing w:before="0"/>
        <w:jc w:val="center"/>
        <w:rPr>
          <w:rFonts w:ascii="Times New Roman" w:hAnsi="Times New Roman"/>
          <w:sz w:val="20"/>
          <w:szCs w:val="20"/>
          <w:lang w:eastAsia="cs-CZ"/>
        </w:rPr>
      </w:pPr>
    </w:p>
    <w:tbl>
      <w:tblPr>
        <w:tblStyle w:val="TableNormal"/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5245"/>
        <w:gridCol w:w="567"/>
        <w:gridCol w:w="1276"/>
        <w:gridCol w:w="708"/>
        <w:gridCol w:w="4962"/>
        <w:gridCol w:w="708"/>
        <w:gridCol w:w="567"/>
      </w:tblGrid>
      <w:tr>
        <w:tblPrEx>
          <w:tblW w:w="1474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 w:rsidRPr="003F0795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D069B5">
              <w:rPr>
                <w:rFonts w:ascii="Times New Roman" w:hAnsi="Times New Roman"/>
                <w:sz w:val="20"/>
                <w:szCs w:val="20"/>
              </w:rPr>
              <w:t>Smernica</w:t>
            </w:r>
          </w:p>
          <w:p w:rsidR="004C6377" w:rsidRPr="003F079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6377" w:rsidRPr="003F0795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795" w:rsidR="00A84759">
              <w:rPr>
                <w:rFonts w:ascii="Times New Roman" w:hAnsi="Times New Roman"/>
                <w:sz w:val="20"/>
                <w:szCs w:val="20"/>
              </w:rPr>
              <w:t>Právne predpisy Slovenskej republiky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8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Článok </w:t>
            </w:r>
          </w:p>
          <w:p w:rsidR="0099565A" w:rsidRPr="003F0795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(Č,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FA419B" w:rsidP="008408DC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k-SK" w:eastAsia="sk-SK"/>
              </w:rPr>
            </w:pPr>
            <w:r w:rsidRPr="00FA419B" w:rsidR="001D00F4">
              <w:rPr>
                <w:b/>
                <w:bCs/>
              </w:rPr>
              <w:t xml:space="preserve">SMERNICA </w:t>
            </w:r>
            <w:r w:rsidR="001E4917">
              <w:rPr>
                <w:b/>
                <w:bCs/>
              </w:rPr>
              <w:t>KOMISIE 2014/100/EÚ</w:t>
            </w:r>
            <w:r w:rsidRPr="00FA419B" w:rsidR="001D00F4">
              <w:rPr>
                <w:b/>
                <w:bCs/>
              </w:rPr>
              <w:t xml:space="preserve"> </w:t>
            </w:r>
            <w:r w:rsidR="001E4917">
              <w:rPr>
                <w:b/>
                <w:bCs/>
              </w:rPr>
              <w:t xml:space="preserve"> z 28. októbra 2014, </w:t>
            </w:r>
            <w:r w:rsidR="008408DC">
              <w:rPr>
                <w:b/>
                <w:bCs/>
              </w:rPr>
              <w:t>kto</w:t>
            </w:r>
            <w:r w:rsidR="001E4917">
              <w:rPr>
                <w:b/>
                <w:bCs/>
              </w:rPr>
              <w:t>rou sa mení</w:t>
            </w:r>
            <w:r w:rsidR="001E4917">
              <w:rPr>
                <w:b/>
                <w:bCs/>
                <w:lang w:eastAsia="sk-SK"/>
              </w:rPr>
              <w:t xml:space="preserve"> smernica Európského parlamentu a Rady</w:t>
            </w:r>
            <w:r w:rsidRPr="00FA419B" w:rsidR="00FA419B">
              <w:rPr>
                <w:b/>
                <w:bCs/>
                <w:lang w:eastAsia="sk-SK"/>
              </w:rPr>
              <w:t xml:space="preserve"> 2002/59/ES, ktorou sa zriaďuje monitorovací a informačný systém Spoločenstva pre lodnú dopravu </w:t>
            </w:r>
            <w:r w:rsidRPr="00FA419B" w:rsidR="001D00F4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Spôsob</w:t>
            </w:r>
          </w:p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transpo-zície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8408D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8408DC">
              <w:rPr>
                <w:rFonts w:ascii="Times New Roman" w:hAnsi="Times New Roman"/>
                <w:b w:val="0"/>
                <w:bCs w:val="0"/>
                <w:shadow w:val="0"/>
              </w:rPr>
              <w:t>Článok (Č, §, O, V, P)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6904" w:rsidP="00C377C8">
            <w:pPr>
              <w:numPr>
                <w:numId w:val="11"/>
              </w:numPr>
              <w:tabs>
                <w:tab w:val="num" w:pos="0"/>
                <w:tab w:val="left" w:pos="355"/>
                <w:tab w:val="clear" w:pos="397"/>
              </w:tabs>
              <w:bidi w:val="0"/>
              <w:spacing w:before="0" w:after="0" w:line="240" w:lineRule="auto"/>
              <w:ind w:left="0" w:firstLine="72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Návrh zákona, ktorým sa mení a dopĺňa zákon č. 513/2009 Z. z. o dráhach a o zmene a doplnení niektorých zákonov v znení neskorších predpisov a ktorým sa menia a dopĺňajú niektoré zákony</w:t>
            </w:r>
          </w:p>
          <w:p w:rsidR="0099565A" w:rsidRPr="00E4430D" w:rsidP="00C377C8">
            <w:pPr>
              <w:numPr>
                <w:numId w:val="11"/>
              </w:numPr>
              <w:tabs>
                <w:tab w:val="num" w:pos="0"/>
                <w:tab w:val="left" w:pos="355"/>
                <w:tab w:val="clear" w:pos="397"/>
              </w:tabs>
              <w:bidi w:val="0"/>
              <w:spacing w:before="0" w:after="0" w:line="240" w:lineRule="auto"/>
              <w:ind w:left="0" w:firstLine="72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="001E4917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Z</w:t>
            </w:r>
            <w:r w:rsidRPr="00E4430D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ákon č. 435/2000 Z.</w:t>
            </w:r>
            <w:r w:rsidRPr="00E4430D" w:rsidR="00A9703A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4430D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 xml:space="preserve">z. o námornej plavbe v znení </w:t>
            </w:r>
            <w:r w:rsidR="001E4917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zákona č. 440/2010 Z. z.</w:t>
            </w:r>
          </w:p>
          <w:p w:rsidR="0099565A" w:rsidRPr="00E4430D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="00AB761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3</w:t>
            </w:r>
            <w:r w:rsidRPr="00E4430D" w:rsidR="00967AF4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. </w:t>
            </w:r>
            <w:r w:rsidR="001E4917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Nariadenie vlády Slovenskej republiky</w:t>
            </w:r>
            <w:r w:rsidRPr="00E4430D" w:rsidR="00E4430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č. 67/2007 Z.</w:t>
            </w:r>
            <w:r w:rsidR="00E4430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E4430D" w:rsidR="00E4430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z. o monitorovacom a informačnom systéme pre námornú plavbu</w:t>
            </w:r>
            <w:r w:rsidR="001E4917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 v znení neskorších predpisov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Zhoda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Poznámky</w:t>
            </w: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3F9A" w:rsidRPr="003F0795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E4917">
              <w:rPr>
                <w:rFonts w:ascii="Times New Roman" w:hAnsi="Times New Roman"/>
                <w:sz w:val="20"/>
                <w:szCs w:val="20"/>
                <w:lang w:eastAsia="cs-CZ"/>
              </w:rPr>
              <w:t>Č.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41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8408DC">
              <w:rPr>
                <w:rFonts w:ascii="Times New Roman" w:hAnsi="Times New Roman"/>
                <w:color w:val="000000"/>
                <w:sz w:val="20"/>
                <w:szCs w:val="20"/>
              </w:rPr>
              <w:t>Príloha III k smernici 2002/59/ES sa nahrádza znením v prílohe k tejto smernici.</w:t>
            </w:r>
          </w:p>
          <w:p w:rsidR="008408DC" w:rsidRPr="00EB3F9A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7AF1" w:rsidRPr="003F0795" w:rsidP="00277AF1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408DC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03A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408DC">
              <w:rPr>
                <w:rFonts w:ascii="Times New Roman" w:hAnsi="Times New Roman"/>
                <w:sz w:val="20"/>
                <w:szCs w:val="20"/>
                <w:lang w:eastAsia="cs-CZ"/>
              </w:rPr>
              <w:t>Zákon č. 435/2000 Z. z. v znení zákona č. 440/2010 Z. z.</w:t>
            </w:r>
          </w:p>
          <w:p w:rsidR="008408D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408DC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NV č. 67/2007 Z. z. v znení neskorších predpisov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D5F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="008408DC">
              <w:rPr>
                <w:rFonts w:ascii="Times New Roman" w:hAnsi="Times New Roman"/>
                <w:b w:val="0"/>
                <w:bCs w:val="0"/>
                <w:shadow w:val="0"/>
              </w:rPr>
              <w:t xml:space="preserve">§ 4 </w:t>
            </w:r>
          </w:p>
          <w:p w:rsidR="008408D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O. 10</w:t>
            </w: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8408D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§ 8a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3E1C" w:rsidP="001D00F4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8DC" w:rsidR="008408DC">
              <w:rPr>
                <w:rFonts w:ascii="Times New Roman" w:hAnsi="Times New Roman"/>
                <w:sz w:val="20"/>
                <w:szCs w:val="20"/>
              </w:rPr>
              <w:t>(10) Ministerstvo zriadi a prevádzkuje národný systém na prijímanie, ukladanie, vyhľadávanie a výmenu námorných informácií SafeSeaNet na účely námornej bezpečnosti v prístavoch a na mori, ochrany životného prostredia a efektívnosti námornej plavby. Námorné informácie, ktoré obsahuje národný systém SafeSeaNet, sú dôverného charakteru. Ministerstvo oprávňuje osoby 1bg) na prístup do tohto systému a poskytuje informácie z tohto systému na účely trestného konania a občianskoprávneho konania.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§ 8a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(1) Systém námorných informácií SafeSeaNet je elektronický systém na prijímanie, ukladanie, vyhľadávanie a výmenu elektronických námorných informácií a správ a pozostáva zo siete národných systémov SafeSeaNet a centrálnej databázy SafeSeaNet, ktoré sú navzájom prepojené.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(2) Národný systém SafeSeaNet je zriadený a prevádzkovaný podľa osobitného predpisu 12b) v súlade s technickými požiadavkami ustanovenými Európskou komisiou, je vedený v elektronickej forme a umožňuje prenos námorných informácií 24 hodín denne.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(3) Národný systém SafeSeaNet musí byť zriadený v súlade s priemyselnými štandardmi a schopný komunikovať s verejnými a súkromnými elektronickými systémami používanými na tvorbu, poskytovanie alebo prijímanie námorných informácií v rámci systému námorných informácií. Námorné informácie z národného systému SafeSeaNet musia byť použiteľné vo všetkých ohlasovacích a oznamovacích informačných systémoch, plavebnoprevádzkových, monitorovacích a informačných systémoch.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(4) Národný systém SafeSeaNet musí umožniť na požiadanie príslušného orgánu Slovenskej republiky a príslušného orgánu iného členského štátu bez zbytočného odkladu zaslanie námornej informácie získanej o lodi a o nebezpečnom alebo znečisťujúcom tovare na palube lode.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(5) Národný systém SafeSeaNet musí umožniť výmenu námorných informácií medzi používateľmi; používateľom môže byť oprávnený operátor, agent, veliteľ lode alebo zasielateľ. Národný systém SafeSeaNet zabezpečí, aby používateľom raz vložená námorná informácia do tohto systému nebola opätovne týmto systémom vyžadovaná.</w:t>
            </w:r>
          </w:p>
          <w:p w:rsidR="005A3E1C" w:rsidRPr="005A3E1C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(6) Námorné informácie, ktoré obsahuje národný systém SafeSeaNet, možno použiť len v súlade s týmto nariadením vlády.</w:t>
            </w:r>
          </w:p>
          <w:p w:rsidR="005A3E1C" w:rsidRPr="003F0795" w:rsidP="005A3E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1C">
              <w:rPr>
                <w:rFonts w:ascii="Times New Roman" w:hAnsi="Times New Roman"/>
                <w:sz w:val="20"/>
                <w:szCs w:val="20"/>
              </w:rPr>
              <w:t>(7) Správy v elektronickej forme vymieňané v súlade s týmto nariadením vlády sa zasielajú prostredníctvom národného systému SafeSeaNet.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2D5F" w:rsidRPr="003F0795" w:rsidP="004F2D5F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8408DC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E4917">
              <w:rPr>
                <w:rFonts w:ascii="Times New Roman" w:hAnsi="Times New Roman"/>
                <w:sz w:val="20"/>
                <w:szCs w:val="20"/>
                <w:lang w:eastAsia="cs-CZ"/>
              </w:rPr>
              <w:t>Č.</w:t>
            </w:r>
            <w:r w:rsidRPr="003F0795" w:rsidR="0099565A">
              <w:rPr>
                <w:rFonts w:ascii="Times New Roman" w:hAnsi="Times New Roman"/>
                <w:sz w:val="20"/>
                <w:szCs w:val="20"/>
                <w:lang w:eastAsia="cs-CZ"/>
              </w:rPr>
              <w:t>2</w:t>
            </w:r>
          </w:p>
          <w:p w:rsidR="0099565A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>O.1</w:t>
            </w:r>
            <w:r w:rsidR="001D00F4">
              <w:rPr>
                <w:rFonts w:ascii="Times New Roman" w:hAnsi="Times New Roman"/>
                <w:sz w:val="20"/>
                <w:szCs w:val="20"/>
                <w:lang w:eastAsia="cs-CZ"/>
              </w:rPr>
              <w:br/>
            </w: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RPr="003F0795" w:rsidP="001E4917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O.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3F9A" w:rsidRPr="00EB3F9A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3F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Transpozícia </w:t>
            </w:r>
          </w:p>
          <w:p w:rsidR="00EB3F9A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>1. Členské štáty uvedú do účinnosti zákony, iné právne predpisy a správne opatrenia potrebné na dosiahnutie súladu s touto smernicou</w:t>
            </w:r>
            <w:r w:rsidR="008408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najneskôr  do 18</w:t>
            </w: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>. novembra 201</w:t>
            </w:r>
            <w:r w:rsidR="008408D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5A3E1C">
              <w:rPr>
                <w:rFonts w:ascii="Times New Roman" w:hAnsi="Times New Roman"/>
                <w:color w:val="000000"/>
                <w:sz w:val="20"/>
                <w:szCs w:val="20"/>
              </w:rPr>
              <w:t>Komisii b</w:t>
            </w:r>
            <w:r w:rsidRPr="00EB3F9A" w:rsidR="005A3E1C">
              <w:rPr>
                <w:rFonts w:ascii="Times New Roman" w:hAnsi="Times New Roman"/>
                <w:color w:val="000000"/>
                <w:sz w:val="20"/>
                <w:szCs w:val="20"/>
              </w:rPr>
              <w:t>ezodkladne</w:t>
            </w:r>
            <w:r w:rsidR="005A3E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oznámia  znenie</w:t>
            </w: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týchto opatrení. </w:t>
            </w:r>
          </w:p>
          <w:p w:rsidR="00EB3F9A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Členské štáty uvedú priamo v prijatých opatreniach alebo pri ich úradnom uverejnení odkaz na túto smernicu. Podrobnosti o odkaze upravia členské štáty. </w:t>
            </w:r>
          </w:p>
          <w:p w:rsidR="00C04DA0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A3E1C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22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22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22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22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229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729B0" w:rsidRPr="00EB3F9A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B3F9A" w:rsid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Členské štáty oznámia Komisii znenie hlavných ustanovení vnútroštátnych právnych predpisov, ktoré prijmú v oblasti pôsobnosti tejto smernice.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77AF1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  <w:r w:rsidR="004C1920">
              <w:rPr>
                <w:rFonts w:ascii="Times New Roman" w:hAnsi="Times New Roman"/>
                <w:sz w:val="20"/>
                <w:szCs w:val="20"/>
                <w:lang w:eastAsia="cs-CZ"/>
              </w:rPr>
              <w:t>á</w:t>
            </w:r>
            <w:r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vrh zákona </w:t>
            </w:r>
          </w:p>
          <w:p w:rsidR="004C192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04DA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>Zákon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č. 575/2001 Z.</w:t>
            </w:r>
            <w:r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24557D" w:rsidR="00E6229B">
              <w:rPr>
                <w:rFonts w:ascii="Times New Roman" w:hAnsi="Times New Roman"/>
                <w:b w:val="0"/>
                <w:bCs w:val="0"/>
                <w:shadow w:val="0"/>
              </w:rPr>
              <w:t>Č. IX</w:t>
            </w: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E6229B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E6229B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E6229B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E6229B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E6229B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99565A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24557D" w:rsidR="005A3E1C">
              <w:rPr>
                <w:rFonts w:ascii="Times New Roman" w:hAnsi="Times New Roman"/>
                <w:b w:val="0"/>
                <w:bCs w:val="0"/>
                <w:shadow w:val="0"/>
              </w:rPr>
              <w:t>Č. VI</w:t>
            </w:r>
          </w:p>
          <w:p w:rsidR="00C04DA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24557D" w:rsidR="005A3E1C">
              <w:rPr>
                <w:rFonts w:ascii="Times New Roman" w:hAnsi="Times New Roman"/>
                <w:b w:val="0"/>
                <w:bCs w:val="0"/>
                <w:shadow w:val="0"/>
              </w:rPr>
              <w:t>Príloha č. 1</w:t>
            </w: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24557D">
              <w:rPr>
                <w:rFonts w:ascii="Times New Roman" w:hAnsi="Times New Roman"/>
                <w:b w:val="0"/>
                <w:bCs w:val="0"/>
                <w:shadow w:val="0"/>
              </w:rPr>
              <w:t xml:space="preserve">bod 19 </w:t>
            </w: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5A3E1C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4C1920" w:rsidRPr="0024557D" w:rsidP="004C192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24557D">
              <w:rPr>
                <w:rFonts w:ascii="Times New Roman" w:hAnsi="Times New Roman"/>
                <w:b w:val="0"/>
                <w:bCs w:val="0"/>
                <w:shadow w:val="0"/>
              </w:rPr>
              <w:t>§ 35 ods. 7</w:t>
            </w:r>
          </w:p>
          <w:p w:rsidR="004C1920" w:rsidRP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29B" w:rsidRPr="0024557D" w:rsidP="00E6229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24557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Čl. IX</w:t>
            </w:r>
          </w:p>
          <w:p w:rsidR="00A16E75" w:rsidRPr="00A16E75" w:rsidP="00A16E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E75">
              <w:rPr>
                <w:rFonts w:ascii="Times New Roman" w:hAnsi="Times New Roman"/>
                <w:sz w:val="20"/>
                <w:szCs w:val="20"/>
              </w:rPr>
              <w:t xml:space="preserve">Tento zákon nadobúda účinnosť 1. novembra 2015, okrem čl. I štyridsiateho tretieho bodu, § 54 ods. 5 a čl. VII tridsiateho až tridsiateho druhého bodu, ktoré nadobúdajú účinnosť 1. januára 2016. </w:t>
            </w:r>
          </w:p>
          <w:p w:rsidR="00E6229B" w:rsidRPr="0024557D" w:rsidP="00E6229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9565A" w:rsidRPr="0024557D" w:rsidP="00AA621A">
            <w:pPr>
              <w:bidi w:val="0"/>
              <w:spacing w:before="0" w:after="0" w:line="240" w:lineRule="auto"/>
              <w:ind w:firstLine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RPr="0024557D" w:rsidP="005A3E1C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4557D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Čl. VI</w:t>
              <w:br/>
            </w:r>
          </w:p>
          <w:p w:rsidR="005A3E1C" w:rsidRPr="0024557D" w:rsidP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>Zákon č. 435/2000 Z. z. o námornej plavbe v znení zákona č. 581/2003 Z.z., zákona č. 97/2007 Z.z., zákona č. 395/2008 Z.z., zákona č. 278/2009 Z.z., zákona č. 440/2010 Z.z. a zákona č. 152/2014 Z. z. sa dopĺňa takto:</w:t>
            </w:r>
          </w:p>
          <w:p w:rsidR="005A3E1C" w:rsidRPr="0024557D" w:rsidP="005A3E1C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RPr="0024557D" w:rsidP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Príloha č. 1 sa dopĺňa devätnástym </w:t>
            </w:r>
            <w:r w:rsidRPr="0024557D" w:rsidR="0024557D">
              <w:rPr>
                <w:rFonts w:ascii="Times New Roman" w:hAnsi="Times New Roman"/>
                <w:sz w:val="20"/>
                <w:szCs w:val="20"/>
                <w:lang w:eastAsia="cs-CZ"/>
              </w:rPr>
              <w:t>bodom, ktorý znie</w:t>
            </w: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>:</w:t>
            </w:r>
          </w:p>
          <w:p w:rsidR="005A3E1C" w:rsidRPr="0024557D" w:rsidP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RPr="0024557D" w:rsidP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„19. Smernica Komisie 2014/100/EÚ </w:t>
            </w:r>
            <w:r w:rsidRPr="0024557D">
              <w:rPr>
                <w:rStyle w:val="Strong"/>
                <w:rFonts w:ascii="Times New Roman" w:hAnsi="Times New Roman"/>
                <w:b w:val="0"/>
                <w:bCs/>
                <w:color w:val="444444"/>
                <w:sz w:val="20"/>
                <w:szCs w:val="20"/>
                <w:lang w:eastAsia="cs-CZ"/>
              </w:rPr>
              <w:t>z  28. októbra 2014, ktorou sa mení smernica Európskeho parlamentu a Rady 2002/59/ES, ktorou sa zriaďuje monitorovací a informačný systém Spoločenstva pre lodnú dopravu</w:t>
            </w:r>
            <w:r w:rsidRPr="0024557D">
              <w:rPr>
                <w:rStyle w:val="Strong"/>
                <w:rFonts w:ascii="Lucida Sans Unicode" w:hAnsi="Lucida Sans Unicode" w:cs="Lucida Sans Unicode"/>
                <w:bCs/>
                <w:color w:val="444444"/>
                <w:sz w:val="19"/>
                <w:szCs w:val="19"/>
                <w:lang w:eastAsia="cs-CZ"/>
              </w:rPr>
              <w:t xml:space="preserve"> </w:t>
            </w: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>(Ú. v. EÚ L 308, 29.10.2014).</w:t>
            </w:r>
            <w:r w:rsidRPr="0024557D" w:rsidR="0024557D">
              <w:rPr>
                <w:rFonts w:ascii="Times New Roman" w:hAnsi="Times New Roman"/>
                <w:sz w:val="20"/>
                <w:szCs w:val="20"/>
                <w:lang w:eastAsia="cs-CZ"/>
              </w:rPr>
              <w:t>“.</w:t>
            </w:r>
          </w:p>
          <w:p w:rsidR="005A3E1C" w:rsidRPr="0024557D" w:rsidP="00AA621A">
            <w:pPr>
              <w:bidi w:val="0"/>
              <w:spacing w:before="0" w:after="0" w:line="240" w:lineRule="auto"/>
              <w:ind w:firstLine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A3E1C" w:rsidRPr="0024557D" w:rsidP="005A3E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4C1920" w:rsidRPr="0024557D" w:rsidP="00AA621A">
            <w:pPr>
              <w:bidi w:val="0"/>
              <w:spacing w:before="0" w:after="0" w:line="240" w:lineRule="auto"/>
              <w:ind w:firstLine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4557D" w:rsidR="005A3E1C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Pr="0024557D">
              <w:rPr>
                <w:rFonts w:ascii="Times New Roman" w:hAnsi="Times New Roman"/>
                <w:sz w:val="20"/>
                <w:szCs w:val="20"/>
                <w:lang w:eastAsia="cs-CZ"/>
              </w:rPr>
              <w:t>(7) 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 w:rsidP="00277AF1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77AF1"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E4917">
              <w:rPr>
                <w:rFonts w:ascii="Times New Roman" w:hAnsi="Times New Roman"/>
                <w:sz w:val="20"/>
                <w:szCs w:val="20"/>
                <w:lang w:eastAsia="cs-CZ"/>
              </w:rPr>
              <w:t>Č.</w:t>
            </w: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</w:p>
          <w:p w:rsidR="00BD567C" w:rsidRPr="003F0795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3F9A" w:rsidRPr="00245D45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>Táto smernica nadobúda úč</w:t>
            </w:r>
            <w:r w:rsidR="00622899">
              <w:rPr>
                <w:rFonts w:ascii="Times New Roman" w:hAnsi="Times New Roman"/>
                <w:color w:val="000000"/>
                <w:sz w:val="20"/>
                <w:szCs w:val="20"/>
              </w:rPr>
              <w:t>innosť dvadsiatym</w:t>
            </w:r>
            <w:r w:rsidRP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dňom po jej uverejnení v Úradnom vestníku Európskej únie.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219" w:rsidRPr="003F0795" w:rsidP="00245D4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B2679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D71" w:rsidRPr="003F0795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 w:rsidP="001D0D71">
            <w:pPr>
              <w:pStyle w:val="BodyText"/>
              <w:tabs>
                <w:tab w:val="left" w:pos="0"/>
              </w:tabs>
              <w:autoSpaceDE w:val="0"/>
              <w:autoSpaceDN w:val="0"/>
              <w:bidi w:val="0"/>
              <w:spacing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 w:rsidP="00245D4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B2679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565A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E4917">
              <w:rPr>
                <w:rFonts w:ascii="Times New Roman" w:hAnsi="Times New Roman"/>
                <w:sz w:val="20"/>
                <w:szCs w:val="20"/>
                <w:lang w:eastAsia="cs-CZ"/>
              </w:rPr>
              <w:t>Č.</w:t>
            </w:r>
            <w:r w:rsidRPr="003F0795">
              <w:rPr>
                <w:rFonts w:ascii="Times New Roman" w:hAnsi="Times New Roman"/>
                <w:sz w:val="20"/>
                <w:szCs w:val="20"/>
                <w:lang w:eastAsia="cs-CZ"/>
              </w:rPr>
              <w:t>4</w:t>
            </w:r>
          </w:p>
          <w:p w:rsidR="00BD567C" w:rsidRPr="003F0795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2899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3F9A" w:rsid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Táto smernica je určená členským štátom. </w:t>
            </w:r>
          </w:p>
          <w:p w:rsidR="00EB3F9A" w:rsidRPr="00245D45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 w:rsidP="00245D4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B2679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 w:rsidP="00640DE9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 w:rsidP="00245D45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1B2679">
              <w:rPr>
                <w:rFonts w:ascii="Times New Roman" w:hAnsi="Times New Roman"/>
                <w:sz w:val="20"/>
                <w:szCs w:val="20"/>
                <w:lang w:eastAsia="cs-CZ"/>
              </w:rPr>
              <w:t>n. 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67C" w:rsidRPr="003F079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>
        <w:tblPrEx>
          <w:tblW w:w="1474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AE3CDB" w:rsidP="00D069B5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 w:rsidR="001D01E7">
              <w:rPr>
                <w:rFonts w:ascii="Times New Roman" w:hAnsi="Times New Roman"/>
                <w:sz w:val="20"/>
                <w:szCs w:val="20"/>
                <w:lang w:eastAsia="cs-CZ"/>
              </w:rPr>
              <w:t>Príloha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CDB" w:rsidRPr="00AE3CDB" w:rsidP="00AE3CDB">
            <w:pPr>
              <w:pStyle w:val="doc-ti"/>
              <w:bidi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 w:rsidR="00EB3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„PRÍLOHA III</w:t>
            </w:r>
          </w:p>
          <w:p w:rsidR="00AE3CDB" w:rsidRPr="00AE3CDB" w:rsidP="00AE3CDB">
            <w:pPr>
              <w:bidi w:val="0"/>
              <w:spacing w:before="24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ELEKTRONICKÉ SPRÁVY A SYSTÉM ÚNIE NA VÝMENU NÁMORNÝCH INFORMÁCIÍ (SAFESEANET)</w:t>
            </w: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   Celková koncepcia a architektúra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Systém Únie na výmenu námorných informácií SafeSeaNet umožňuje prijímanie, ukladanie, vyhľadávanie a výmenu informácií na účely námornej bezpečnosti, bezpečnostnej ochrany prístavov a námornej dopravy, ochrany morského životného prostredia a efektívnosti námornej premávky a námornej dopravy.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SafeSeaNet je špecializovaný systém zriadený s cieľom umožniť výmenu informácií v elektronickom formáte medzi členskými štátmi a poskytnúť Komisii a členským štátom relevantné informácie v súlade s právnymi predpismi Únie. Pozostáva zo siete národných systémov SafeSeaNet v členských štátoch a centrálneho systému SafeSeaNet, ktorý plní úlohu uzlového bodu.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Sieť Únie na výmenu námorných informácií prepája všetky národné systémy SafeSeaNet zriadené v súlade s touto smernicou a zahŕňa centrálny systém SafeSeaNet.</w:t>
            </w: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   Riadenie, prevádzka, vývoj a údržba </w:t>
            </w: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2.1.   </w:t>
            </w:r>
            <w:r w:rsidRPr="00AE3CD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Povinnosti</w:t>
            </w: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2.1.1.   Národné systémy SafeSeaNet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Členské štáty vytvoria a udržiavajú národné systémy SafeSeaNet, ktoré umožňujú výmenu námorných informácií medzi autorizovanými používateľmi, a to pod dohľadom príslušného vnútroštátneho orgánu.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Príslušný vnútroštátny orgán je zodpovedný za riadenie národného systému, čo zahŕňa koordináciu používateľov a poskytovateľov údajov na vnútroštátnej úrovni, ako aj zabezpečenie toho, že sa určia UN LOCODES a že sa zriadi a udržiava potrebná vnútroštátna IT infraštruktúra a postupy opísané v kontrolnom dokumente o rozhraní a funkciách, ktorý je uvedený v bode 2.3.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Národný systém SafeSeaNet umožňuje vzájomné prepojenie oprávnených používateľov pod dohľadom príslušného vnútroštátneho orgánu a môže byť sprístupnený pre identifikované subjekty lodnej dopravy (vlastníkov lodí, agentov, kapitánov, zasielateľov a iných), ak sú na to oprávnené príslušným vnútroštátnym orgánom, a to najmä na účely uľahčenia elektronického podávania a prijímania správ v súlade s právnymi predpismi Únie.</w:t>
            </w:r>
          </w:p>
          <w:p w:rsidR="002659F7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2.1.2.   Centrálny systém SafeSeaNet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V spolupráci s členskými štátmi Komisia na politickej úrovni zodpovedá za riadenie a vývoj centrálneho systému SafeSeaNet a za dohľad nad ním, zatiaľ čo Európska námorná bezpečnostná agentúra v spolupráci s členskými štátmi a Komisiou je v súlade s nariadením Európskeho parlamentu a Rady (ES) č. 1406/2002</w:t>
            </w:r>
            <w:hyperlink r:id="rId4" w:anchor="ntr1-L_2014308SK.01008502-E0001" w:history="1"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 (</w:t>
              </w:r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vertAlign w:val="superscript"/>
                </w:rPr>
                <w:t>1</w:t>
              </w:r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)</w:t>
              </w:r>
            </w:hyperlink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zodpovedná za: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8"/>
              <w:gridCol w:w="4887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8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01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technickú realizáciu a dokumentáciu systému SafeSeaNet,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vývoj, prevádzku a integráciu elektronických správ a údajov, ako aj údržbu rozhraní s centrálnym systémom SafeSeaNet vrátane údajov automatických identifikačných systémov získaných prostredníctvom satelitov, ako aj s rôznymi informačnými systémami uvedenými v tejto smernici a podľa bodu 3.</w:t>
                  </w:r>
                </w:p>
              </w:tc>
            </w:tr>
          </w:tbl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Centrálny systém SafeSeaNet zabezpečuje ako uzlový bod vzájomné prepojenie všetkých národných systémov SafeSeaNet a vytvára potrebnú IT infraštruktúru a postupy opísané v kontrolnom dokumente o rozhraní a funkciách uvedenom v bode 2.3.</w:t>
            </w: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2.2.   </w:t>
            </w:r>
            <w:r w:rsidRPr="00AE3CD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Zásady riadenia</w:t>
            </w: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Komisia zriadi riadiacu skupinu na vysokej úrovni, ktorá prijme svoj rokovací poriadok a ktorá sa skladá zo zástupcov členských štátov a Komisie, s cieľom: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6"/>
              <w:gridCol w:w="4929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0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09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predkladať odporúčania s cieľom zlepšiť účinnosť a bezpečnosť systému,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8"/>
              <w:gridCol w:w="4847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46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894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vhodným spôsobom usmerňovať vývoj systému,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2"/>
              <w:gridCol w:w="4873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41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899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pomáhať Komisii pri preskúmaní výkonnosti systému,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vhodným spôsobom usmerňovať vývoj interoperabilnej platformy na výmenu údajov, ktorá združuje informácie zo systému SafeSeaNet s informáciami z iných informačných systémov uvedených v bode 3,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"/>
              <w:gridCol w:w="4964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schváliť kontrolný dokument o rozhraní a funkciách uvedený v bode 2.3 a všetky jeho zmeny,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prijať usmernenia na zber a šírenie informácií prostredníctvom systému SafeSeaNet vzťahujúce sa na príslušné orgány určené členskými štátmi na vykonávanie príslušných úloh podľa tejto smernice,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udržiavať kontakt s inými príslušnými pracovnými fórami, najmä skupinou pre zjednodušenie námorných administratívnych postupov a elektronické informačné služby.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2.3.   </w:t>
            </w:r>
            <w:r w:rsidRPr="00AE3CD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Kontrolný dokument o rozhraní a funkciách a technická dokumentácia</w:t>
            </w: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Komisia v úzkej spolupráci s členskými štátmi vypracuje a vedie kontrolný dokument o rozhraní a funkciách (interface and functionalities control document, IFCD).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IFCD obsahuje podrobné údaje o požiadavkách na výkon a o postupoch uplatniteľných na vnútroštátne a centrálne prvky systému SafeSeaNet zameraných na zabezpečenie súladu s príslušnými právnymi predpismi Únie.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IFCD obsahuje pravidlá vzťahujúce sa na: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0"/>
              <w:gridCol w:w="4895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7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0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usmernenia pre prístupové práva pre riadenie kvality údajov,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"/>
              <w:gridCol w:w="4964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integráciu údajov, ako sa uvádza v bode 3, a ich šírenie prostredníctvom systému SafeSeaNet,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prevádzkové postupy pre agentúru a členské štáty, v ktorých sa vymedzujú kontrolné mechanizmy pre kvalitu údajov v systéme SafeSeaNet,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4"/>
              <w:gridCol w:w="4881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9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00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bezpečnostné špecifikácie pre prenos a výmenu údajov a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1"/>
              <w:gridCol w:w="4894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37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03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archivovanie informácií na vnútroštátnej a centrálnej úrovni.</w:t>
                  </w:r>
                </w:p>
              </w:tc>
            </w:tr>
          </w:tbl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V IFCD sú uvedené spôsoby ukladania a dostupnosť informácií o nebezpečných alebo znečisťujúcich tovaroch v súvislosti s pravidelnými službami, ktorým bola udelená výnimka v súlade s článkom 15.</w:t>
            </w:r>
          </w:p>
          <w:p w:rsid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Technickú dokumentáciu týkajúcu sa systému SafeSeaNet, ako sú normy pre formát výmeny údajov, interoperabilita s inými systémami a aplikáciami, príručky používateľa, bezpečnostné špecifikácie siete a referenčné databázy využívané na podporu povinnosti podávať správy, vypracuje a vedie agentúra v spolupráci s členskými štátmi.</w:t>
            </w:r>
          </w:p>
          <w:p w:rsidR="005E1571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3.   Výmena a zdieľanie údajov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Systém musí používať priemyselné štandardy a musí byť schopný komunikovať s verejnými a súkromnými systémami používanými na tvorbu, poskytovanie alebo prijímanie informácií v rámci systému SafeSeaNet.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Komisia a členské štáty spolupracujú pri preskúmaní uskutočniteľnosti a vývoja funkcií, ktoré v rámci možností zabezpečia, aby poskytovatelia údajov vrátane kapitánov, vlastníkov, agentov, operátorov, zasielateľov a príslušných orgánov nemuseli predkladať informácie viackrát, pričom náležitým spôsobom zohľadnia povinnosti stanovené v smernici Európskeho parlamentu a Rady 2010/65/EÚ</w:t>
            </w:r>
            <w:hyperlink r:id="rId4" w:anchor="ntr2-L_2014308SK.01008502-E0002" w:history="1"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 (</w:t>
              </w:r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vertAlign w:val="superscript"/>
                </w:rPr>
                <w:t>2</w:t>
              </w:r>
              <w:r w:rsidRPr="00AE3C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)</w:t>
              </w:r>
            </w:hyperlink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 v ďalších príslušných právnych predpisoch Únie. Členské štáty zabezpečia, aby predkladané informácie boli k dispozícii na použitie vo všetkých príslušných systémoch ohlasovania, oznamovacích systémoch, systémoch na zdieľanie informácií a monitorovacích a informačných systémoch pre lodnú dopravu.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Členské štáty vyvinú a prevádzkujú potrebné rozhrania na automatický prenos údajov elektronickou cestou do systému SafeSeaNet.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Centrálny systém SafeSeaNet sa používa na šírenie elektronických správ a údajov vymieňaných alebo zdieľaných v súlade s touto smernicou a príslušnými právnymi predpismi Únie, okrem iného:</w:t>
            </w: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smernicou Európskeho parlamentu a Rady 2000/59/ES z 27. novembra 2000 o prístavných zberných zariadeniach na lodný odpad a zvyšky nákladu</w:t>
                  </w:r>
                  <w:hyperlink r:id="rId4" w:anchor="ntr3-L_2014308SK.01008502-E0003" w:history="1"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 (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  <w:vertAlign w:val="superscript"/>
                      </w:rPr>
                      <w:t>3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)</w:t>
                    </w:r>
                  </w:hyperlink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 pokiaľ ide o jej článok 12 ods. 3,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smernicou Európskeho parlamentu a Rady 2005/35/ES zo 7. septembra 2005 o znečisťovaní mora z lodí a o zavedení sankcií za porušenia vrátanie trestných sankcií za trestné činy v oblasti znečistenia</w:t>
                  </w:r>
                  <w:hyperlink r:id="rId4" w:anchor="ntr4-L_2014308SK.01008502-E0004" w:history="1"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 (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  <w:vertAlign w:val="superscript"/>
                      </w:rPr>
                      <w:t>4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)</w:t>
                    </w:r>
                  </w:hyperlink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 pokiaľ ide o jej článok 10,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"/>
              <w:gridCol w:w="496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4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6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smernicou Európskeho parlamentu a Rady 2009/16/ES z 23. apríla 2009 o štátnej prístavnej kontrole</w:t>
                  </w:r>
                  <w:hyperlink r:id="rId4" w:anchor="ntr5-L_2014308SK.01008502-E0005" w:history="1"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 (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  <w:vertAlign w:val="superscript"/>
                      </w:rPr>
                      <w:t>5</w:t>
                    </w:r>
                    <w:r w:rsidRPr="00AE3CDB">
                      <w:rPr>
                        <w:rFonts w:ascii="Times New Roman" w:hAnsi="Times New Roman"/>
                        <w:color w:val="0000FF"/>
                        <w:sz w:val="20"/>
                        <w:szCs w:val="20"/>
                        <w:u w:val="single"/>
                      </w:rPr>
                      <w:t>)</w:t>
                    </w:r>
                  </w:hyperlink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 pokiaľ ide o jej článok 24,</w:t>
                  </w:r>
                </w:p>
              </w:tc>
            </w:tr>
          </w:tbl>
          <w:p w:rsidR="00AE3CDB" w:rsidRPr="00AE3CDB" w:rsidP="00AE3CD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vanish/>
                <w:color w:val="000000"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9"/>
              <w:gridCol w:w="495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25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914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AE3CDB" w:rsidRPr="00AE3CDB" w:rsidP="00AE3CDB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AE3CD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smernicou Európskeho parlamentu a Rady 2010/65/EÚ, pokiaľ sa uplatňuje jej článok 6.</w:t>
                  </w:r>
                </w:p>
              </w:tc>
            </w:tr>
          </w:tbl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Prevádzkou systému SafeSeaNet by sa malo uľahčiť zriadenie európskeho priestoru námornej dopravy bez prekážok.</w:t>
            </w:r>
          </w:p>
          <w:p w:rsid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V prípade, že medzinárodné pravidlá dovoľujú presmerovanie informácií z identifikácie a sledovania lodí na veľkú vzdialenosť týkajúcich sa plavidiel tretích krajín, siete SafeSeaNet sa použijú na šírenie informácií z identifikácie a sledovania lodí na veľkú vzdialenosť prijatých v súlade s článkom 6b tejto smernice medzi členskými štátmi, a to s dodržaním primeranej úrovne bezpečnosti.</w:t>
            </w:r>
          </w:p>
          <w:p w:rsidR="0024557D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E3CDB" w:rsidRPr="00AE3CDB" w:rsidP="00AE3CDB">
            <w:pPr>
              <w:bidi w:val="0"/>
              <w:spacing w:before="240"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4.   Bezpečnosť a prístupové práva 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Centrálny systém SafeSeaNet a národné systémy SafeSeaNet musia spĺňať požiadavky stanovené v tejto smernici týkajúce sa dôvernosti informácií, ako aj zásady bezpečnosti a špecifikácie uvedené v IFCD, najmä pokiaľ ide o prístupové práva.</w:t>
            </w:r>
          </w:p>
          <w:p w:rsidR="00AE3CDB" w:rsidRPr="00AE3CDB" w:rsidP="00AE3CDB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color w:val="000000"/>
                <w:sz w:val="20"/>
                <w:szCs w:val="20"/>
              </w:rPr>
              <w:t>Členské štáty identifikujú všetkých používateľov, ktorým pridelia rolu a súbor prístupových práv v súlade s IFCD.“</w:t>
            </w:r>
          </w:p>
          <w:p w:rsidR="00080310" w:rsidRPr="00AE3CDB" w:rsidP="00D069B5">
            <w:pPr>
              <w:autoSpaceDE w:val="0"/>
              <w:autoSpaceDN w:val="0"/>
              <w:bidi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 w:rsidR="002E2ADF"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RPr="00AE3CDB" w:rsidP="002659F7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P="00DC1742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P="00F20FC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RPr="00AE3CDB" w:rsidP="00F20FCB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659F7"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C1742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659F7"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245D45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E2ADF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42703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E2ADF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659F7"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RPr="00AE3CD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1B2679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0A6F30">
            <w:pPr>
              <w:bidi w:val="0"/>
              <w:spacing w:before="0"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RPr="00AE3CDB" w:rsidP="00F20FCB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>
              <w:rPr>
                <w:rFonts w:ascii="Times New Roman" w:hAnsi="Times New Roman"/>
                <w:sz w:val="20"/>
                <w:szCs w:val="20"/>
                <w:lang w:eastAsia="cs-CZ"/>
              </w:rPr>
              <w:t>Zákon č. 435/2000 Z. z. v znení zákona č. 440/2010 Z. z.</w:t>
            </w: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82D1C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82D1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 w:rsidR="00882D1C">
              <w:rPr>
                <w:rFonts w:ascii="Times New Roman" w:hAnsi="Times New Roman"/>
                <w:sz w:val="20"/>
                <w:szCs w:val="20"/>
                <w:lang w:eastAsia="cs-CZ"/>
              </w:rPr>
              <w:t>NV č. 67/2007 Z. z. v znení neskorších predpisov</w:t>
            </w: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54B23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54B23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42703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54B23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RPr="00AE3CDB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NV č. 67/2007 Z. z. v znení </w:t>
            </w:r>
            <w:r w:rsidR="00372CCC">
              <w:rPr>
                <w:rFonts w:ascii="Times New Roman" w:hAnsi="Times New Roman"/>
                <w:sz w:val="20"/>
                <w:szCs w:val="20"/>
                <w:lang w:eastAsia="cs-CZ"/>
              </w:rPr>
              <w:t>NV č. 441/2010 Z. z.</w:t>
            </w:r>
          </w:p>
          <w:p w:rsidR="00F20FCB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RPr="00AE3CDB" w:rsidP="0024557D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NV č. 67/2007 Z. z. v znení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NV č. 441/2010 Z. z.</w:t>
            </w:r>
          </w:p>
          <w:p w:rsidR="0024557D" w:rsidRPr="00AE3CDB" w:rsidP="00F20FC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AE3CDB">
              <w:rPr>
                <w:rFonts w:ascii="Times New Roman" w:hAnsi="Times New Roman"/>
                <w:b w:val="0"/>
                <w:bCs w:val="0"/>
                <w:shadow w:val="0"/>
              </w:rPr>
              <w:t xml:space="preserve">§ 4 </w:t>
            </w: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AE3CDB">
              <w:rPr>
                <w:rFonts w:ascii="Times New Roman" w:hAnsi="Times New Roman"/>
                <w:b w:val="0"/>
                <w:bCs w:val="0"/>
                <w:shadow w:val="0"/>
              </w:rPr>
              <w:t>O. 10</w:t>
            </w: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882D1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245529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 w:rsidRPr="00AE3CDB" w:rsidR="00882D1C">
              <w:rPr>
                <w:rFonts w:ascii="Times New Roman" w:hAnsi="Times New Roman"/>
                <w:b w:val="0"/>
                <w:bCs w:val="0"/>
                <w:shadow w:val="0"/>
              </w:rPr>
              <w:t>§ 8a</w:t>
            </w: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24557D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</w:p>
          <w:p w:rsidR="00372CCC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§ 8a</w:t>
            </w:r>
          </w:p>
          <w:p w:rsidR="00372CCC" w:rsidRPr="00AE3CDB" w:rsidP="00882D1C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O. 3 a 7</w:t>
            </w: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7D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5E1571" w:rsidP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hadow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§ 8a</w:t>
            </w:r>
          </w:p>
          <w:p w:rsidR="005E1571" w:rsidRPr="00AE3CDB" w:rsidP="005E1571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shadow w:val="0"/>
              </w:rPr>
              <w:t>O. 5 a 6</w:t>
            </w:r>
          </w:p>
          <w:p w:rsidR="005E1571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 w:rsidP="00F264D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 w:rsidP="00F264D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 w:rsidP="00F264D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 w:rsidP="00F264D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C42703" w:rsidRPr="00AE3CDB" w:rsidP="00F264D0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  <w:p w:rsidR="00245529" w:rsidRPr="00AE3CDB" w:rsidP="007672F5">
            <w:pPr>
              <w:pStyle w:val="EnvelopeReturn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(10) Ministerstvo zriadi a prevádzkuje národný systém na prijímanie, ukladanie, vyhľadávanie a výmenu námorných informácií SafeSeaNet na účely námornej bezpečnosti v prístavoch a na mori, ochrany životného prostredia a efektívnosti námornej plavby. Námorné informácie, ktoré obsahuje národný systém SafeSeaNet, sú dôverného charakteru. Ministerstvo oprávňuje osoby 1bg) na prístup do tohto systému a poskytuje informácie z tohto systému na účely trestného konania a občianskoprávneho konania.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§ 8a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(1) Systém námorných informácií SafeSeaNet je elektronický systém na prijímanie, ukladanie, vyhľadávanie a výmenu elektronických námorných informácií a správ a pozostáva zo siete národných systémov SafeSeaNet a centrálnej databázy SafeSeaNet, ktoré sú navzájom prepojené.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(2) Národný systém SafeSeaNet je zriadený a prevádzkovaný podľa osobitného predpisu 12b) v súlade s technickými požiadavkami ustanovenými Európskou komisiou, je vedený v elektronickej forme a umožňuje prenos námorných informácií 24 hodín denne.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(3) Národný systém SafeSeaNet musí byť zriadený v súlade s priemyselnými štandardmi a schopný komunikovať s verejnými a súkromnými elektronickými systémami používanými na tvorbu, poskytovanie alebo prijímanie námorných informácií v rámci systému námorných informácií. Námorné informácie z národného systému SafeSeaNet musia byť použiteľné vo všetkých ohlasovacích a oznamovacích informačných systémoch, plavebnoprevádzkových, monitorovacích a informačných systémoch.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(4) Národný systém SafeSeaNet musí umožniť na požiadanie príslušného orgánu Slovenskej republiky a príslušného orgánu iného členského štátu bez zbytočného odkladu zaslanie námornej informácie získanej o lodi a o nebezpečnom alebo znečisťujúcom tovare na palube lode.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(5) Národný systém SafeSeaNet musí umožniť výmenu námorných informácií medzi používateľmi; používateľom môže byť oprávnený operátor, agent, veliteľ lode alebo zasielateľ. Národný systém SafeSeaNet zabezpečí, aby používateľom raz vložená námorná informácia do tohto systému nebola opätovne týmto systémom vyžadovaná.</w:t>
            </w:r>
          </w:p>
          <w:p w:rsidR="00882D1C" w:rsidRPr="00AE3CDB" w:rsidP="00882D1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(6) Námorné informácie, ktoré obsahuje národný systém SafeSeaNet, možno použiť len v súlade s týmto nariadením vlády.</w:t>
            </w:r>
          </w:p>
          <w:p w:rsidR="00C2533F" w:rsidRPr="00AE3CDB" w:rsidP="007672F5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 w:rsidR="00882D1C">
              <w:rPr>
                <w:rFonts w:ascii="Times New Roman" w:hAnsi="Times New Roman"/>
                <w:sz w:val="20"/>
                <w:szCs w:val="20"/>
                <w:lang w:eastAsia="cs-CZ"/>
              </w:rPr>
              <w:t>(7) Správy v elektronickej forme vymieňané v súlade s týmto nariadením vlády sa zasielajú prostredníctvom národného systému SafeSeaNet.</w:t>
            </w: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E1571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RPr="00AE3CDB" w:rsidP="00372CC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(3) Národný systém SafeSeaNet musí byť zriadený v súlade s priemyselnými štandardmi a schopný komunikovať s verejnými a súkromnými elektronickými systémami používanými na tvorbu, poskytovanie alebo prijímanie námorných informácií v rámci systému námorných informácií. Námorné informácie z národného systému SafeSeaNet musia byť použiteľné vo všetkých ohlasovacích a oznamovacích informačných systémoch, plavebnoprevádzkových, monitorovacích a informačných systémoch.</w:t>
            </w:r>
          </w:p>
          <w:p w:rsidR="00372CCC" w:rsidRPr="00AE3CDB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>
              <w:rPr>
                <w:rFonts w:ascii="Times New Roman" w:hAnsi="Times New Roman"/>
                <w:sz w:val="20"/>
                <w:szCs w:val="20"/>
                <w:lang w:eastAsia="cs-CZ"/>
              </w:rPr>
              <w:t>(7) Správy v elektronickej forme vymieňané v súlade s týmto nariadením vlády sa zasielajú prostredníctvom národného systému SafeSeaNet.</w:t>
            </w:r>
          </w:p>
          <w:p w:rsidR="00372CCC" w:rsidRPr="00AE3CDB" w:rsidP="00372CCC">
            <w:pPr>
              <w:bidi w:val="0"/>
              <w:adjustRightInd w:val="0"/>
              <w:spacing w:before="0" w:after="24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993A9F">
            <w:pPr>
              <w:bidi w:val="0"/>
              <w:adjustRightInd w:val="0"/>
              <w:spacing w:before="0" w:after="24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153AD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RPr="00AE3CDB" w:rsidP="008153AD">
            <w:pPr>
              <w:bidi w:val="0"/>
              <w:adjustRightInd w:val="0"/>
              <w:spacing w:before="0" w:after="0" w:line="240" w:lineRule="auto"/>
              <w:ind w:firstLine="567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29" w:rsidRPr="00AE3CDB" w:rsidP="00F264D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29" w:rsidRPr="00AE3CDB" w:rsidP="00F264D0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2533F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E1571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5E1571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RPr="00AE3CDB" w:rsidP="00372CC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(5) Národný systém SafeSeaNet musí umožniť výmenu námorných informácií medzi používateľmi; používateľom môže byť oprávnený operátor, agent, veliteľ lode alebo zasielateľ. Národný systém SafeSeaNet zabezpečí, aby používateľom raz vložená námorná informácia do tohto systému nebola opätovne týmto systémom vyžadovaná.</w:t>
            </w:r>
          </w:p>
          <w:p w:rsidR="00372CCC" w:rsidRPr="00AE3CDB" w:rsidP="00372CCC">
            <w:pPr>
              <w:pStyle w:val="BodyText"/>
              <w:tabs>
                <w:tab w:val="left" w:pos="1134"/>
              </w:tabs>
              <w:autoSpaceDE w:val="0"/>
              <w:autoSpaceDN w:val="0"/>
              <w:bidi w:val="0"/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CDB">
              <w:rPr>
                <w:rFonts w:ascii="Times New Roman" w:hAnsi="Times New Roman"/>
                <w:sz w:val="20"/>
                <w:szCs w:val="20"/>
              </w:rPr>
              <w:t>(6) Námorné informácie, ktoré obsahuje národný systém SafeSeaNet, možno použiť len v súlade s týmto nariadením vlády.</w:t>
            </w:r>
          </w:p>
          <w:p w:rsidR="00372CCC" w:rsidRPr="00AE3CDB" w:rsidP="00254B23">
            <w:pPr>
              <w:bidi w:val="0"/>
              <w:spacing w:before="0"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E3CDB" w:rsidR="00B87621"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D45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C42703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2661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20FCB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659F7"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DC1742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2659F7"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B8762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77AF1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659F7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n.a.</w:t>
            </w: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24557D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Ú</w:t>
            </w: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372CCC" w:rsidRPr="00AE3CDB" w:rsidP="0024557D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310" w:rsidRPr="00AE3CDB">
            <w:pPr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23BB7" w:rsidRPr="00AE3CDB" w:rsidP="000F1890">
      <w:pPr>
        <w:pStyle w:val="FootnoteText"/>
        <w:bidi w:val="0"/>
        <w:ind w:left="142" w:hanging="142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1418" w:right="567" w:bottom="1418" w:left="567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CC" w:rsidP="00D71D85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16E75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372CCC" w:rsidP="005B5FA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BA9"/>
    <w:multiLevelType w:val="hybridMultilevel"/>
    <w:tmpl w:val="87AC698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68119E"/>
    <w:multiLevelType w:val="hybridMultilevel"/>
    <w:tmpl w:val="F0A817C0"/>
    <w:lvl w:ilvl="0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64EC7"/>
    <w:multiLevelType w:val="hybridMultilevel"/>
    <w:tmpl w:val="2940C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C2774D"/>
    <w:multiLevelType w:val="hybridMultilevel"/>
    <w:tmpl w:val="A350D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F62307"/>
    <w:multiLevelType w:val="hybridMultilevel"/>
    <w:tmpl w:val="36DAB8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737E8F"/>
    <w:multiLevelType w:val="hybridMultilevel"/>
    <w:tmpl w:val="1530172E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  <w:rPr>
        <w:rFonts w:cs="Times New Roman"/>
        <w:rtl w:val="0"/>
        <w:cs w:val="0"/>
      </w:rPr>
    </w:lvl>
  </w:abstractNum>
  <w:abstractNum w:abstractNumId="6">
    <w:nsid w:val="16DD48E0"/>
    <w:multiLevelType w:val="hybridMultilevel"/>
    <w:tmpl w:val="051EC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9A308D"/>
    <w:multiLevelType w:val="hybridMultilevel"/>
    <w:tmpl w:val="75ACC162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6A58EE"/>
    <w:multiLevelType w:val="hybridMultilevel"/>
    <w:tmpl w:val="EABA74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7E1A36"/>
    <w:multiLevelType w:val="hybridMultilevel"/>
    <w:tmpl w:val="DD2096D2"/>
    <w:lvl w:ilvl="0">
      <w:start w:val="3"/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>
    <w:nsid w:val="1D916CDF"/>
    <w:multiLevelType w:val="hybridMultilevel"/>
    <w:tmpl w:val="817C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7638E5"/>
    <w:multiLevelType w:val="hybridMultilevel"/>
    <w:tmpl w:val="1FDCA0F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4814E3"/>
    <w:multiLevelType w:val="hybridMultilevel"/>
    <w:tmpl w:val="A3D6B1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0822C15"/>
    <w:multiLevelType w:val="hybridMultilevel"/>
    <w:tmpl w:val="0A7820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23676E4"/>
    <w:multiLevelType w:val="hybridMultilevel"/>
    <w:tmpl w:val="1B56FB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4ED3901"/>
    <w:multiLevelType w:val="hybridMultilevel"/>
    <w:tmpl w:val="19EE3C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F211DD1"/>
    <w:multiLevelType w:val="hybridMultilevel"/>
    <w:tmpl w:val="87B6C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ED6943"/>
    <w:multiLevelType w:val="hybridMultilevel"/>
    <w:tmpl w:val="FB62774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74130C"/>
    <w:multiLevelType w:val="hybridMultilevel"/>
    <w:tmpl w:val="F0AA67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3832834"/>
    <w:multiLevelType w:val="hybridMultilevel"/>
    <w:tmpl w:val="17DA4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635267B"/>
    <w:multiLevelType w:val="hybridMultilevel"/>
    <w:tmpl w:val="2542B37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21">
    <w:nsid w:val="46BC5030"/>
    <w:multiLevelType w:val="hybridMultilevel"/>
    <w:tmpl w:val="779AEB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74D26E2"/>
    <w:multiLevelType w:val="hybridMultilevel"/>
    <w:tmpl w:val="487E8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86348BE"/>
    <w:multiLevelType w:val="hybridMultilevel"/>
    <w:tmpl w:val="BCDA6F0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C6B69A0"/>
    <w:multiLevelType w:val="hybridMultilevel"/>
    <w:tmpl w:val="C9925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DF61E04"/>
    <w:multiLevelType w:val="hybridMultilevel"/>
    <w:tmpl w:val="6180D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04B1C11"/>
    <w:multiLevelType w:val="hybridMultilevel"/>
    <w:tmpl w:val="62E8F1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4686619"/>
    <w:multiLevelType w:val="hybridMultilevel"/>
    <w:tmpl w:val="A462B39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0450433"/>
    <w:multiLevelType w:val="hybridMultilevel"/>
    <w:tmpl w:val="7442895E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  <w:rtl w:val="0"/>
        <w:cs w:val="0"/>
      </w:rPr>
    </w:lvl>
  </w:abstractNum>
  <w:abstractNum w:abstractNumId="29">
    <w:nsid w:val="60475AB5"/>
    <w:multiLevelType w:val="hybridMultilevel"/>
    <w:tmpl w:val="8CF037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345140A"/>
    <w:multiLevelType w:val="hybridMultilevel"/>
    <w:tmpl w:val="3372E5D6"/>
    <w:lvl w:ilvl="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31">
    <w:nsid w:val="64B239FF"/>
    <w:multiLevelType w:val="hybridMultilevel"/>
    <w:tmpl w:val="A2F4F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4DA4DDD"/>
    <w:multiLevelType w:val="hybridMultilevel"/>
    <w:tmpl w:val="AFE097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6410918"/>
    <w:multiLevelType w:val="multilevel"/>
    <w:tmpl w:val="505ADAF2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4">
    <w:nsid w:val="668C6615"/>
    <w:multiLevelType w:val="hybridMultilevel"/>
    <w:tmpl w:val="F5A07F36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E7F3A9F"/>
    <w:multiLevelType w:val="hybridMultilevel"/>
    <w:tmpl w:val="7E7AB0E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221D4D"/>
    <w:multiLevelType w:val="hybridMultilevel"/>
    <w:tmpl w:val="A6AC8C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1286B19"/>
    <w:multiLevelType w:val="hybridMultilevel"/>
    <w:tmpl w:val="FC6C7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1CF5D6F"/>
    <w:multiLevelType w:val="multilevel"/>
    <w:tmpl w:val="68D8AA60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9">
    <w:nsid w:val="743B516A"/>
    <w:multiLevelType w:val="hybridMultilevel"/>
    <w:tmpl w:val="F4841D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7FE2A09"/>
    <w:multiLevelType w:val="hybridMultilevel"/>
    <w:tmpl w:val="34527EE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A543EB7"/>
    <w:multiLevelType w:val="hybridMultilevel"/>
    <w:tmpl w:val="B27A6EE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  <w:rtl w:val="0"/>
        <w:cs w:val="0"/>
      </w:rPr>
    </w:lvl>
  </w:abstractNum>
  <w:abstractNum w:abstractNumId="42">
    <w:nsid w:val="7B7764EE"/>
    <w:multiLevelType w:val="hybridMultilevel"/>
    <w:tmpl w:val="C700FCB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CC441D9"/>
    <w:multiLevelType w:val="singleLevel"/>
    <w:tmpl w:val="455E893C"/>
    <w:lvl w:ilvl="0">
      <w:start w:val="9"/>
      <w:numFmt w:val="lowerLetter"/>
      <w:pStyle w:val="CM3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44">
    <w:nsid w:val="7CFA62DF"/>
    <w:multiLevelType w:val="hybridMultilevel"/>
    <w:tmpl w:val="22D23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rtl w:val="0"/>
        <w:cs w:val="0"/>
      </w:rPr>
    </w:lvl>
    <w:lvl w:ilvl="1">
      <w:start w:val="1"/>
      <w:numFmt w:val="none"/>
      <w:lvlText w:val="a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3"/>
  </w:num>
  <w:num w:numId="2">
    <w:abstractNumId w:val="42"/>
  </w:num>
  <w:num w:numId="3">
    <w:abstractNumId w:val="13"/>
  </w:num>
  <w:num w:numId="4">
    <w:abstractNumId w:val="14"/>
  </w:num>
  <w:num w:numId="5">
    <w:abstractNumId w:val="7"/>
  </w:num>
  <w:num w:numId="6">
    <w:abstractNumId w:val="40"/>
  </w:num>
  <w:num w:numId="7">
    <w:abstractNumId w:val="11"/>
  </w:num>
  <w:num w:numId="8">
    <w:abstractNumId w:val="34"/>
  </w:num>
  <w:num w:numId="9">
    <w:abstractNumId w:val="27"/>
  </w:num>
  <w:num w:numId="10">
    <w:abstractNumId w:val="0"/>
  </w:num>
  <w:num w:numId="11">
    <w:abstractNumId w:val="23"/>
  </w:num>
  <w:num w:numId="12">
    <w:abstractNumId w:val="17"/>
  </w:num>
  <w:num w:numId="13">
    <w:abstractNumId w:val="35"/>
  </w:num>
  <w:num w:numId="14">
    <w:abstractNumId w:val="4"/>
  </w:num>
  <w:num w:numId="15">
    <w:abstractNumId w:val="36"/>
  </w:num>
  <w:num w:numId="16">
    <w:abstractNumId w:val="18"/>
  </w:num>
  <w:num w:numId="17">
    <w:abstractNumId w:val="9"/>
  </w:num>
  <w:num w:numId="18">
    <w:abstractNumId w:val="41"/>
  </w:num>
  <w:num w:numId="19">
    <w:abstractNumId w:val="1"/>
  </w:num>
  <w:num w:numId="20">
    <w:abstractNumId w:val="15"/>
  </w:num>
  <w:num w:numId="21">
    <w:abstractNumId w:val="21"/>
  </w:num>
  <w:num w:numId="22">
    <w:abstractNumId w:val="10"/>
  </w:num>
  <w:num w:numId="23">
    <w:abstractNumId w:val="3"/>
  </w:num>
  <w:num w:numId="24">
    <w:abstractNumId w:val="20"/>
  </w:num>
  <w:num w:numId="25">
    <w:abstractNumId w:val="38"/>
  </w:num>
  <w:num w:numId="26">
    <w:abstractNumId w:val="33"/>
  </w:num>
  <w:num w:numId="27">
    <w:abstractNumId w:val="44"/>
  </w:num>
  <w:num w:numId="28">
    <w:abstractNumId w:val="5"/>
  </w:num>
  <w:num w:numId="29">
    <w:abstractNumId w:val="8"/>
  </w:num>
  <w:num w:numId="30">
    <w:abstractNumId w:val="12"/>
  </w:num>
  <w:num w:numId="31">
    <w:abstractNumId w:val="30"/>
  </w:num>
  <w:num w:numId="32">
    <w:abstractNumId w:val="31"/>
  </w:num>
  <w:num w:numId="33">
    <w:abstractNumId w:val="28"/>
  </w:num>
  <w:num w:numId="34">
    <w:abstractNumId w:val="19"/>
  </w:num>
  <w:num w:numId="35">
    <w:abstractNumId w:val="26"/>
  </w:num>
  <w:num w:numId="36">
    <w:abstractNumId w:val="6"/>
  </w:num>
  <w:num w:numId="37">
    <w:abstractNumId w:val="24"/>
  </w:num>
  <w:num w:numId="38">
    <w:abstractNumId w:val="32"/>
  </w:num>
  <w:num w:numId="39">
    <w:abstractNumId w:val="22"/>
  </w:num>
  <w:num w:numId="40">
    <w:abstractNumId w:val="37"/>
  </w:num>
  <w:num w:numId="41">
    <w:abstractNumId w:val="29"/>
  </w:num>
  <w:num w:numId="42">
    <w:abstractNumId w:val="25"/>
  </w:num>
  <w:num w:numId="43">
    <w:abstractNumId w:val="2"/>
  </w:num>
  <w:num w:numId="44">
    <w:abstractNumId w:val="39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A3C29"/>
    <w:rsid w:val="00000FD2"/>
    <w:rsid w:val="00006777"/>
    <w:rsid w:val="00007C69"/>
    <w:rsid w:val="00010391"/>
    <w:rsid w:val="00022107"/>
    <w:rsid w:val="00023DF4"/>
    <w:rsid w:val="000243F7"/>
    <w:rsid w:val="000250FA"/>
    <w:rsid w:val="00026CFA"/>
    <w:rsid w:val="00034BE2"/>
    <w:rsid w:val="00034F25"/>
    <w:rsid w:val="000376D5"/>
    <w:rsid w:val="00043484"/>
    <w:rsid w:val="00043DB3"/>
    <w:rsid w:val="00045A5A"/>
    <w:rsid w:val="00046FEB"/>
    <w:rsid w:val="00052631"/>
    <w:rsid w:val="00054D60"/>
    <w:rsid w:val="000617FC"/>
    <w:rsid w:val="000624D2"/>
    <w:rsid w:val="00073112"/>
    <w:rsid w:val="000757EB"/>
    <w:rsid w:val="00080310"/>
    <w:rsid w:val="00082D36"/>
    <w:rsid w:val="00086E68"/>
    <w:rsid w:val="000911AB"/>
    <w:rsid w:val="00096CDA"/>
    <w:rsid w:val="000A0F09"/>
    <w:rsid w:val="000A1219"/>
    <w:rsid w:val="000A6F30"/>
    <w:rsid w:val="000B1BB9"/>
    <w:rsid w:val="000B2291"/>
    <w:rsid w:val="000B4529"/>
    <w:rsid w:val="000B6DE1"/>
    <w:rsid w:val="000C1E05"/>
    <w:rsid w:val="000C33CE"/>
    <w:rsid w:val="000C6622"/>
    <w:rsid w:val="000E2106"/>
    <w:rsid w:val="000E2C87"/>
    <w:rsid w:val="000E3BFF"/>
    <w:rsid w:val="000F1890"/>
    <w:rsid w:val="00106354"/>
    <w:rsid w:val="00107577"/>
    <w:rsid w:val="001229FB"/>
    <w:rsid w:val="00123BB7"/>
    <w:rsid w:val="0012522D"/>
    <w:rsid w:val="00125340"/>
    <w:rsid w:val="00125FB7"/>
    <w:rsid w:val="00141B5E"/>
    <w:rsid w:val="00142E21"/>
    <w:rsid w:val="00143424"/>
    <w:rsid w:val="00161294"/>
    <w:rsid w:val="00165653"/>
    <w:rsid w:val="001757E3"/>
    <w:rsid w:val="0017585D"/>
    <w:rsid w:val="00177E27"/>
    <w:rsid w:val="00177E99"/>
    <w:rsid w:val="00180778"/>
    <w:rsid w:val="00184BEA"/>
    <w:rsid w:val="00186D1E"/>
    <w:rsid w:val="00187D43"/>
    <w:rsid w:val="0019153C"/>
    <w:rsid w:val="00197D17"/>
    <w:rsid w:val="001A1FA6"/>
    <w:rsid w:val="001B20C6"/>
    <w:rsid w:val="001B20E3"/>
    <w:rsid w:val="001B2679"/>
    <w:rsid w:val="001B6545"/>
    <w:rsid w:val="001D00F4"/>
    <w:rsid w:val="001D01E7"/>
    <w:rsid w:val="001D0D71"/>
    <w:rsid w:val="001D3EC2"/>
    <w:rsid w:val="001E26CE"/>
    <w:rsid w:val="001E4917"/>
    <w:rsid w:val="001E6822"/>
    <w:rsid w:val="001F6128"/>
    <w:rsid w:val="00211CFD"/>
    <w:rsid w:val="00214617"/>
    <w:rsid w:val="002179D1"/>
    <w:rsid w:val="0022141B"/>
    <w:rsid w:val="00231557"/>
    <w:rsid w:val="00245529"/>
    <w:rsid w:val="0024557D"/>
    <w:rsid w:val="00245D45"/>
    <w:rsid w:val="00254B23"/>
    <w:rsid w:val="00254ED6"/>
    <w:rsid w:val="002659F7"/>
    <w:rsid w:val="00272849"/>
    <w:rsid w:val="00275FC8"/>
    <w:rsid w:val="00277AF1"/>
    <w:rsid w:val="00281556"/>
    <w:rsid w:val="00281B15"/>
    <w:rsid w:val="00281F83"/>
    <w:rsid w:val="002B7294"/>
    <w:rsid w:val="002C4CFD"/>
    <w:rsid w:val="002C6ED8"/>
    <w:rsid w:val="002D27C9"/>
    <w:rsid w:val="002D48DA"/>
    <w:rsid w:val="002D4E30"/>
    <w:rsid w:val="002E2ADF"/>
    <w:rsid w:val="002E7FCF"/>
    <w:rsid w:val="002F235F"/>
    <w:rsid w:val="002F5367"/>
    <w:rsid w:val="002F7524"/>
    <w:rsid w:val="00312706"/>
    <w:rsid w:val="00333CCC"/>
    <w:rsid w:val="0033492B"/>
    <w:rsid w:val="00341853"/>
    <w:rsid w:val="0034783B"/>
    <w:rsid w:val="00347CEE"/>
    <w:rsid w:val="00350535"/>
    <w:rsid w:val="00351452"/>
    <w:rsid w:val="00351EE5"/>
    <w:rsid w:val="00355292"/>
    <w:rsid w:val="00357221"/>
    <w:rsid w:val="00361C39"/>
    <w:rsid w:val="00361CDD"/>
    <w:rsid w:val="003670B9"/>
    <w:rsid w:val="003675E1"/>
    <w:rsid w:val="0037239A"/>
    <w:rsid w:val="00372CCC"/>
    <w:rsid w:val="00376FDE"/>
    <w:rsid w:val="003876D3"/>
    <w:rsid w:val="0039049B"/>
    <w:rsid w:val="0039291F"/>
    <w:rsid w:val="003933EE"/>
    <w:rsid w:val="003A411B"/>
    <w:rsid w:val="003A5600"/>
    <w:rsid w:val="003B46DB"/>
    <w:rsid w:val="003B49EF"/>
    <w:rsid w:val="003B670B"/>
    <w:rsid w:val="003C4423"/>
    <w:rsid w:val="003C4591"/>
    <w:rsid w:val="003C52E3"/>
    <w:rsid w:val="003C66DB"/>
    <w:rsid w:val="003D291C"/>
    <w:rsid w:val="003D5B85"/>
    <w:rsid w:val="003D7AC9"/>
    <w:rsid w:val="003E359B"/>
    <w:rsid w:val="003E69A8"/>
    <w:rsid w:val="003F0795"/>
    <w:rsid w:val="003F3B19"/>
    <w:rsid w:val="003F47CC"/>
    <w:rsid w:val="003F6067"/>
    <w:rsid w:val="00400950"/>
    <w:rsid w:val="00412963"/>
    <w:rsid w:val="00420034"/>
    <w:rsid w:val="004312B4"/>
    <w:rsid w:val="00434DC5"/>
    <w:rsid w:val="00435329"/>
    <w:rsid w:val="004378D4"/>
    <w:rsid w:val="00440DE0"/>
    <w:rsid w:val="004412DD"/>
    <w:rsid w:val="00445129"/>
    <w:rsid w:val="004452F4"/>
    <w:rsid w:val="004478F9"/>
    <w:rsid w:val="00450CC5"/>
    <w:rsid w:val="00453D01"/>
    <w:rsid w:val="0045525D"/>
    <w:rsid w:val="00456569"/>
    <w:rsid w:val="0047093A"/>
    <w:rsid w:val="004729B0"/>
    <w:rsid w:val="00476BF2"/>
    <w:rsid w:val="004A35E7"/>
    <w:rsid w:val="004B544C"/>
    <w:rsid w:val="004B7F61"/>
    <w:rsid w:val="004C1920"/>
    <w:rsid w:val="004C1970"/>
    <w:rsid w:val="004C5748"/>
    <w:rsid w:val="004C6377"/>
    <w:rsid w:val="004D34A1"/>
    <w:rsid w:val="004D3E93"/>
    <w:rsid w:val="004E30FC"/>
    <w:rsid w:val="004F0255"/>
    <w:rsid w:val="004F2D5F"/>
    <w:rsid w:val="004F43D6"/>
    <w:rsid w:val="004F5293"/>
    <w:rsid w:val="005034FA"/>
    <w:rsid w:val="0051269C"/>
    <w:rsid w:val="005211AC"/>
    <w:rsid w:val="00521529"/>
    <w:rsid w:val="00531509"/>
    <w:rsid w:val="005346BE"/>
    <w:rsid w:val="0053629D"/>
    <w:rsid w:val="00537752"/>
    <w:rsid w:val="00537773"/>
    <w:rsid w:val="005448AB"/>
    <w:rsid w:val="0055091F"/>
    <w:rsid w:val="005512BD"/>
    <w:rsid w:val="005602DC"/>
    <w:rsid w:val="00561AB9"/>
    <w:rsid w:val="00562B55"/>
    <w:rsid w:val="00580E2D"/>
    <w:rsid w:val="00581BE1"/>
    <w:rsid w:val="005867F1"/>
    <w:rsid w:val="00594554"/>
    <w:rsid w:val="005A3E1C"/>
    <w:rsid w:val="005A4845"/>
    <w:rsid w:val="005B0955"/>
    <w:rsid w:val="005B0EFA"/>
    <w:rsid w:val="005B5FAC"/>
    <w:rsid w:val="005B7C28"/>
    <w:rsid w:val="005C2E85"/>
    <w:rsid w:val="005C7A0E"/>
    <w:rsid w:val="005D032D"/>
    <w:rsid w:val="005E081B"/>
    <w:rsid w:val="005E0821"/>
    <w:rsid w:val="005E1571"/>
    <w:rsid w:val="00603B9B"/>
    <w:rsid w:val="006100AB"/>
    <w:rsid w:val="00613D86"/>
    <w:rsid w:val="00616665"/>
    <w:rsid w:val="00616A5F"/>
    <w:rsid w:val="00622899"/>
    <w:rsid w:val="00634B99"/>
    <w:rsid w:val="00636AEF"/>
    <w:rsid w:val="00640DE9"/>
    <w:rsid w:val="0064191A"/>
    <w:rsid w:val="006450F9"/>
    <w:rsid w:val="006510D4"/>
    <w:rsid w:val="0065359C"/>
    <w:rsid w:val="00677D14"/>
    <w:rsid w:val="00677FC4"/>
    <w:rsid w:val="00683096"/>
    <w:rsid w:val="006834F2"/>
    <w:rsid w:val="0068597F"/>
    <w:rsid w:val="006864D7"/>
    <w:rsid w:val="0069044C"/>
    <w:rsid w:val="00691ABB"/>
    <w:rsid w:val="00696904"/>
    <w:rsid w:val="006A02D4"/>
    <w:rsid w:val="006A12B4"/>
    <w:rsid w:val="006A434A"/>
    <w:rsid w:val="006A5682"/>
    <w:rsid w:val="006B0613"/>
    <w:rsid w:val="006B2831"/>
    <w:rsid w:val="006B3130"/>
    <w:rsid w:val="006B40E3"/>
    <w:rsid w:val="006B7197"/>
    <w:rsid w:val="006C69AB"/>
    <w:rsid w:val="00705182"/>
    <w:rsid w:val="00714670"/>
    <w:rsid w:val="00716644"/>
    <w:rsid w:val="00717FD2"/>
    <w:rsid w:val="00726347"/>
    <w:rsid w:val="00735638"/>
    <w:rsid w:val="00737336"/>
    <w:rsid w:val="007377F0"/>
    <w:rsid w:val="007404B8"/>
    <w:rsid w:val="00742A17"/>
    <w:rsid w:val="00746238"/>
    <w:rsid w:val="0075102B"/>
    <w:rsid w:val="00754F2C"/>
    <w:rsid w:val="007578E9"/>
    <w:rsid w:val="007672F5"/>
    <w:rsid w:val="0077067C"/>
    <w:rsid w:val="00771AD3"/>
    <w:rsid w:val="0077219A"/>
    <w:rsid w:val="00781522"/>
    <w:rsid w:val="00796BE7"/>
    <w:rsid w:val="007A0C2F"/>
    <w:rsid w:val="007A15D4"/>
    <w:rsid w:val="007A261A"/>
    <w:rsid w:val="007A664A"/>
    <w:rsid w:val="007B1870"/>
    <w:rsid w:val="007B6E8D"/>
    <w:rsid w:val="007B7E83"/>
    <w:rsid w:val="007C6EFC"/>
    <w:rsid w:val="007D09B9"/>
    <w:rsid w:val="007E0865"/>
    <w:rsid w:val="007E2874"/>
    <w:rsid w:val="007E32DB"/>
    <w:rsid w:val="007E5BD2"/>
    <w:rsid w:val="007F0A0B"/>
    <w:rsid w:val="007F40C3"/>
    <w:rsid w:val="00812F37"/>
    <w:rsid w:val="0081515C"/>
    <w:rsid w:val="008153AD"/>
    <w:rsid w:val="00827895"/>
    <w:rsid w:val="0083620A"/>
    <w:rsid w:val="00836944"/>
    <w:rsid w:val="008408DC"/>
    <w:rsid w:val="00841E4F"/>
    <w:rsid w:val="00843DD7"/>
    <w:rsid w:val="00852880"/>
    <w:rsid w:val="00865958"/>
    <w:rsid w:val="0087505E"/>
    <w:rsid w:val="00880B3C"/>
    <w:rsid w:val="0088116C"/>
    <w:rsid w:val="0088255E"/>
    <w:rsid w:val="00882D1C"/>
    <w:rsid w:val="0088336D"/>
    <w:rsid w:val="008B5CFA"/>
    <w:rsid w:val="008C7F32"/>
    <w:rsid w:val="008E56D7"/>
    <w:rsid w:val="008E5DEC"/>
    <w:rsid w:val="008F64FA"/>
    <w:rsid w:val="008F6940"/>
    <w:rsid w:val="008F797F"/>
    <w:rsid w:val="00911AD2"/>
    <w:rsid w:val="00921002"/>
    <w:rsid w:val="0093033C"/>
    <w:rsid w:val="00933644"/>
    <w:rsid w:val="00943AEE"/>
    <w:rsid w:val="0094563F"/>
    <w:rsid w:val="009469B9"/>
    <w:rsid w:val="0095694F"/>
    <w:rsid w:val="00960CAF"/>
    <w:rsid w:val="00963C7D"/>
    <w:rsid w:val="00967AF4"/>
    <w:rsid w:val="00975239"/>
    <w:rsid w:val="009921A1"/>
    <w:rsid w:val="00993A9F"/>
    <w:rsid w:val="00995651"/>
    <w:rsid w:val="0099565A"/>
    <w:rsid w:val="009A0127"/>
    <w:rsid w:val="009A0CB1"/>
    <w:rsid w:val="009A1E06"/>
    <w:rsid w:val="009A1E0C"/>
    <w:rsid w:val="009A54A3"/>
    <w:rsid w:val="009B24C4"/>
    <w:rsid w:val="009B4AD8"/>
    <w:rsid w:val="009E4195"/>
    <w:rsid w:val="009F5BFF"/>
    <w:rsid w:val="00A01E70"/>
    <w:rsid w:val="00A06C65"/>
    <w:rsid w:val="00A16E75"/>
    <w:rsid w:val="00A23227"/>
    <w:rsid w:val="00A31895"/>
    <w:rsid w:val="00A35737"/>
    <w:rsid w:val="00A40DE6"/>
    <w:rsid w:val="00A43051"/>
    <w:rsid w:val="00A46585"/>
    <w:rsid w:val="00A50992"/>
    <w:rsid w:val="00A53535"/>
    <w:rsid w:val="00A54CFF"/>
    <w:rsid w:val="00A64240"/>
    <w:rsid w:val="00A6592B"/>
    <w:rsid w:val="00A66641"/>
    <w:rsid w:val="00A7004C"/>
    <w:rsid w:val="00A7076D"/>
    <w:rsid w:val="00A71D62"/>
    <w:rsid w:val="00A72D70"/>
    <w:rsid w:val="00A75C7F"/>
    <w:rsid w:val="00A76EB5"/>
    <w:rsid w:val="00A83433"/>
    <w:rsid w:val="00A84759"/>
    <w:rsid w:val="00A85CDC"/>
    <w:rsid w:val="00A91018"/>
    <w:rsid w:val="00A919C9"/>
    <w:rsid w:val="00A91C2F"/>
    <w:rsid w:val="00A91CE5"/>
    <w:rsid w:val="00A92D0B"/>
    <w:rsid w:val="00A9703A"/>
    <w:rsid w:val="00AA269E"/>
    <w:rsid w:val="00AA621A"/>
    <w:rsid w:val="00AB761D"/>
    <w:rsid w:val="00AD185D"/>
    <w:rsid w:val="00AD5996"/>
    <w:rsid w:val="00AD5E1F"/>
    <w:rsid w:val="00AE3CDB"/>
    <w:rsid w:val="00AE42AC"/>
    <w:rsid w:val="00AF43AF"/>
    <w:rsid w:val="00B0018F"/>
    <w:rsid w:val="00B00FD3"/>
    <w:rsid w:val="00B055E9"/>
    <w:rsid w:val="00B1201C"/>
    <w:rsid w:val="00B143E5"/>
    <w:rsid w:val="00B16CA7"/>
    <w:rsid w:val="00B24094"/>
    <w:rsid w:val="00B241B8"/>
    <w:rsid w:val="00B24BF0"/>
    <w:rsid w:val="00B40098"/>
    <w:rsid w:val="00B40EAC"/>
    <w:rsid w:val="00B55D80"/>
    <w:rsid w:val="00B56075"/>
    <w:rsid w:val="00B618A3"/>
    <w:rsid w:val="00B6469D"/>
    <w:rsid w:val="00B7036D"/>
    <w:rsid w:val="00B7151C"/>
    <w:rsid w:val="00B73BF2"/>
    <w:rsid w:val="00B73E48"/>
    <w:rsid w:val="00B73E49"/>
    <w:rsid w:val="00B73EE3"/>
    <w:rsid w:val="00B84C84"/>
    <w:rsid w:val="00B87621"/>
    <w:rsid w:val="00B91631"/>
    <w:rsid w:val="00B919EE"/>
    <w:rsid w:val="00B9228D"/>
    <w:rsid w:val="00BB188E"/>
    <w:rsid w:val="00BC4163"/>
    <w:rsid w:val="00BC4C9C"/>
    <w:rsid w:val="00BD567C"/>
    <w:rsid w:val="00BF2DA4"/>
    <w:rsid w:val="00C00369"/>
    <w:rsid w:val="00C03585"/>
    <w:rsid w:val="00C04DA0"/>
    <w:rsid w:val="00C06B93"/>
    <w:rsid w:val="00C12DC6"/>
    <w:rsid w:val="00C20163"/>
    <w:rsid w:val="00C2533F"/>
    <w:rsid w:val="00C26463"/>
    <w:rsid w:val="00C3059C"/>
    <w:rsid w:val="00C31879"/>
    <w:rsid w:val="00C3318C"/>
    <w:rsid w:val="00C35BE5"/>
    <w:rsid w:val="00C377C8"/>
    <w:rsid w:val="00C42703"/>
    <w:rsid w:val="00C44889"/>
    <w:rsid w:val="00C52A4F"/>
    <w:rsid w:val="00C5453A"/>
    <w:rsid w:val="00C550FB"/>
    <w:rsid w:val="00C6001C"/>
    <w:rsid w:val="00C62AB2"/>
    <w:rsid w:val="00C647BF"/>
    <w:rsid w:val="00C65E56"/>
    <w:rsid w:val="00C756E3"/>
    <w:rsid w:val="00C75A59"/>
    <w:rsid w:val="00C769F5"/>
    <w:rsid w:val="00C8169A"/>
    <w:rsid w:val="00C86A17"/>
    <w:rsid w:val="00C91A17"/>
    <w:rsid w:val="00C9448B"/>
    <w:rsid w:val="00C95299"/>
    <w:rsid w:val="00CC3E3E"/>
    <w:rsid w:val="00CC583A"/>
    <w:rsid w:val="00CC620B"/>
    <w:rsid w:val="00CC7C4F"/>
    <w:rsid w:val="00CD276E"/>
    <w:rsid w:val="00CD3734"/>
    <w:rsid w:val="00CD3D6C"/>
    <w:rsid w:val="00CD6769"/>
    <w:rsid w:val="00CE5718"/>
    <w:rsid w:val="00CF110B"/>
    <w:rsid w:val="00CF4F2F"/>
    <w:rsid w:val="00D0349D"/>
    <w:rsid w:val="00D03E4B"/>
    <w:rsid w:val="00D069B5"/>
    <w:rsid w:val="00D07148"/>
    <w:rsid w:val="00D0731F"/>
    <w:rsid w:val="00D0783A"/>
    <w:rsid w:val="00D176F7"/>
    <w:rsid w:val="00D241FA"/>
    <w:rsid w:val="00D2476C"/>
    <w:rsid w:val="00D2661C"/>
    <w:rsid w:val="00D27FA0"/>
    <w:rsid w:val="00D34117"/>
    <w:rsid w:val="00D3573A"/>
    <w:rsid w:val="00D42F5C"/>
    <w:rsid w:val="00D43034"/>
    <w:rsid w:val="00D4781D"/>
    <w:rsid w:val="00D55244"/>
    <w:rsid w:val="00D55B51"/>
    <w:rsid w:val="00D578B8"/>
    <w:rsid w:val="00D631BB"/>
    <w:rsid w:val="00D638AA"/>
    <w:rsid w:val="00D71D85"/>
    <w:rsid w:val="00DA7E2A"/>
    <w:rsid w:val="00DB5426"/>
    <w:rsid w:val="00DB555D"/>
    <w:rsid w:val="00DC08DE"/>
    <w:rsid w:val="00DC1742"/>
    <w:rsid w:val="00DD0C53"/>
    <w:rsid w:val="00DD578B"/>
    <w:rsid w:val="00DE2FE0"/>
    <w:rsid w:val="00DF6F03"/>
    <w:rsid w:val="00E13B16"/>
    <w:rsid w:val="00E2204A"/>
    <w:rsid w:val="00E238FB"/>
    <w:rsid w:val="00E32AA0"/>
    <w:rsid w:val="00E40787"/>
    <w:rsid w:val="00E41BA0"/>
    <w:rsid w:val="00E43759"/>
    <w:rsid w:val="00E4430D"/>
    <w:rsid w:val="00E44D01"/>
    <w:rsid w:val="00E459D6"/>
    <w:rsid w:val="00E47D01"/>
    <w:rsid w:val="00E55303"/>
    <w:rsid w:val="00E6229B"/>
    <w:rsid w:val="00E63729"/>
    <w:rsid w:val="00E80DED"/>
    <w:rsid w:val="00E85293"/>
    <w:rsid w:val="00E867E6"/>
    <w:rsid w:val="00E86E09"/>
    <w:rsid w:val="00E901D2"/>
    <w:rsid w:val="00E95B4B"/>
    <w:rsid w:val="00E97485"/>
    <w:rsid w:val="00E977D9"/>
    <w:rsid w:val="00EA33C0"/>
    <w:rsid w:val="00EA476A"/>
    <w:rsid w:val="00EA6456"/>
    <w:rsid w:val="00EB3F9A"/>
    <w:rsid w:val="00EC42FC"/>
    <w:rsid w:val="00EC587E"/>
    <w:rsid w:val="00EC71C7"/>
    <w:rsid w:val="00ED4470"/>
    <w:rsid w:val="00EE25BB"/>
    <w:rsid w:val="00EE4FA2"/>
    <w:rsid w:val="00EF091C"/>
    <w:rsid w:val="00EF1EB5"/>
    <w:rsid w:val="00EF6D37"/>
    <w:rsid w:val="00F041F3"/>
    <w:rsid w:val="00F06C52"/>
    <w:rsid w:val="00F13300"/>
    <w:rsid w:val="00F15260"/>
    <w:rsid w:val="00F172E3"/>
    <w:rsid w:val="00F17C28"/>
    <w:rsid w:val="00F20148"/>
    <w:rsid w:val="00F20FCB"/>
    <w:rsid w:val="00F264D0"/>
    <w:rsid w:val="00F4327A"/>
    <w:rsid w:val="00F4418D"/>
    <w:rsid w:val="00F45BF5"/>
    <w:rsid w:val="00F46186"/>
    <w:rsid w:val="00F47836"/>
    <w:rsid w:val="00F51147"/>
    <w:rsid w:val="00F562B4"/>
    <w:rsid w:val="00F6584A"/>
    <w:rsid w:val="00F65A53"/>
    <w:rsid w:val="00F65EDC"/>
    <w:rsid w:val="00F705F3"/>
    <w:rsid w:val="00F72873"/>
    <w:rsid w:val="00F7648C"/>
    <w:rsid w:val="00F82617"/>
    <w:rsid w:val="00F94569"/>
    <w:rsid w:val="00F94B67"/>
    <w:rsid w:val="00FA3C29"/>
    <w:rsid w:val="00FA419B"/>
    <w:rsid w:val="00FA717E"/>
    <w:rsid w:val="00FD1708"/>
    <w:rsid w:val="00FE4EF2"/>
    <w:rsid w:val="00FE5E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3CDB"/>
    <w:pPr>
      <w:framePr w:wrap="auto"/>
      <w:widowControl/>
      <w:autoSpaceDE/>
      <w:autoSpaceDN/>
      <w:adjustRightInd/>
      <w:spacing w:before="12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0"/>
      <w:jc w:val="center"/>
      <w:outlineLvl w:val="0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0"/>
      <w:jc w:val="center"/>
      <w:outlineLvl w:val="2"/>
    </w:pPr>
    <w:rPr>
      <w:rFonts w:ascii="Arial" w:hAnsi="Arial" w:cs="Arial"/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spacing w:before="0"/>
      <w:jc w:val="center"/>
      <w:outlineLvl w:val="6"/>
    </w:pPr>
    <w:rPr>
      <w:b/>
      <w:bCs/>
      <w:sz w:val="28"/>
      <w:szCs w:val="28"/>
      <w:lang w:eastAsia="cs-CZ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spacing w:before="0"/>
      <w:jc w:val="center"/>
      <w:outlineLvl w:val="7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cs-CZ"/>
    </w:rPr>
  </w:style>
  <w:style w:type="paragraph" w:styleId="EnvelopeReturn">
    <w:name w:val="envelope return"/>
    <w:basedOn w:val="Normal"/>
    <w:uiPriority w:val="99"/>
    <w:pPr>
      <w:spacing w:before="0"/>
      <w:jc w:val="left"/>
    </w:pPr>
    <w:rPr>
      <w:b/>
      <w:bCs/>
      <w:shadow/>
      <w:color w:val="000000"/>
      <w:sz w:val="20"/>
      <w:szCs w:val="20"/>
      <w:lang w:eastAsia="cs-CZ"/>
    </w:rPr>
  </w:style>
  <w:style w:type="paragraph" w:styleId="Title">
    <w:name w:val="Title"/>
    <w:basedOn w:val="Normal"/>
    <w:link w:val="Nzo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CM29">
    <w:name w:val="CM29"/>
    <w:basedOn w:val="Normal"/>
    <w:next w:val="Normal"/>
    <w:uiPriority w:val="99"/>
    <w:pPr>
      <w:widowControl w:val="0"/>
      <w:autoSpaceDE w:val="0"/>
      <w:autoSpaceDN w:val="0"/>
      <w:spacing w:before="0" w:after="193"/>
      <w:jc w:val="left"/>
    </w:pPr>
    <w:rPr>
      <w:rFonts w:ascii="EU Albertina" w:hAnsi="EU Albertina" w:cs="EU Albertina"/>
      <w:sz w:val="20"/>
      <w:szCs w:val="20"/>
      <w:lang w:val="cs-CZ" w:eastAsia="cs-CZ"/>
    </w:rPr>
  </w:style>
  <w:style w:type="paragraph" w:customStyle="1" w:styleId="Default">
    <w:name w:val="Default"/>
    <w:uiPriority w:val="99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EU Albertina" w:hAnsi="EU Albertina" w:cs="EU Albertina"/>
      <w:color w:val="000000"/>
      <w:sz w:val="20"/>
      <w:szCs w:val="20"/>
      <w:rtl w:val="0"/>
      <w:cs w:val="0"/>
      <w:lang w:val="cs-CZ" w:eastAsia="cs-CZ" w:bidi="ar-SA"/>
    </w:rPr>
  </w:style>
  <w:style w:type="paragraph" w:customStyle="1" w:styleId="CM28">
    <w:name w:val="CM28"/>
    <w:basedOn w:val="Default"/>
    <w:next w:val="Default"/>
    <w:uiPriority w:val="99"/>
    <w:pPr>
      <w:spacing w:after="385"/>
      <w:jc w:val="lef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jc w:val="lef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75"/>
      <w:jc w:val="lef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numPr>
        <w:numId w:val="1"/>
      </w:numPr>
      <w:tabs>
        <w:tab w:val="num" w:pos="1080"/>
      </w:tabs>
      <w:spacing w:after="70"/>
      <w:ind w:left="1080" w:hanging="360"/>
      <w:jc w:val="left"/>
    </w:pPr>
    <w:rPr>
      <w:color w:val="auto"/>
      <w:lang w:val="sk-SK"/>
    </w:rPr>
  </w:style>
  <w:style w:type="paragraph" w:customStyle="1" w:styleId="CM14">
    <w:name w:val="CM14"/>
    <w:basedOn w:val="Default"/>
    <w:next w:val="Default"/>
    <w:uiPriority w:val="99"/>
    <w:pPr>
      <w:spacing w:line="220" w:lineRule="atLeast"/>
      <w:jc w:val="lef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13" w:lineRule="atLeast"/>
      <w:jc w:val="lef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313"/>
      <w:jc w:val="lef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443"/>
      <w:jc w:val="lef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03" w:lineRule="atLeast"/>
      <w:jc w:val="left"/>
    </w:pPr>
    <w:rPr>
      <w:color w:val="auto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/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CM33">
    <w:name w:val="CM33"/>
    <w:basedOn w:val="Default"/>
    <w:next w:val="Default"/>
    <w:uiPriority w:val="99"/>
    <w:pPr>
      <w:spacing w:after="663"/>
      <w:jc w:val="lef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748"/>
      <w:jc w:val="lef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525"/>
      <w:jc w:val="lef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08" w:lineRule="atLeast"/>
      <w:jc w:val="lef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228"/>
      <w:jc w:val="lef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196" w:lineRule="atLeast"/>
      <w:jc w:val="lef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93"/>
      <w:jc w:val="left"/>
    </w:pPr>
    <w:rPr>
      <w:color w:val="auto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 w:after="120"/>
      <w:jc w:val="left"/>
    </w:pPr>
    <w:rPr>
      <w:lang w:eastAsia="ko-KR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spacing w:before="0"/>
      <w:ind w:left="709" w:hanging="283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480"/>
        <w:tab w:val="left" w:pos="720"/>
        <w:tab w:val="left" w:pos="960"/>
      </w:tabs>
      <w:jc w:val="both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480"/>
        <w:tab w:val="left" w:pos="720"/>
      </w:tabs>
      <w:ind w:left="720" w:hanging="720"/>
      <w:jc w:val="both"/>
    </w:pPr>
    <w:rPr>
      <w:rFonts w:ascii="Arial" w:hAnsi="Arial" w:cs="Arial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480"/>
        <w:tab w:val="left" w:pos="720"/>
        <w:tab w:val="left" w:pos="960"/>
      </w:tabs>
      <w:ind w:left="480" w:hanging="48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5B5FAC"/>
    <w:pPr>
      <w:tabs>
        <w:tab w:val="center" w:pos="4536"/>
        <w:tab w:val="right" w:pos="9072"/>
      </w:tabs>
      <w:spacing w:before="0"/>
      <w:jc w:val="left"/>
    </w:pPr>
    <w:rPr>
      <w:sz w:val="20"/>
      <w:szCs w:val="20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5B5FAC"/>
    <w:rPr>
      <w:rFonts w:cs="Times New Roman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paragraph" w:customStyle="1" w:styleId="CM4">
    <w:name w:val="CM4"/>
    <w:basedOn w:val="Default"/>
    <w:next w:val="Default"/>
    <w:uiPriority w:val="99"/>
    <w:rsid w:val="001D00F4"/>
    <w:pPr>
      <w:widowControl/>
      <w:adjustRightInd w:val="0"/>
      <w:jc w:val="left"/>
    </w:pPr>
    <w:rPr>
      <w:rFonts w:ascii="EUAlbertina" w:hAnsi="EUAlbertina" w:cs="EUAlbertina"/>
      <w:color w:val="auto"/>
      <w:sz w:val="24"/>
      <w:szCs w:val="24"/>
      <w:lang w:val="sk-SK" w:eastAsia="sk-SK"/>
    </w:rPr>
  </w:style>
  <w:style w:type="character" w:styleId="Strong">
    <w:name w:val="Strong"/>
    <w:basedOn w:val="DefaultParagraphFont"/>
    <w:uiPriority w:val="22"/>
    <w:qFormat/>
    <w:rsid w:val="005A3E1C"/>
    <w:rPr>
      <w:rFonts w:cs="Times New Roman"/>
      <w:b/>
      <w:rtl w:val="0"/>
      <w:cs w:val="0"/>
    </w:rPr>
  </w:style>
  <w:style w:type="paragraph" w:customStyle="1" w:styleId="doc-ti">
    <w:name w:val="doc-ti"/>
    <w:basedOn w:val="Normal"/>
    <w:rsid w:val="00AE3CDB"/>
    <w:pPr>
      <w:spacing w:before="240" w:after="120"/>
      <w:jc w:val="center"/>
    </w:pPr>
    <w:rPr>
      <w:b/>
      <w:bCs/>
    </w:rPr>
  </w:style>
  <w:style w:type="paragraph" w:customStyle="1" w:styleId="ti-grseq-1">
    <w:name w:val="ti-grseq-1"/>
    <w:basedOn w:val="Normal"/>
    <w:rsid w:val="00AE3CDB"/>
    <w:pPr>
      <w:spacing w:before="240" w:after="120"/>
      <w:jc w:val="both"/>
    </w:pPr>
    <w:rPr>
      <w:b/>
      <w:bCs/>
    </w:rPr>
  </w:style>
  <w:style w:type="character" w:customStyle="1" w:styleId="bold">
    <w:name w:val="bold"/>
    <w:rsid w:val="00AE3CDB"/>
    <w:rPr>
      <w:b/>
    </w:rPr>
  </w:style>
  <w:style w:type="character" w:customStyle="1" w:styleId="italic">
    <w:name w:val="italic"/>
    <w:rsid w:val="00AE3CDB"/>
    <w:rPr>
      <w:i/>
    </w:rPr>
  </w:style>
  <w:style w:type="character" w:customStyle="1" w:styleId="super">
    <w:name w:val="super"/>
    <w:rsid w:val="00AE3CDB"/>
    <w:rPr>
      <w:sz w:val="17"/>
      <w:vertAlign w:val="superscript"/>
    </w:rPr>
  </w:style>
  <w:style w:type="character" w:customStyle="1" w:styleId="expanded">
    <w:name w:val="expanded"/>
    <w:rsid w:val="00AE3CDB"/>
  </w:style>
  <w:style w:type="character" w:styleId="Hyperlink">
    <w:name w:val="Hyperlink"/>
    <w:basedOn w:val="DefaultParagraphFont"/>
    <w:uiPriority w:val="99"/>
    <w:semiHidden/>
    <w:unhideWhenUsed/>
    <w:rsid w:val="00AE3CDB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gal-content/SK/TXT/HTML/?uri=CELEX:32014L0100&amp;rid=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10</Pages>
  <Words>2790</Words>
  <Characters>15903</Characters>
  <Application>Microsoft Office Word</Application>
  <DocSecurity>0</DocSecurity>
  <Lines>0</Lines>
  <Paragraphs>0</Paragraphs>
  <ScaleCrop>false</ScaleCrop>
  <Company>MDPT</Company>
  <LinksUpToDate>false</LinksUpToDate>
  <CharactersWithSpaces>18656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Mrkva</dc:creator>
  <cp:lastModifiedBy>Zemanová, Ivana</cp:lastModifiedBy>
  <cp:revision>3</cp:revision>
  <cp:lastPrinted>2005-12-06T10:13:00Z</cp:lastPrinted>
  <dcterms:created xsi:type="dcterms:W3CDTF">2015-04-17T12:55:00Z</dcterms:created>
  <dcterms:modified xsi:type="dcterms:W3CDTF">2015-04-23T14:53:00Z</dcterms:modified>
</cp:coreProperties>
</file>